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color w:val="FF0000"/>
          <w:sz w:val="32"/>
          <w:lang w:val="bg-BG"/>
        </w:rPr>
      </w:pPr>
      <w:r>
        <w:rPr>
          <w:rFonts w:cs="Arial" w:ascii="Arial" w:hAnsi="Arial"/>
          <w:b/>
          <w:color w:val="FF0000"/>
          <w:sz w:val="32"/>
          <w:lang w:val="bg-BG"/>
        </w:rPr>
      </w:r>
    </w:p>
    <w:p>
      <w:pPr>
        <w:pStyle w:val="Normal"/>
        <w:jc w:val="center"/>
        <w:rPr>
          <w:rFonts w:ascii="Arial" w:hAnsi="Arial" w:cs="Arial"/>
          <w:b/>
          <w:color w:val="FF0000"/>
          <w:sz w:val="32"/>
          <w:lang w:val="bg-BG"/>
        </w:rPr>
      </w:pPr>
      <w:r>
        <w:rPr>
          <w:rFonts w:cs="Arial" w:ascii="Arial" w:hAnsi="Arial"/>
          <w:b/>
          <w:color w:val="FF0000"/>
          <w:sz w:val="32"/>
          <w:lang w:val="bg-BG"/>
        </w:rPr>
      </w:r>
    </w:p>
    <w:p>
      <w:pPr>
        <w:pStyle w:val="Normal"/>
        <w:ind w:firstLine="1276" w:end="0"/>
        <w:jc w:val="center"/>
        <w:rPr>
          <w:rFonts w:ascii="Arial" w:hAnsi="Arial" w:cs="Arial"/>
          <w:b/>
          <w:color w:val="FF0000"/>
          <w:sz w:val="24"/>
          <w:lang w:val="bg-BG"/>
        </w:rPr>
      </w:pPr>
      <w:r>
        <w:rPr>
          <w:rFonts w:cs="Arial" w:ascii="Arial" w:hAnsi="Arial"/>
          <w:b/>
          <w:color w:val="FF0000"/>
          <w:sz w:val="24"/>
          <w:lang w:val="bg-BG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44"/>
          <w:szCs w:val="44"/>
          <w:lang w:val="bg-BG"/>
        </w:rPr>
      </w:pPr>
      <w:r>
        <w:rPr>
          <w:b/>
          <w:sz w:val="44"/>
          <w:szCs w:val="44"/>
          <w:lang w:val="bg-BG"/>
        </w:rPr>
        <w:t>З А П О В Е Д</w:t>
      </w:r>
    </w:p>
    <w:p>
      <w:pPr>
        <w:pStyle w:val="Normal"/>
        <w:jc w:val="cent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jc w:val="center"/>
        <w:rPr/>
      </w:pPr>
      <w:r>
        <w:rPr>
          <w:b/>
          <w:sz w:val="24"/>
          <w:szCs w:val="24"/>
          <w:lang w:val="bg-BG"/>
        </w:rPr>
        <w:t>20.01.</w:t>
      </w:r>
      <w:r>
        <w:rPr>
          <w:b/>
          <w:sz w:val="24"/>
          <w:szCs w:val="24"/>
        </w:rPr>
        <w:t>202</w:t>
      </w:r>
      <w:r>
        <w:rPr>
          <w:b/>
          <w:sz w:val="24"/>
          <w:szCs w:val="24"/>
          <w:lang w:val="bg-BG"/>
        </w:rPr>
        <w:t>2 г.</w:t>
      </w:r>
    </w:p>
    <w:p>
      <w:pPr>
        <w:pStyle w:val="Normal"/>
        <w:jc w:val="center"/>
        <w:rPr>
          <w:rFonts w:ascii="Times New Roman CYR" w:hAnsi="Times New Roman CYR" w:cs="Times New Roman CYR"/>
          <w:b/>
          <w:sz w:val="24"/>
          <w:szCs w:val="24"/>
          <w:lang w:val="bg-BG"/>
        </w:rPr>
      </w:pPr>
      <w:r>
        <w:rPr>
          <w:rFonts w:cs="Times New Roman CYR" w:ascii="Times New Roman CYR" w:hAnsi="Times New Roman CYR"/>
          <w:b/>
          <w:sz w:val="24"/>
          <w:szCs w:val="24"/>
          <w:lang w:val="bg-BG"/>
        </w:rPr>
      </w:r>
    </w:p>
    <w:p>
      <w:pPr>
        <w:pStyle w:val="Normal"/>
        <w:jc w:val="center"/>
        <w:rPr>
          <w:rFonts w:ascii="Times New Roman CYR" w:hAnsi="Times New Roman CYR" w:cs="Times New Roman CYR"/>
          <w:b/>
          <w:sz w:val="28"/>
          <w:szCs w:val="28"/>
          <w:lang w:val="bg-BG"/>
        </w:rPr>
      </w:pPr>
      <w:r>
        <w:rPr>
          <w:rFonts w:cs="Times New Roman CYR" w:ascii="Times New Roman CYR" w:hAnsi="Times New Roman CYR"/>
          <w:b/>
          <w:sz w:val="28"/>
          <w:szCs w:val="28"/>
          <w:lang w:val="bg-BG"/>
        </w:rPr>
      </w:r>
    </w:p>
    <w:p>
      <w:pPr>
        <w:pStyle w:val="Normal"/>
        <w:jc w:val="center"/>
        <w:rPr>
          <w:rFonts w:ascii="Times New Roman CYR" w:hAnsi="Times New Roman CYR" w:cs="Times New Roman CYR"/>
          <w:b/>
          <w:sz w:val="28"/>
          <w:szCs w:val="28"/>
          <w:lang w:val="bg-BG"/>
        </w:rPr>
      </w:pPr>
      <w:r>
        <w:rPr>
          <w:rFonts w:cs="Times New Roman CYR" w:ascii="Times New Roman CYR" w:hAnsi="Times New Roman CYR"/>
          <w:b/>
          <w:sz w:val="28"/>
          <w:szCs w:val="28"/>
          <w:lang w:val="bg-BG"/>
        </w:rPr>
        <w:t>Н а р е ж д а м:</w:t>
      </w:r>
    </w:p>
    <w:p>
      <w:pPr>
        <w:pStyle w:val="Normal"/>
        <w:jc w:val="center"/>
        <w:rPr>
          <w:rFonts w:ascii="Times New Roman CYR" w:hAnsi="Times New Roman CYR" w:cs="Times New Roman CYR"/>
          <w:b/>
          <w:sz w:val="28"/>
          <w:szCs w:val="28"/>
          <w:lang w:val="bg-BG"/>
        </w:rPr>
      </w:pPr>
      <w:r>
        <w:rPr>
          <w:rFonts w:cs="Times New Roman CYR" w:ascii="Times New Roman CYR" w:hAnsi="Times New Roman CYR"/>
          <w:b/>
          <w:sz w:val="28"/>
          <w:szCs w:val="28"/>
          <w:lang w:val="bg-BG"/>
        </w:rPr>
      </w:r>
    </w:p>
    <w:p>
      <w:pPr>
        <w:pStyle w:val="Normal"/>
        <w:jc w:val="both"/>
        <w:rPr>
          <w:rFonts w:ascii="Times New Roman CYR" w:hAnsi="Times New Roman CYR" w:cs="Times New Roman CYR"/>
          <w:b/>
          <w:sz w:val="24"/>
          <w:szCs w:val="24"/>
          <w:lang w:val="bg-BG"/>
        </w:rPr>
      </w:pPr>
      <w:r>
        <w:rPr>
          <w:rFonts w:cs="Times New Roman CYR" w:ascii="Times New Roman CYR" w:hAnsi="Times New Roman CYR"/>
          <w:b/>
          <w:sz w:val="24"/>
          <w:szCs w:val="24"/>
          <w:lang w:val="bg-BG"/>
        </w:rPr>
      </w:r>
    </w:p>
    <w:p>
      <w:pPr>
        <w:pStyle w:val="Normal"/>
        <w:ind w:end="396"/>
        <w:jc w:val="both"/>
        <w:rPr>
          <w:sz w:val="24"/>
          <w:szCs w:val="24"/>
        </w:rPr>
      </w:pPr>
      <w:r>
        <w:rPr>
          <w:rFonts w:cs="Times New Roman CYR" w:ascii="Times New Roman CYR" w:hAnsi="Times New Roman CYR"/>
          <w:sz w:val="24"/>
          <w:szCs w:val="24"/>
          <w:lang w:val="bg-BG"/>
        </w:rPr>
        <w:t xml:space="preserve">Да се проведе преглед от ръководството на 28.01.2022г. в съответствие с документите от внедрената в  "ЕКОБУЛ ПАРТНЕР" ООД,  СУ по отношение на </w:t>
      </w:r>
      <w:r>
        <w:rPr>
          <w:sz w:val="24"/>
          <w:szCs w:val="24"/>
        </w:rPr>
        <w:t>ISO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bg-BG"/>
        </w:rPr>
        <w:t xml:space="preserve">9001:2015/ </w:t>
      </w:r>
      <w:r>
        <w:rPr>
          <w:sz w:val="24"/>
          <w:szCs w:val="24"/>
        </w:rPr>
        <w:t xml:space="preserve">ISO 14001:2015 / ISO </w:t>
      </w:r>
      <w:r>
        <w:rPr>
          <w:sz w:val="24"/>
          <w:szCs w:val="24"/>
          <w:lang w:val="bg-BG"/>
        </w:rPr>
        <w:t>45001:2018.</w:t>
      </w:r>
    </w:p>
    <w:p>
      <w:pPr>
        <w:pStyle w:val="Normal"/>
        <w:ind w:end="396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end="396"/>
        <w:jc w:val="both"/>
        <w:rPr/>
      </w:pPr>
      <w:r>
        <w:rPr>
          <w:sz w:val="24"/>
          <w:szCs w:val="24"/>
          <w:lang w:val="bg-BG"/>
        </w:rPr>
        <w:t>Определям прегледът на ръководството да се извърши в следния състав:</w:t>
      </w:r>
    </w:p>
    <w:p>
      <w:pPr>
        <w:pStyle w:val="Normal"/>
        <w:ind w:end="396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numPr>
          <w:ilvl w:val="0"/>
          <w:numId w:val="1"/>
        </w:numPr>
        <w:ind w:hanging="360" w:start="720" w:end="396"/>
        <w:jc w:val="both"/>
        <w:rPr>
          <w:rFonts w:ascii="Times New Roman CYR" w:hAnsi="Times New Roman CYR" w:cs="Times New Roman CYR"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Управител</w:t>
      </w:r>
      <w:r>
        <w:rPr>
          <w:rFonts w:cs="Times New Roman CYR" w:ascii="Times New Roman CYR" w:hAnsi="Times New Roman CYR"/>
          <w:sz w:val="24"/>
          <w:szCs w:val="24"/>
          <w:lang w:val="bg-BG"/>
        </w:rPr>
        <w:t xml:space="preserve"> – НИКОЛАЙ ВИДИНОВ ОСТРЕВ.</w:t>
      </w:r>
    </w:p>
    <w:p>
      <w:pPr>
        <w:pStyle w:val="Normal"/>
        <w:ind w:start="720" w:end="396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</w:t>
      </w:r>
    </w:p>
    <w:p>
      <w:pPr>
        <w:pStyle w:val="Normal"/>
        <w:jc w:val="both"/>
        <w:rPr>
          <w:rFonts w:ascii="Times New Roman CYR" w:hAnsi="Times New Roman CYR" w:cs="Times New Roman CYR"/>
          <w:sz w:val="24"/>
          <w:szCs w:val="24"/>
          <w:lang w:val="bg-BG"/>
        </w:rPr>
      </w:pPr>
      <w:r>
        <w:rPr>
          <w:rFonts w:cs="Times New Roman CYR" w:ascii="Times New Roman CYR" w:hAnsi="Times New Roman CYR"/>
          <w:sz w:val="24"/>
          <w:szCs w:val="24"/>
          <w:lang w:val="bg-BG"/>
        </w:rPr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Заповедта да се връчи на лицата за сведение и изпълнение.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both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  <w:lang w:val="bg-BG"/>
        </w:rPr>
        <w:t>20.01.2022 г.                                                                                Управител:</w:t>
      </w:r>
      <w:r>
        <w:rPr>
          <w:sz w:val="24"/>
          <w:szCs w:val="24"/>
        </w:rPr>
        <w:t xml:space="preserve"> .................................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567" w:gutter="0" w:header="708" w:top="764" w:footer="708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imes New Roman CYR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lang w:val="bg-BG"/>
      </w:rPr>
      <w:t>Стр.</w:t>
    </w:r>
    <w:r>
      <w:rPr/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  <w:r>
      <w:rPr>
        <w:lang w:val="bg-BG"/>
      </w:rPr>
      <w:t>от</w:t>
    </w:r>
    <w:r>
      <w:rPr/>
      <w:t xml:space="preserve"> </w:t>
    </w:r>
    <w:r>
      <w:rPr>
        <w:lang w:val="bg-BG"/>
      </w:rPr>
      <w:t>1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b/>
        <w:sz w:val="40"/>
        <w:szCs w:val="48"/>
        <w:lang w:val="bg-BG"/>
      </w:rPr>
    </w:pPr>
    <w:r>
      <w:rPr>
        <w:rFonts w:cs="Arial" w:ascii="Arial" w:hAnsi="Arial"/>
        <w:b/>
        <w:sz w:val="40"/>
        <w:szCs w:val="48"/>
        <w:lang w:val="bg-BG"/>
      </w:rPr>
      <w:t>"ЕКОБУЛ ПАРТНЕР" ООД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Times New Roman CYR" w:hAnsi="Times New Roman CYR" w:cs="Times New Roman CYR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/>
  </w:style>
  <w:style w:type="character" w:styleId="Style14">
    <w:name w:val="Шрифт на абзаца по подразбиране"/>
    <w:qFormat/>
    <w:rPr/>
  </w:style>
  <w:style w:type="character" w:styleId="Style15">
    <w:name w:val="Горен колонтитул Знак"/>
    <w:qFormat/>
    <w:rPr/>
  </w:style>
  <w:style w:type="paragraph" w:styleId="Style1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"/>
    <w:basedOn w:val="Normal"/>
    <w:qFormat/>
    <w:pPr>
      <w:suppressLineNumbers/>
    </w:pPr>
    <w:rPr>
      <w:rFonts w:cs="Arial"/>
    </w:rPr>
  </w:style>
  <w:style w:type="paragraph" w:styleId="Style1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lang w:val="en-AU"/>
    </w:rPr>
  </w:style>
  <w:style w:type="paragraph" w:styleId="Header">
    <w:name w:val="header"/>
    <w:basedOn w:val="Normal"/>
    <w:pPr>
      <w:tabs>
        <w:tab w:val="clear" w:pos="720"/>
        <w:tab w:val="center" w:pos="4703" w:leader="none"/>
        <w:tab w:val="right" w:pos="9406" w:leader="none"/>
      </w:tabs>
    </w:pPr>
    <w:rPr/>
  </w:style>
  <w:style w:type="paragraph" w:styleId="BodyTextIndent">
    <w:name w:val="Body Text Indent"/>
    <w:basedOn w:val="Normal"/>
    <w:pPr>
      <w:ind w:firstLine="360" w:start="0" w:end="0"/>
      <w:jc w:val="both"/>
    </w:pPr>
    <w:rPr>
      <w:sz w:val="24"/>
      <w:szCs w:val="24"/>
      <w:lang w:val="bg-BG"/>
    </w:rPr>
  </w:style>
  <w:style w:type="paragraph" w:styleId="Style19">
    <w:name w:val="Изнесен текст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2017-08-18T14:37:00Z</dcterms:created>
  <dc:creator>v</dc:creator>
  <dc:description/>
  <cp:keywords/>
  <dc:language>bg-BG</dc:language>
  <cp:lastModifiedBy>Силвия Мирчева</cp:lastModifiedBy>
  <cp:lastPrinted>2020-01-30T16:08:00Z</cp:lastPrinted>
  <dcterms:modified xsi:type="dcterms:W3CDTF">2022-04-02T15:43:00Z</dcterms:modified>
  <cp:revision>20</cp:revision>
  <dc:subject/>
  <dc:title>ДЕКЛАРАЦИЯ ЗА ПОЛЗВАНЕ НА СКЛАДОВА БАЗА</dc:title>
</cp:coreProperties>
</file>