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bg-BG"/>
        </w:rPr>
      </w:pPr>
      <w:r>
        <w:rPr>
          <w:lang w:val="bg-BG"/>
        </w:rPr>
      </w:r>
    </w:p>
    <w:p>
      <w:pPr>
        <w:pStyle w:val="Normal"/>
        <w:numPr>
          <w:ilvl w:val="0"/>
          <w:numId w:val="0"/>
        </w:numPr>
        <w:ind w:start="-142" w:end="708"/>
        <w:jc w:val="center"/>
        <w:outlineLvl w:val="0"/>
        <w:rPr>
          <w:b/>
          <w:lang w:val="bg-BG"/>
        </w:rPr>
      </w:pPr>
      <w:r>
        <w:rPr>
          <w:b/>
          <w:lang w:val="bg-BG"/>
        </w:rPr>
        <w:t xml:space="preserve">     </w:t>
      </w:r>
      <w:r>
        <w:rPr>
          <w:b/>
          <w:lang w:val="bg-BG"/>
        </w:rPr>
        <w:t>Д О К Л А Д  О Т  Р Ъ К О В О Д С Т В О Т О</w:t>
      </w:r>
    </w:p>
    <w:p>
      <w:pPr>
        <w:pStyle w:val="Normal"/>
        <w:numPr>
          <w:ilvl w:val="0"/>
          <w:numId w:val="0"/>
        </w:numPr>
        <w:ind w:start="-142" w:end="708"/>
        <w:jc w:val="center"/>
        <w:outlineLvl w:val="0"/>
        <w:rPr>
          <w:b/>
          <w:lang w:val="bg-BG"/>
        </w:rPr>
      </w:pPr>
      <w:r>
        <w:rPr>
          <w:b/>
          <w:lang w:val="bg-BG"/>
        </w:rPr>
      </w:r>
    </w:p>
    <w:p>
      <w:pPr>
        <w:pStyle w:val="Normal"/>
        <w:numPr>
          <w:ilvl w:val="0"/>
          <w:numId w:val="0"/>
        </w:numPr>
        <w:ind w:start="-567" w:end="-426"/>
        <w:jc w:val="center"/>
        <w:outlineLvl w:val="0"/>
        <w:rPr/>
      </w:pPr>
      <w:r>
        <w:rPr>
          <w:b/>
          <w:lang w:val="bg-BG"/>
        </w:rPr>
        <w:t>относно ИСУ на</w:t>
      </w:r>
      <w:r>
        <w:rPr>
          <w:b/>
        </w:rPr>
        <w:t xml:space="preserve"> </w:t>
      </w:r>
      <w:r>
        <w:rPr>
          <w:b/>
          <w:lang w:val="bg-BG"/>
        </w:rPr>
        <w:t xml:space="preserve">"ЕКОБУЛ ПАРТНЕР" ООД </w:t>
      </w:r>
    </w:p>
    <w:p>
      <w:pPr>
        <w:pStyle w:val="Normal"/>
        <w:jc w:val="center"/>
        <w:rPr>
          <w:b/>
          <w:lang w:val="bg-BG"/>
        </w:rPr>
      </w:pPr>
      <w:r>
        <w:rPr>
          <w:b/>
          <w:lang w:val="bg-BG"/>
        </w:rPr>
      </w:r>
    </w:p>
    <w:p>
      <w:pPr>
        <w:pStyle w:val="Normal"/>
        <w:jc w:val="center"/>
        <w:rPr>
          <w:b/>
          <w:lang w:val="bg-BG"/>
        </w:rPr>
      </w:pPr>
      <w:r>
        <w:rPr>
          <w:b/>
          <w:lang w:val="bg-BG"/>
        </w:rPr>
      </w:r>
    </w:p>
    <w:p>
      <w:pPr>
        <w:pStyle w:val="Normal"/>
        <w:ind w:firstLine="360" w:end="708"/>
        <w:jc w:val="both"/>
        <w:rPr>
          <w:b/>
          <w:u w:val="single"/>
          <w:lang w:val="ru-RU"/>
        </w:rPr>
      </w:pPr>
      <w:r>
        <w:rPr>
          <w:b/>
          <w:u w:val="single"/>
          <w:lang w:val="ru-RU"/>
        </w:rPr>
        <w:t>1. Основание за провеждане</w:t>
      </w:r>
    </w:p>
    <w:p>
      <w:pPr>
        <w:pStyle w:val="Normal"/>
        <w:ind w:firstLine="360" w:end="708"/>
        <w:jc w:val="both"/>
        <w:rPr>
          <w:b/>
          <w:u w:val="single"/>
          <w:lang w:val="ru-RU"/>
        </w:rPr>
      </w:pPr>
      <w:r>
        <w:rPr>
          <w:b/>
          <w:u w:val="single"/>
          <w:lang w:val="ru-RU"/>
        </w:rPr>
      </w:r>
    </w:p>
    <w:p>
      <w:pPr>
        <w:pStyle w:val="Normal"/>
        <w:ind w:firstLine="360" w:end="708"/>
        <w:jc w:val="both"/>
        <w:rPr/>
      </w:pPr>
      <w:r>
        <w:rPr>
          <w:lang w:val="ru-RU"/>
        </w:rPr>
        <w:t xml:space="preserve">Съгласно т. 9.3 от </w:t>
      </w:r>
      <w:r>
        <w:rPr/>
        <w:t>ISO 9001:20</w:t>
      </w:r>
      <w:r>
        <w:rPr>
          <w:lang w:val="bg-BG"/>
        </w:rPr>
        <w:t xml:space="preserve">15, </w:t>
      </w:r>
      <w:r>
        <w:rPr/>
        <w:t xml:space="preserve">ISO </w:t>
      </w:r>
      <w:r>
        <w:rPr>
          <w:lang w:val="bg-BG"/>
        </w:rPr>
        <w:t>14</w:t>
      </w:r>
      <w:r>
        <w:rPr/>
        <w:t>001:20</w:t>
      </w:r>
      <w:r>
        <w:rPr>
          <w:lang w:val="bg-BG"/>
        </w:rPr>
        <w:t xml:space="preserve">15 и </w:t>
      </w:r>
      <w:r>
        <w:rPr/>
        <w:t xml:space="preserve">ISO </w:t>
      </w:r>
      <w:r>
        <w:rPr>
          <w:lang w:val="bg-BG"/>
        </w:rPr>
        <w:t>45</w:t>
      </w:r>
      <w:r>
        <w:rPr/>
        <w:t>001:20</w:t>
      </w:r>
      <w:r>
        <w:rPr>
          <w:lang w:val="bg-BG"/>
        </w:rPr>
        <w:t xml:space="preserve">18 </w:t>
      </w:r>
      <w:r>
        <w:rPr/>
        <w:t xml:space="preserve"> </w:t>
      </w:r>
      <w:r>
        <w:rPr>
          <w:lang w:val="ru-RU"/>
        </w:rPr>
        <w:t>се извършва настоящият преглед от ръководството на интегрираната система за управление. Целта е да се осигурят възможностите за подобряване и да се оцени адекватността и ефикасността на внедрените системи в дружеството.</w:t>
      </w:r>
    </w:p>
    <w:p>
      <w:pPr>
        <w:pStyle w:val="Normal"/>
        <w:ind w:firstLine="360" w:end="708"/>
        <w:jc w:val="both"/>
        <w:rPr>
          <w:lang w:val="ru-RU"/>
        </w:rPr>
      </w:pPr>
      <w:r>
        <w:rPr>
          <w:lang w:val="ru-RU"/>
        </w:rPr>
      </w:r>
    </w:p>
    <w:p>
      <w:pPr>
        <w:pStyle w:val="Normal"/>
        <w:ind w:firstLine="360" w:end="708"/>
        <w:jc w:val="both"/>
        <w:rPr>
          <w:b/>
          <w:u w:val="single"/>
          <w:lang w:val="ru-RU"/>
        </w:rPr>
      </w:pPr>
      <w:r>
        <w:rPr>
          <w:b/>
          <w:u w:val="single"/>
          <w:lang w:val="ru-RU"/>
        </w:rPr>
        <w:t>2. Входни елементи</w:t>
      </w:r>
    </w:p>
    <w:p>
      <w:pPr>
        <w:pStyle w:val="Normal"/>
        <w:ind w:firstLine="360" w:end="708"/>
        <w:jc w:val="both"/>
        <w:rPr>
          <w:b/>
          <w:u w:val="single"/>
          <w:lang w:val="ru-RU"/>
        </w:rPr>
      </w:pPr>
      <w:r>
        <w:rPr>
          <w:b/>
          <w:u w:val="single"/>
          <w:lang w:val="ru-RU"/>
        </w:rPr>
      </w:r>
    </w:p>
    <w:p>
      <w:pPr>
        <w:pStyle w:val="Normal"/>
        <w:ind w:firstLine="360" w:end="708"/>
        <w:jc w:val="both"/>
        <w:rPr/>
      </w:pPr>
      <w:r>
        <w:rPr>
          <w:lang w:val="bg-BG"/>
        </w:rPr>
        <w:t>Прегледът включва оценяване на своевременното подобряване и необходимостта от промени в ИСУ на „ЕКОБУЛ ПАРТНЕР“ ООД, включително и на политиката и целите по качеството, БЗР и ОС.</w:t>
      </w:r>
    </w:p>
    <w:p>
      <w:pPr>
        <w:pStyle w:val="Normal"/>
        <w:ind w:firstLine="360" w:end="708"/>
        <w:jc w:val="both"/>
        <w:rPr>
          <w:lang w:val="bg-BG"/>
        </w:rPr>
      </w:pPr>
      <w:r>
        <w:rPr>
          <w:lang w:val="bg-BG"/>
        </w:rPr>
        <w:t>Входните елементи включват:</w:t>
      </w:r>
    </w:p>
    <w:p>
      <w:pPr>
        <w:pStyle w:val="Normal"/>
        <w:numPr>
          <w:ilvl w:val="0"/>
          <w:numId w:val="2"/>
        </w:numPr>
        <w:ind w:hanging="360" w:start="720" w:end="708"/>
        <w:jc w:val="both"/>
        <w:rPr>
          <w:lang w:val="bg-BG"/>
        </w:rPr>
      </w:pPr>
      <w:r>
        <w:rPr>
          <w:lang w:val="bg-BG"/>
        </w:rPr>
        <w:t>резултат от проведен вътрешен одит за оценяване на съответствието с приложимите изисквания на нормативните актове и с другите изисквания, които организацията е приела да спазва, проведен на 27.01.2022</w:t>
      </w:r>
      <w:r>
        <w:rPr/>
        <w:t xml:space="preserve"> </w:t>
      </w:r>
      <w:r>
        <w:rPr>
          <w:lang w:val="bg-BG"/>
        </w:rPr>
        <w:t>г.</w:t>
      </w:r>
    </w:p>
    <w:p>
      <w:pPr>
        <w:pStyle w:val="Normal"/>
        <w:numPr>
          <w:ilvl w:val="0"/>
          <w:numId w:val="2"/>
        </w:numPr>
        <w:ind w:hanging="360" w:start="720" w:end="708"/>
        <w:jc w:val="both"/>
        <w:rPr>
          <w:lang w:val="bg-BG"/>
        </w:rPr>
      </w:pPr>
      <w:r>
        <w:rPr>
          <w:lang w:val="bg-BG"/>
        </w:rPr>
        <w:t>резултати от участия и консултации</w:t>
      </w:r>
    </w:p>
    <w:p>
      <w:pPr>
        <w:pStyle w:val="Normal"/>
        <w:numPr>
          <w:ilvl w:val="0"/>
          <w:numId w:val="2"/>
        </w:numPr>
        <w:ind w:hanging="360" w:start="720" w:end="708"/>
        <w:jc w:val="both"/>
        <w:rPr>
          <w:lang w:val="bg-BG"/>
        </w:rPr>
      </w:pPr>
      <w:r>
        <w:rPr>
          <w:lang w:val="bg-BG"/>
        </w:rPr>
        <w:t>информация произхождаща от външни заинтересовани страни, включително получаване на рекламации</w:t>
      </w:r>
    </w:p>
    <w:p>
      <w:pPr>
        <w:pStyle w:val="Normal"/>
        <w:numPr>
          <w:ilvl w:val="0"/>
          <w:numId w:val="2"/>
        </w:numPr>
        <w:ind w:hanging="360" w:start="720" w:end="708"/>
        <w:jc w:val="both"/>
        <w:rPr>
          <w:lang w:val="bg-BG"/>
        </w:rPr>
      </w:pPr>
      <w:r>
        <w:rPr>
          <w:lang w:val="bg-BG"/>
        </w:rPr>
        <w:t>изпълнение на дейностите, свързани със БЗР</w:t>
      </w:r>
    </w:p>
    <w:p>
      <w:pPr>
        <w:pStyle w:val="Normal"/>
        <w:numPr>
          <w:ilvl w:val="0"/>
          <w:numId w:val="2"/>
        </w:numPr>
        <w:ind w:hanging="360" w:start="720" w:end="708"/>
        <w:jc w:val="both"/>
        <w:rPr>
          <w:lang w:val="bg-BG"/>
        </w:rPr>
      </w:pPr>
      <w:r>
        <w:rPr>
          <w:lang w:val="bg-BG"/>
        </w:rPr>
        <w:t>резултатността спрямо околната среда на организацията</w:t>
      </w:r>
    </w:p>
    <w:p>
      <w:pPr>
        <w:pStyle w:val="Normal"/>
        <w:numPr>
          <w:ilvl w:val="0"/>
          <w:numId w:val="2"/>
        </w:numPr>
        <w:ind w:hanging="360" w:start="720" w:end="708"/>
        <w:jc w:val="both"/>
        <w:rPr>
          <w:lang w:val="bg-BG"/>
        </w:rPr>
      </w:pPr>
      <w:r>
        <w:rPr>
          <w:lang w:val="bg-BG"/>
        </w:rPr>
        <w:t>степента на достигане на целите по качеството, БЗР и ОС</w:t>
      </w:r>
    </w:p>
    <w:p>
      <w:pPr>
        <w:pStyle w:val="Normal"/>
        <w:numPr>
          <w:ilvl w:val="0"/>
          <w:numId w:val="2"/>
        </w:numPr>
        <w:ind w:hanging="360" w:start="720" w:end="708"/>
        <w:jc w:val="both"/>
        <w:rPr>
          <w:lang w:val="bg-BG"/>
        </w:rPr>
      </w:pPr>
      <w:r>
        <w:rPr>
          <w:lang w:val="bg-BG"/>
        </w:rPr>
        <w:t>състоянието на разследването на инциденти, на коригиращите и превантивни действия</w:t>
      </w:r>
    </w:p>
    <w:p>
      <w:pPr>
        <w:pStyle w:val="Normal"/>
        <w:numPr>
          <w:ilvl w:val="0"/>
          <w:numId w:val="2"/>
        </w:numPr>
        <w:ind w:hanging="360" w:start="720" w:end="708"/>
        <w:jc w:val="both"/>
        <w:rPr>
          <w:lang w:val="bg-BG"/>
        </w:rPr>
      </w:pPr>
      <w:r>
        <w:rPr>
          <w:lang w:val="bg-BG"/>
        </w:rPr>
        <w:t>действия, последвали от предишни прегледи от ръководството</w:t>
      </w:r>
    </w:p>
    <w:p>
      <w:pPr>
        <w:pStyle w:val="Normal"/>
        <w:numPr>
          <w:ilvl w:val="0"/>
          <w:numId w:val="2"/>
        </w:numPr>
        <w:ind w:hanging="360" w:start="720" w:end="708"/>
        <w:jc w:val="both"/>
        <w:rPr>
          <w:lang w:val="bg-BG"/>
        </w:rPr>
      </w:pPr>
      <w:r>
        <w:rPr>
          <w:lang w:val="bg-BG"/>
        </w:rPr>
        <w:t>промени в обстоятелствата, включително изменения в изискванията на нормативните актове и други изисквания, свързани със здравето и безопасността при работа и околната среда</w:t>
      </w:r>
    </w:p>
    <w:p>
      <w:pPr>
        <w:pStyle w:val="Normal"/>
        <w:numPr>
          <w:ilvl w:val="0"/>
          <w:numId w:val="2"/>
        </w:numPr>
        <w:ind w:hanging="360" w:start="720" w:end="708"/>
        <w:jc w:val="both"/>
        <w:rPr>
          <w:lang w:val="bg-BG"/>
        </w:rPr>
      </w:pPr>
      <w:r>
        <w:rPr>
          <w:lang w:val="bg-BG"/>
        </w:rPr>
        <w:t>препоръки за подобряване</w:t>
      </w:r>
    </w:p>
    <w:p>
      <w:pPr>
        <w:pStyle w:val="Header"/>
        <w:keepLines w:val="false"/>
        <w:numPr>
          <w:ilvl w:val="0"/>
          <w:numId w:val="2"/>
        </w:numPr>
        <w:tabs>
          <w:tab w:val="clear" w:pos="4320"/>
          <w:tab w:val="clear" w:pos="8640"/>
          <w:tab w:val="center" w:pos="4703" w:leader="none"/>
          <w:tab w:val="right" w:pos="9406" w:leader="none"/>
        </w:tabs>
        <w:overflowPunct w:val="true"/>
        <w:autoSpaceDE w:val="true"/>
        <w:spacing w:lineRule="atLeast" w:line="100"/>
        <w:ind w:hanging="360" w:start="720" w:end="-24"/>
        <w:jc w:val="both"/>
        <w:textAlignment w:val="auto"/>
        <w:rPr>
          <w:rFonts w:ascii="Times New Roman" w:hAnsi="Times New Roman" w:cs="Times New Roman"/>
          <w:color w:val="000000"/>
          <w:sz w:val="24"/>
          <w:szCs w:val="24"/>
          <w:lang w:val="bg-BG"/>
        </w:rPr>
      </w:pPr>
      <w:r>
        <w:rPr>
          <w:rFonts w:cs="Times New Roman" w:ascii="Times New Roman" w:hAnsi="Times New Roman"/>
          <w:sz w:val="24"/>
          <w:szCs w:val="24"/>
          <w:lang w:val="bg-BG"/>
        </w:rPr>
        <w:t>преглед на удовлетвореността на клиента</w:t>
      </w:r>
      <w:r>
        <w:rPr>
          <w:rFonts w:cs="Times New Roman" w:ascii="Times New Roman" w:hAnsi="Times New Roman"/>
          <w:color w:val="000000"/>
          <w:sz w:val="24"/>
          <w:szCs w:val="24"/>
          <w:lang w:val="bg-BG"/>
        </w:rPr>
        <w:t>;</w:t>
      </w:r>
    </w:p>
    <w:p>
      <w:pPr>
        <w:pStyle w:val="Header"/>
        <w:keepLines w:val="false"/>
        <w:numPr>
          <w:ilvl w:val="0"/>
          <w:numId w:val="2"/>
        </w:numPr>
        <w:tabs>
          <w:tab w:val="clear" w:pos="4320"/>
          <w:tab w:val="clear" w:pos="8640"/>
          <w:tab w:val="center" w:pos="4703" w:leader="none"/>
          <w:tab w:val="right" w:pos="9406" w:leader="none"/>
        </w:tabs>
        <w:overflowPunct w:val="true"/>
        <w:autoSpaceDE w:val="true"/>
        <w:spacing w:lineRule="atLeast" w:line="100"/>
        <w:ind w:hanging="360" w:start="720" w:end="-24"/>
        <w:jc w:val="both"/>
        <w:textAlignment w:val="auto"/>
        <w:rPr>
          <w:rFonts w:ascii="Times New Roman" w:hAnsi="Times New Roman" w:cs="Times New Roman"/>
          <w:color w:val="000000"/>
          <w:sz w:val="24"/>
          <w:szCs w:val="24"/>
          <w:lang w:val="bg-BG"/>
        </w:rPr>
      </w:pPr>
      <w:r>
        <w:rPr>
          <w:rFonts w:cs="Times New Roman" w:ascii="Times New Roman" w:hAnsi="Times New Roman"/>
          <w:sz w:val="24"/>
          <w:szCs w:val="24"/>
          <w:lang w:val="bg-BG"/>
        </w:rPr>
        <w:t>п</w:t>
      </w:r>
      <w:r>
        <w:rPr>
          <w:rFonts w:cs="Times New Roman" w:ascii="Times New Roman" w:hAnsi="Times New Roman"/>
          <w:color w:val="000000"/>
          <w:sz w:val="24"/>
          <w:szCs w:val="24"/>
          <w:lang w:val="bg-BG"/>
        </w:rPr>
        <w:t>реглед на съответствието с изискванията на продукта;</w:t>
      </w:r>
    </w:p>
    <w:p>
      <w:pPr>
        <w:pStyle w:val="Header"/>
        <w:keepLines w:val="false"/>
        <w:numPr>
          <w:ilvl w:val="0"/>
          <w:numId w:val="2"/>
        </w:numPr>
        <w:tabs>
          <w:tab w:val="clear" w:pos="4320"/>
          <w:tab w:val="clear" w:pos="8640"/>
          <w:tab w:val="center" w:pos="4703" w:leader="none"/>
          <w:tab w:val="right" w:pos="9406" w:leader="none"/>
        </w:tabs>
        <w:overflowPunct w:val="true"/>
        <w:autoSpaceDE w:val="true"/>
        <w:spacing w:lineRule="atLeast" w:line="100"/>
        <w:ind w:hanging="360" w:start="720" w:end="-24"/>
        <w:jc w:val="both"/>
        <w:textAlignment w:val="auto"/>
        <w:rPr>
          <w:rFonts w:ascii="Times New Roman" w:hAnsi="Times New Roman" w:cs="Times New Roman"/>
          <w:color w:val="000000"/>
          <w:sz w:val="24"/>
          <w:szCs w:val="24"/>
          <w:lang w:val="bg-BG"/>
        </w:rPr>
      </w:pPr>
      <w:r>
        <w:rPr>
          <w:rFonts w:cs="Times New Roman" w:ascii="Times New Roman" w:hAnsi="Times New Roman"/>
          <w:sz w:val="24"/>
          <w:szCs w:val="24"/>
          <w:lang w:val="bg-BG"/>
        </w:rPr>
        <w:t>преглед на функционирането на процеси и съответствието на продукта</w:t>
      </w:r>
      <w:r>
        <w:rPr>
          <w:rFonts w:cs="Times New Roman" w:ascii="Times New Roman" w:hAnsi="Times New Roman"/>
          <w:color w:val="000000"/>
          <w:sz w:val="24"/>
          <w:szCs w:val="24"/>
          <w:lang w:val="bg-BG"/>
        </w:rPr>
        <w:t>;</w:t>
      </w:r>
    </w:p>
    <w:p>
      <w:pPr>
        <w:pStyle w:val="Header"/>
        <w:keepLines w:val="false"/>
        <w:numPr>
          <w:ilvl w:val="0"/>
          <w:numId w:val="2"/>
        </w:numPr>
        <w:tabs>
          <w:tab w:val="clear" w:pos="4320"/>
          <w:tab w:val="clear" w:pos="8640"/>
          <w:tab w:val="center" w:pos="4703" w:leader="none"/>
          <w:tab w:val="right" w:pos="9406" w:leader="none"/>
        </w:tabs>
        <w:overflowPunct w:val="true"/>
        <w:autoSpaceDE w:val="true"/>
        <w:spacing w:lineRule="atLeast" w:line="100"/>
        <w:ind w:hanging="360" w:start="720" w:end="-24"/>
        <w:jc w:val="both"/>
        <w:textAlignment w:val="auto"/>
        <w:rPr>
          <w:rFonts w:ascii="Times New Roman" w:hAnsi="Times New Roman" w:cs="Times New Roman"/>
          <w:sz w:val="24"/>
          <w:szCs w:val="24"/>
          <w:lang w:val="bg-BG"/>
        </w:rPr>
      </w:pPr>
      <w:r>
        <w:rPr>
          <w:rFonts w:cs="Times New Roman" w:ascii="Times New Roman" w:hAnsi="Times New Roman"/>
          <w:sz w:val="24"/>
          <w:szCs w:val="24"/>
          <w:lang w:val="bg-BG"/>
        </w:rPr>
        <w:t>преглед на доставчиците за изминалия период;</w:t>
      </w:r>
    </w:p>
    <w:p>
      <w:pPr>
        <w:pStyle w:val="Header"/>
        <w:keepLines w:val="false"/>
        <w:numPr>
          <w:ilvl w:val="0"/>
          <w:numId w:val="2"/>
        </w:numPr>
        <w:tabs>
          <w:tab w:val="clear" w:pos="4320"/>
          <w:tab w:val="clear" w:pos="8640"/>
          <w:tab w:val="center" w:pos="4703" w:leader="none"/>
          <w:tab w:val="right" w:pos="9406" w:leader="none"/>
        </w:tabs>
        <w:overflowPunct w:val="true"/>
        <w:autoSpaceDE w:val="true"/>
        <w:spacing w:lineRule="atLeast" w:line="100"/>
        <w:ind w:hanging="360" w:start="720" w:end="-24"/>
        <w:jc w:val="both"/>
        <w:textAlignment w:val="auto"/>
        <w:rPr>
          <w:rFonts w:ascii="Times New Roman" w:hAnsi="Times New Roman" w:cs="Times New Roman"/>
          <w:sz w:val="24"/>
          <w:szCs w:val="24"/>
          <w:lang w:val="bg-BG"/>
        </w:rPr>
      </w:pPr>
      <w:r>
        <w:rPr>
          <w:rFonts w:cs="Times New Roman" w:ascii="Times New Roman" w:hAnsi="Times New Roman"/>
          <w:sz w:val="24"/>
          <w:szCs w:val="24"/>
          <w:lang w:val="bg-BG"/>
        </w:rPr>
        <w:t>преглед на използваните нормативни документи за актуалност</w:t>
      </w:r>
    </w:p>
    <w:p>
      <w:pPr>
        <w:pStyle w:val="Header"/>
        <w:keepLines w:val="false"/>
        <w:numPr>
          <w:ilvl w:val="0"/>
          <w:numId w:val="2"/>
        </w:numPr>
        <w:tabs>
          <w:tab w:val="left" w:pos="9639" w:leader="none"/>
        </w:tabs>
        <w:spacing w:lineRule="atLeast" w:line="100"/>
        <w:ind w:hanging="360" w:start="720" w:end="-24"/>
        <w:jc w:val="both"/>
        <w:rPr>
          <w:rFonts w:ascii="Times New Roman" w:hAnsi="Times New Roman" w:cs="Times New Roman"/>
          <w:sz w:val="24"/>
          <w:szCs w:val="24"/>
          <w:lang w:val="bg-BG"/>
        </w:rPr>
      </w:pPr>
      <w:r>
        <w:rPr>
          <w:rFonts w:cs="Times New Roman" w:ascii="Times New Roman" w:hAnsi="Times New Roman"/>
          <w:sz w:val="24"/>
          <w:szCs w:val="24"/>
          <w:lang w:val="bg-BG"/>
        </w:rPr>
        <w:t>ефикасността на действията, предприети за овладяване на рисковете и възможностите.</w:t>
      </w:r>
    </w:p>
    <w:p>
      <w:pPr>
        <w:pStyle w:val="Normal"/>
        <w:ind w:firstLine="360" w:end="708"/>
        <w:jc w:val="both"/>
        <w:rPr>
          <w:rFonts w:ascii="Times New Roman" w:hAnsi="Times New Roman" w:cs="Times New Roman"/>
          <w:sz w:val="24"/>
          <w:szCs w:val="24"/>
          <w:lang w:val="bg-BG"/>
        </w:rPr>
      </w:pPr>
      <w:r>
        <w:rPr>
          <w:rFonts w:cs="Times New Roman"/>
          <w:sz w:val="24"/>
          <w:szCs w:val="24"/>
          <w:lang w:val="bg-BG"/>
        </w:rPr>
      </w:r>
    </w:p>
    <w:p>
      <w:pPr>
        <w:pStyle w:val="Normal"/>
        <w:ind w:end="708"/>
        <w:jc w:val="both"/>
        <w:rPr>
          <w:b/>
          <w:u w:val="single"/>
          <w:lang w:val="bg-BG"/>
        </w:rPr>
      </w:pPr>
      <w:r>
        <w:rPr>
          <w:b/>
          <w:u w:val="single"/>
          <w:lang w:val="bg-BG"/>
        </w:rPr>
        <w:t>3. Констатации</w:t>
      </w:r>
    </w:p>
    <w:p>
      <w:pPr>
        <w:pStyle w:val="Normal"/>
        <w:ind w:firstLine="360" w:end="708"/>
        <w:jc w:val="both"/>
        <w:rPr>
          <w:b/>
          <w:u w:val="single"/>
          <w:lang w:val="bg-BG"/>
        </w:rPr>
      </w:pPr>
      <w:r>
        <w:rPr>
          <w:b/>
          <w:u w:val="single"/>
          <w:lang w:val="bg-BG"/>
        </w:rPr>
      </w:r>
    </w:p>
    <w:p>
      <w:pPr>
        <w:pStyle w:val="Normal"/>
        <w:ind w:firstLine="360" w:end="708"/>
        <w:jc w:val="both"/>
        <w:rPr>
          <w:b/>
          <w:lang w:val="bg-BG"/>
        </w:rPr>
      </w:pPr>
      <w:r>
        <w:rPr>
          <w:b/>
          <w:lang w:val="bg-BG"/>
        </w:rPr>
        <w:t>3.1 Преглед на резултатите от вътрешния одит</w:t>
      </w:r>
    </w:p>
    <w:p>
      <w:pPr>
        <w:pStyle w:val="Normal"/>
        <w:ind w:firstLine="360" w:end="708"/>
        <w:jc w:val="both"/>
        <w:rPr>
          <w:b/>
          <w:lang w:val="bg-BG"/>
        </w:rPr>
      </w:pPr>
      <w:r>
        <w:rPr>
          <w:b/>
          <w:lang w:val="bg-BG"/>
        </w:rPr>
      </w:r>
    </w:p>
    <w:p>
      <w:pPr>
        <w:pStyle w:val="Normal"/>
        <w:ind w:firstLine="360" w:end="708"/>
        <w:jc w:val="both"/>
        <w:rPr/>
      </w:pPr>
      <w:r>
        <w:rPr>
          <w:lang w:val="bg-BG"/>
        </w:rPr>
        <w:t>Резултатите от проведения вътрешен одит на 27.01.2022 г. за ефикасността на въведените системи за управление бяха анализирани и са предприети своевременни мерки. Взеха се предвид и мненията на вътрешните одитори относно ефикасността на одит екипа при проверката. Установените препоръки от вътрешния одит са отстранени към настоящия момент. Всички изисквания са спазени.</w:t>
      </w:r>
    </w:p>
    <w:p>
      <w:pPr>
        <w:pStyle w:val="Normal"/>
        <w:ind w:end="708"/>
        <w:jc w:val="both"/>
        <w:rPr>
          <w:b/>
          <w:lang w:val="bg-BG"/>
        </w:rPr>
      </w:pPr>
      <w:r>
        <w:rPr>
          <w:b/>
          <w:lang w:val="bg-BG"/>
        </w:rPr>
      </w:r>
    </w:p>
    <w:p>
      <w:pPr>
        <w:pStyle w:val="Normal"/>
        <w:ind w:firstLine="360" w:end="708"/>
        <w:jc w:val="both"/>
        <w:rPr>
          <w:b/>
          <w:lang w:val="bg-BG"/>
        </w:rPr>
      </w:pPr>
      <w:r>
        <w:rPr>
          <w:b/>
          <w:lang w:val="bg-BG"/>
        </w:rPr>
        <w:t>3.2 Резултати от участия и консултации</w:t>
      </w:r>
    </w:p>
    <w:p>
      <w:pPr>
        <w:pStyle w:val="Normal"/>
        <w:ind w:firstLine="360" w:end="708"/>
        <w:jc w:val="both"/>
        <w:rPr>
          <w:b/>
          <w:lang w:val="bg-BG"/>
        </w:rPr>
      </w:pPr>
      <w:r>
        <w:rPr>
          <w:b/>
          <w:lang w:val="bg-BG"/>
        </w:rPr>
      </w:r>
    </w:p>
    <w:p>
      <w:pPr>
        <w:pStyle w:val="Normal"/>
        <w:ind w:firstLine="360" w:end="708"/>
        <w:jc w:val="both"/>
        <w:rPr>
          <w:lang w:val="bg-BG"/>
        </w:rPr>
      </w:pPr>
      <w:r>
        <w:rPr>
          <w:lang w:val="bg-BG"/>
        </w:rPr>
        <w:t>Вътрешната комуникация във фирмата е гарантирана посредством разпространението на заповеди, провеждане на вътрешни оперативки и информационни табла по обектите и в офиса. Във фирмата е създаден ГУТ и работна група по ОС, чрез които се извършва консултиране на работниците /посредством техния представител/. Протоколирани са регламентирания брой заседания на ГУТ и работната група по ОС, съгласно нормативната база и изискванията на стандартите. По отношение консултацията с трети страни, фирмата е разпространила политиката си по БЗР и ОС на всички страни, проявили интерес към дейността на дружеството. Съставен е и списък на заинтересованите страни, включващ контактни данни за всяка от тях. Списъкът е наличен на работните площадки на фирмата и служителите се запознават с него по време на периодичните инструктажи по БЗР и опреснителните обучения за ИСУ. Ръководството на фирмата използва всяка предоставена възможност за запознаване на заинтересованите страни с необходимите данни.</w:t>
      </w:r>
    </w:p>
    <w:p>
      <w:pPr>
        <w:pStyle w:val="Normal"/>
        <w:ind w:end="708"/>
        <w:jc w:val="both"/>
        <w:rPr>
          <w:b/>
          <w:lang w:val="bg-BG"/>
        </w:rPr>
      </w:pPr>
      <w:r>
        <w:rPr>
          <w:b/>
          <w:lang w:val="bg-BG"/>
        </w:rPr>
      </w:r>
    </w:p>
    <w:p>
      <w:pPr>
        <w:pStyle w:val="Normal"/>
        <w:ind w:firstLine="360" w:end="708"/>
        <w:jc w:val="both"/>
        <w:rPr>
          <w:b/>
          <w:lang w:val="bg-BG"/>
        </w:rPr>
      </w:pPr>
      <w:r>
        <w:rPr>
          <w:b/>
          <w:lang w:val="bg-BG"/>
        </w:rPr>
        <w:t>3.3 Информация от външни заинтересовани страни</w:t>
      </w:r>
    </w:p>
    <w:p>
      <w:pPr>
        <w:pStyle w:val="Normal"/>
        <w:ind w:firstLine="360" w:end="708"/>
        <w:jc w:val="both"/>
        <w:rPr>
          <w:b/>
          <w:lang w:val="bg-BG"/>
        </w:rPr>
      </w:pPr>
      <w:r>
        <w:rPr>
          <w:b/>
          <w:lang w:val="bg-BG"/>
        </w:rPr>
      </w:r>
    </w:p>
    <w:p>
      <w:pPr>
        <w:pStyle w:val="Normal"/>
        <w:ind w:firstLine="360" w:end="708"/>
        <w:jc w:val="both"/>
        <w:rPr/>
      </w:pPr>
      <w:r>
        <w:rPr>
          <w:lang w:val="bg-BG"/>
        </w:rPr>
        <w:t>До момента не са констатирани рекламации и жалби от външни заинтересовани страни и клиенти. Ръководството на фирмата е предприело необходимите мерки за адекватна реакция при получаването на такива. Заинтересованите страни биват уведомявани при промяна в политиката на ИСУ, както и за по-мащабни промени в ИСУ на дружеството.</w:t>
      </w:r>
      <w:r>
        <w:rPr/>
        <w:t xml:space="preserve"> </w:t>
      </w:r>
      <w:r>
        <w:rPr>
          <w:lang w:val="bg-BG"/>
        </w:rPr>
        <w:t>Предписаните препоръки от миналогодишния одит на ИСУ от сертифициращата организация са изпълнени.</w:t>
      </w:r>
    </w:p>
    <w:p>
      <w:pPr>
        <w:pStyle w:val="Normal"/>
        <w:ind w:end="708"/>
        <w:jc w:val="both"/>
        <w:rPr>
          <w:b/>
          <w:lang w:val="bg-BG"/>
        </w:rPr>
      </w:pPr>
      <w:r>
        <w:rPr>
          <w:b/>
          <w:lang w:val="bg-BG"/>
        </w:rPr>
      </w:r>
    </w:p>
    <w:p>
      <w:pPr>
        <w:pStyle w:val="Normal"/>
        <w:ind w:firstLine="360" w:end="708"/>
        <w:jc w:val="both"/>
        <w:rPr>
          <w:b/>
          <w:lang w:val="bg-BG"/>
        </w:rPr>
      </w:pPr>
      <w:r>
        <w:rPr>
          <w:b/>
          <w:lang w:val="bg-BG"/>
        </w:rPr>
        <w:t>3.4 Изпълнение на дейностите, свързани със БЗР</w:t>
      </w:r>
    </w:p>
    <w:p>
      <w:pPr>
        <w:pStyle w:val="Normal"/>
        <w:ind w:firstLine="360" w:end="708"/>
        <w:jc w:val="both"/>
        <w:rPr>
          <w:b/>
          <w:lang w:val="bg-BG"/>
        </w:rPr>
      </w:pPr>
      <w:r>
        <w:rPr>
          <w:b/>
          <w:lang w:val="bg-BG"/>
        </w:rPr>
      </w:r>
    </w:p>
    <w:p>
      <w:pPr>
        <w:pStyle w:val="Normal"/>
        <w:ind w:firstLine="360" w:end="708"/>
        <w:jc w:val="both"/>
        <w:rPr/>
      </w:pPr>
      <w:r>
        <w:rPr>
          <w:lang w:val="bg-BG"/>
        </w:rPr>
        <w:t xml:space="preserve">Ръководството на фирмата е предприело всички регламентирани от нормативната база изисквания да бъдат спазени. За настоящата година не са констатирани нарушения от проведени проверки от Регионалната дирекция на инспекцията по труда. Закупени са Ревизионни книги за извършени инспекции. Водят се стриктно записи за раздадени ЛПС, попълват с стриктно книгите за периодичен, ежедневен и встъпителен инструктаж. Предприети са всички мерки за осигуряване на здравословни и безопасни условия на труд на всички работни площадки на фирмата. Нормативната база се познава от целия ръководен състав. Редовно се актуализират всички закони, директиви, наредби и разпоредби, свързани със БЗР. С оглед стриктно изпълняване и следване на изискванията на </w:t>
      </w:r>
      <w:r>
        <w:rPr/>
        <w:t xml:space="preserve">ISO </w:t>
      </w:r>
      <w:r>
        <w:rPr>
          <w:lang w:val="bg-BG"/>
        </w:rPr>
        <w:t>45</w:t>
      </w:r>
      <w:r>
        <w:rPr/>
        <w:t>001:20</w:t>
      </w:r>
      <w:r>
        <w:rPr>
          <w:lang w:val="bg-BG"/>
        </w:rPr>
        <w:t>18 оценката на риска търпи постоянна актуализация и корекция. Тя послужи за определяне на степента на възможните рискови фактори, влияещи върху здравето на целия персонал. Постигнатите нива са заложени в програмата за намаляване на риска и ръководството на фирмата ежедневно се стреми да намали до минимум всеки евентуален рисков фактор. Изпълнението на програмата за намаляване на значимите рискове се оценява като добро, поставените дългосрочни цели се съблюдават при извършване на дейностите.</w:t>
      </w:r>
    </w:p>
    <w:p>
      <w:pPr>
        <w:pStyle w:val="Normal"/>
        <w:ind w:firstLine="360" w:end="708"/>
        <w:jc w:val="both"/>
        <w:rPr>
          <w:b/>
          <w:lang w:val="bg-BG"/>
        </w:rPr>
      </w:pPr>
      <w:r>
        <w:rPr>
          <w:b/>
          <w:lang w:val="bg-BG"/>
        </w:rPr>
      </w:r>
    </w:p>
    <w:p>
      <w:pPr>
        <w:pStyle w:val="Normal"/>
        <w:ind w:firstLine="360" w:end="708"/>
        <w:jc w:val="both"/>
        <w:rPr>
          <w:b/>
          <w:lang w:val="bg-BG"/>
        </w:rPr>
      </w:pPr>
      <w:r>
        <w:rPr>
          <w:b/>
          <w:lang w:val="bg-BG"/>
        </w:rPr>
        <w:t>3.5 Резултатност спрямо околната среда на организацията</w:t>
      </w:r>
    </w:p>
    <w:p>
      <w:pPr>
        <w:pStyle w:val="Normal"/>
        <w:ind w:firstLine="360" w:end="708"/>
        <w:jc w:val="both"/>
        <w:rPr>
          <w:b/>
          <w:lang w:val="bg-BG"/>
        </w:rPr>
      </w:pPr>
      <w:r>
        <w:rPr>
          <w:b/>
          <w:lang w:val="bg-BG"/>
        </w:rPr>
      </w:r>
    </w:p>
    <w:p>
      <w:pPr>
        <w:pStyle w:val="Normal"/>
        <w:ind w:firstLine="360" w:end="708"/>
        <w:jc w:val="both"/>
        <w:rPr/>
      </w:pPr>
      <w:r>
        <w:rPr>
          <w:lang w:val="bg-BG"/>
        </w:rPr>
        <w:t>За периода от провеждането на миналия преглед от ръководството до момента са събрани необходимите данни за резултатност спрямо въздействието върху околната среда от организацията. При преразглеждане на аспектите в началото на годината, оценката на значимият аспект е запазена, тъй като не всички заложени действия за неговото намаляване са изпълнени. Програмата за управление на значимият аспект е актуализирани и са предвидени по-адекватни дейности, които следва да се предприемат, за да се занижи влиянието на аспекта.. В мерките са заложени начините на провеждане на мониторинг на значимият аспект през настоящата 2022 г. Предприети са действия и за останалите идентифицирани аспекти, макар и незначителни. Заложените действия за намаляване значимостта на аспектите са съобразени с изискванията на стандарта за опазване на околна среда ISO 14001:2015 и са в резултат от дейността на създадената чрез заповед Работна група на ИСУ.</w:t>
      </w:r>
      <w:r>
        <w:rPr>
          <w:color w:val="FF0000"/>
          <w:lang w:val="bg-BG"/>
        </w:rPr>
        <w:t xml:space="preserve"> </w:t>
      </w:r>
    </w:p>
    <w:p>
      <w:pPr>
        <w:pStyle w:val="Normal"/>
        <w:ind w:firstLine="360" w:end="708"/>
        <w:jc w:val="both"/>
        <w:rPr>
          <w:b/>
          <w:color w:val="FF0000"/>
          <w:lang w:val="bg-BG"/>
        </w:rPr>
      </w:pPr>
      <w:r>
        <w:rPr>
          <w:b/>
          <w:color w:val="FF0000"/>
          <w:lang w:val="bg-BG"/>
        </w:rPr>
      </w:r>
    </w:p>
    <w:p>
      <w:pPr>
        <w:pStyle w:val="Normal"/>
        <w:ind w:firstLine="360" w:end="708"/>
        <w:jc w:val="both"/>
        <w:rPr>
          <w:b/>
          <w:lang w:val="bg-BG"/>
        </w:rPr>
      </w:pPr>
      <w:r>
        <w:rPr>
          <w:b/>
          <w:lang w:val="bg-BG"/>
        </w:rPr>
        <w:t xml:space="preserve">3.6 Степен да достигане на целите по качеството, БЗР и ОС </w:t>
      </w:r>
    </w:p>
    <w:p>
      <w:pPr>
        <w:pStyle w:val="Normal"/>
        <w:ind w:firstLine="360" w:end="708"/>
        <w:jc w:val="both"/>
        <w:rPr>
          <w:b/>
          <w:lang w:val="bg-BG"/>
        </w:rPr>
      </w:pPr>
      <w:r>
        <w:rPr>
          <w:b/>
          <w:lang w:val="bg-BG"/>
        </w:rPr>
      </w:r>
    </w:p>
    <w:p>
      <w:pPr>
        <w:pStyle w:val="Normal"/>
        <w:ind w:firstLine="360" w:end="708"/>
        <w:jc w:val="both"/>
        <w:rPr>
          <w:lang w:val="bg-BG"/>
        </w:rPr>
      </w:pPr>
      <w:r>
        <w:rPr>
          <w:lang w:val="bg-BG"/>
        </w:rPr>
        <w:t xml:space="preserve">Ръководството на дружеството определи дългосрочни общи цели по качеството, БЗР и ОС, заложени в декларацията от ръководството и лично е поема ангажимент за тяхното изпълнение. </w:t>
      </w:r>
    </w:p>
    <w:p>
      <w:pPr>
        <w:pStyle w:val="Normal"/>
        <w:ind w:firstLine="360" w:end="708"/>
        <w:jc w:val="both"/>
        <w:rPr>
          <w:lang w:val="bg-BG"/>
        </w:rPr>
      </w:pPr>
      <w:r>
        <w:rPr>
          <w:lang w:val="bg-BG"/>
        </w:rPr>
        <w:t xml:space="preserve">Определени са конкретни цели за качеството, опазване на околната среда и здравословна и безопасна работа, чиято степен на изпълнение за момента може да бъде оценена. Определени са конкретни цели по ОС, на базата на значимите цели по околната среда в организацията. Заложени са мерки за ограничаване на въздействието на аспекта, съгласно програмата за управление на значимите аспекти. </w:t>
      </w:r>
    </w:p>
    <w:p>
      <w:pPr>
        <w:pStyle w:val="Normal"/>
        <w:ind w:firstLine="360" w:end="708"/>
        <w:jc w:val="both"/>
        <w:rPr/>
      </w:pPr>
      <w:r>
        <w:rPr>
          <w:lang w:val="bg-BG"/>
        </w:rPr>
        <w:t xml:space="preserve">Изпълнението на целите по ОС за изминалата година се оценява като задоволително, предвид факта, че значимият за 2021 г. аспект е запазил своята оценка, след недотам толкова успешното изпълнение на пакета мерки, предложени в началото на 2022 г. </w:t>
      </w:r>
    </w:p>
    <w:p>
      <w:pPr>
        <w:pStyle w:val="Normal"/>
        <w:ind w:firstLine="360" w:end="708"/>
        <w:jc w:val="both"/>
        <w:rPr/>
      </w:pPr>
      <w:r>
        <w:rPr>
          <w:lang w:val="bg-BG"/>
        </w:rPr>
        <w:t>Конкретна цел за БЗР за изминалата година бе недопускането на трудови злополуки при работа и използването на адекватни лични предпазни средства. Въз основа на проведени редовни обучения и инструктажи, раздадени лични предпазни средства и постоянно повишаване на квалификацията и компетентността на сътрудниците, за изминалата година не е допуснат инцидент на работните площадки на дружеството. Изпълнението на целите по БЗР за 2021 г. също се оценява като много успешно.</w:t>
      </w:r>
    </w:p>
    <w:p>
      <w:pPr>
        <w:pStyle w:val="Normal"/>
        <w:ind w:firstLine="360" w:end="708"/>
        <w:jc w:val="both"/>
        <w:rPr/>
      </w:pPr>
      <w:r>
        <w:rPr>
          <w:lang w:val="bg-BG"/>
        </w:rPr>
        <w:t>Степента на постигане на заложените цели по качеството за 2022 година се оценява като сравнително висока, като се има предвид пазарната обстановка. Непостигнатите цели са предимно свързани с отделянето на финансови средства и са прехвърлени или отложени за следващ период от време.</w:t>
      </w:r>
    </w:p>
    <w:p>
      <w:pPr>
        <w:pStyle w:val="Normal"/>
        <w:ind w:end="708"/>
        <w:jc w:val="both"/>
        <w:rPr>
          <w:lang w:val="bg-BG"/>
        </w:rPr>
      </w:pPr>
      <w:r>
        <w:rPr>
          <w:lang w:val="bg-BG"/>
        </w:rPr>
      </w:r>
    </w:p>
    <w:p>
      <w:pPr>
        <w:pStyle w:val="Normal"/>
        <w:ind w:firstLine="360" w:end="708"/>
        <w:jc w:val="both"/>
        <w:rPr>
          <w:b/>
          <w:lang w:val="bg-BG"/>
        </w:rPr>
      </w:pPr>
      <w:r>
        <w:rPr>
          <w:b/>
          <w:lang w:val="bg-BG"/>
        </w:rPr>
        <w:t>3.7 Състояние на разследването на инциденти и коригиращите действия</w:t>
      </w:r>
    </w:p>
    <w:p>
      <w:pPr>
        <w:pStyle w:val="Normal"/>
        <w:ind w:firstLine="360" w:end="708"/>
        <w:jc w:val="both"/>
        <w:rPr>
          <w:b/>
          <w:lang w:val="bg-BG"/>
        </w:rPr>
      </w:pPr>
      <w:r>
        <w:rPr>
          <w:b/>
          <w:lang w:val="bg-BG"/>
        </w:rPr>
      </w:r>
    </w:p>
    <w:p>
      <w:pPr>
        <w:pStyle w:val="Normal"/>
        <w:ind w:firstLine="360" w:end="708"/>
        <w:jc w:val="both"/>
        <w:rPr/>
      </w:pPr>
      <w:r>
        <w:rPr>
          <w:lang w:val="bg-BG"/>
        </w:rPr>
        <w:t>Фирмата е предприела всички необходими мерки за недопускане на инциденти на работните площадки. Разработена е програма за намаляване на риска и са взети предвид всички законови изисквания. При проведения вътрешен одит са констатирани препоръки, за които незабавно са предприети необходимите мерки, съгласно действащите процедури. Нагледна е пълна проследимост на предприетите коригиращи действия. Взети са в предвид всички указания, констатирани при проведения вътрешен одит. Ръководството цели чрез анализ на всички предприети мерки и указания да намали до минимум степента на риска в организацията и намаляване въздействието на значимите аспекти върху околната среда. Поради предприетите мерки, през 2021 година не са регистрирани инциденти, несъответствия и коригиращи мерки по отношение на БЗР и ОС.</w:t>
      </w:r>
    </w:p>
    <w:p>
      <w:pPr>
        <w:pStyle w:val="Normal"/>
        <w:ind w:firstLine="360" w:end="708"/>
        <w:jc w:val="both"/>
        <w:rPr/>
      </w:pPr>
      <w:r>
        <w:rPr>
          <w:lang w:val="bg-BG"/>
        </w:rPr>
        <w:t>От гледна точка на качеството, през изминалата година се проявяват типичните несъответствия, в намален мащаб, в следствие на дребни разминавания между поръчано и доставено количество стоки, вината за което е изцяло на доставчиците. Своевременно предприетите коригиращи и превантивни мерки и преразгледаната оценка на доставчиците спомагат за бъдещото недопускане на подобни разминавания.</w:t>
      </w:r>
    </w:p>
    <w:p>
      <w:pPr>
        <w:pStyle w:val="Normal"/>
        <w:ind w:firstLine="360" w:end="708"/>
        <w:jc w:val="both"/>
        <w:rPr>
          <w:lang w:val="bg-BG"/>
        </w:rPr>
      </w:pPr>
      <w:r>
        <w:rPr>
          <w:lang w:val="bg-BG"/>
        </w:rPr>
        <w:t>Служителите документират редовно своите предложения за коригиращи мерки, като ръководството преглежда записите и дава своето становище по възникналите предложения.</w:t>
      </w:r>
    </w:p>
    <w:p>
      <w:pPr>
        <w:pStyle w:val="Normal"/>
        <w:ind w:firstLine="360" w:end="708"/>
        <w:jc w:val="both"/>
        <w:rPr>
          <w:lang w:val="bg-BG"/>
        </w:rPr>
      </w:pPr>
      <w:r>
        <w:rPr>
          <w:lang w:val="bg-BG"/>
        </w:rPr>
      </w:r>
    </w:p>
    <w:p>
      <w:pPr>
        <w:pStyle w:val="Normal"/>
        <w:ind w:firstLine="360" w:end="708"/>
        <w:jc w:val="both"/>
        <w:rPr>
          <w:b/>
          <w:lang w:val="bg-BG"/>
        </w:rPr>
      </w:pPr>
      <w:r>
        <w:rPr>
          <w:b/>
          <w:lang w:val="bg-BG"/>
        </w:rPr>
        <w:t>3.8 Действия, последвали от предишни прегледи от ръководството</w:t>
      </w:r>
    </w:p>
    <w:p>
      <w:pPr>
        <w:pStyle w:val="Normal"/>
        <w:ind w:firstLine="360" w:end="708"/>
        <w:jc w:val="both"/>
        <w:rPr>
          <w:b/>
          <w:lang w:val="bg-BG"/>
        </w:rPr>
      </w:pPr>
      <w:r>
        <w:rPr>
          <w:b/>
          <w:lang w:val="bg-BG"/>
        </w:rPr>
      </w:r>
    </w:p>
    <w:p>
      <w:pPr>
        <w:pStyle w:val="Normal"/>
        <w:ind w:firstLine="360" w:end="708"/>
        <w:jc w:val="both"/>
        <w:rPr>
          <w:lang w:val="bg-BG"/>
        </w:rPr>
      </w:pPr>
      <w:r>
        <w:rPr>
          <w:lang w:val="bg-BG"/>
        </w:rPr>
        <w:t xml:space="preserve">Изходните елементи от миналогодишния преглед от ръководството са предприети и се изпълняват. Следва обаче да продължи да се работи върху насърчаване на получаването на обратна връзка от служителите на фирмата по отношение на ИСУ и съответно да се генерират повече записи в бланките за предложения за коригиращи мерки. </w:t>
      </w:r>
    </w:p>
    <w:p>
      <w:pPr>
        <w:pStyle w:val="Normal"/>
        <w:ind w:end="708"/>
        <w:jc w:val="both"/>
        <w:rPr>
          <w:lang w:val="bg-BG"/>
        </w:rPr>
      </w:pPr>
      <w:r>
        <w:rPr>
          <w:lang w:val="bg-BG"/>
        </w:rPr>
      </w:r>
    </w:p>
    <w:p>
      <w:pPr>
        <w:pStyle w:val="Normal"/>
        <w:ind w:firstLine="360" w:end="708"/>
        <w:jc w:val="both"/>
        <w:rPr/>
      </w:pPr>
      <w:r>
        <w:rPr>
          <w:b/>
        </w:rPr>
        <w:t>3.9 П</w:t>
      </w:r>
      <w:r>
        <w:rPr>
          <w:b/>
          <w:lang w:val="bg-BG"/>
        </w:rPr>
        <w:t>ромени в обстоятелствата</w:t>
      </w:r>
    </w:p>
    <w:p>
      <w:pPr>
        <w:pStyle w:val="Normal"/>
        <w:ind w:firstLine="360" w:end="708"/>
        <w:jc w:val="both"/>
        <w:rPr>
          <w:b/>
          <w:lang w:val="bg-BG"/>
        </w:rPr>
      </w:pPr>
      <w:r>
        <w:rPr>
          <w:b/>
          <w:lang w:val="bg-BG"/>
        </w:rPr>
      </w:r>
    </w:p>
    <w:p>
      <w:pPr>
        <w:pStyle w:val="Normal"/>
        <w:ind w:firstLine="360" w:end="708"/>
        <w:jc w:val="both"/>
        <w:rPr>
          <w:lang w:val="bg-BG"/>
        </w:rPr>
      </w:pPr>
      <w:r>
        <w:rPr>
          <w:lang w:val="bg-BG"/>
        </w:rPr>
        <w:t>Чрез заповед от ръководството са определени лица, които са задължени редовно да актуализират базата данни на нормативни документи и изисквания, касаещи дейността на организацията. Създали сме необходимата инфраструктура, осигуряваща бърз и надежден достъп до електронните страници на всички министерства и ведомства, имащи отношение към дейността на дружеството. До настоящия момент не са констатирани и установени съществени промени в нормативните изисквания.</w:t>
      </w:r>
    </w:p>
    <w:p>
      <w:pPr>
        <w:pStyle w:val="Normal"/>
        <w:ind w:firstLine="360" w:end="708"/>
        <w:jc w:val="both"/>
        <w:rPr>
          <w:b/>
          <w:lang w:val="bg-BG"/>
        </w:rPr>
      </w:pPr>
      <w:r>
        <w:rPr>
          <w:b/>
          <w:lang w:val="bg-BG"/>
        </w:rPr>
      </w:r>
    </w:p>
    <w:p>
      <w:pPr>
        <w:pStyle w:val="Normal"/>
        <w:ind w:firstLine="360" w:end="708"/>
        <w:jc w:val="both"/>
        <w:rPr>
          <w:b/>
          <w:lang w:val="bg-BG"/>
        </w:rPr>
      </w:pPr>
      <w:r>
        <w:rPr>
          <w:b/>
          <w:lang w:val="bg-BG"/>
        </w:rPr>
        <w:t>3.10 Препоръки за подобряване</w:t>
      </w:r>
    </w:p>
    <w:p>
      <w:pPr>
        <w:pStyle w:val="Normal"/>
        <w:ind w:firstLine="360" w:end="708"/>
        <w:jc w:val="both"/>
        <w:rPr>
          <w:b/>
          <w:lang w:val="bg-BG"/>
        </w:rPr>
      </w:pPr>
      <w:r>
        <w:rPr>
          <w:b/>
          <w:lang w:val="bg-BG"/>
        </w:rPr>
      </w:r>
    </w:p>
    <w:p>
      <w:pPr>
        <w:pStyle w:val="Normal"/>
        <w:ind w:firstLine="360" w:end="708"/>
        <w:jc w:val="both"/>
        <w:rPr>
          <w:lang w:val="bg-BG"/>
        </w:rPr>
      </w:pPr>
      <w:r>
        <w:rPr>
          <w:lang w:val="bg-BG"/>
        </w:rPr>
        <w:t xml:space="preserve">За изминалата година не са постъпили препоръки от заинтересованите страни. Постъпилите предложения за извършване на коригиращи и превантивни действия от страна на работещите във фирмата в основни линии са относно подмяната на дефектирало оборудване и техника, както и подобряване на условията на труд. Следва да се обърне внимание и да се акцентира върху повишаване на ангажираността на сътрудниците на фирмата по отношение на ИСУ. </w:t>
      </w:r>
    </w:p>
    <w:p>
      <w:pPr>
        <w:pStyle w:val="Normal"/>
        <w:ind w:firstLine="360" w:end="708"/>
        <w:jc w:val="both"/>
        <w:rPr>
          <w:lang w:val="bg-BG"/>
        </w:rPr>
      </w:pPr>
      <w:r>
        <w:rPr>
          <w:lang w:val="bg-BG"/>
        </w:rPr>
      </w:r>
    </w:p>
    <w:p>
      <w:pPr>
        <w:pStyle w:val="Normal"/>
        <w:ind w:firstLine="360" w:end="708"/>
        <w:jc w:val="both"/>
        <w:rPr>
          <w:b/>
          <w:lang w:val="bg-BG"/>
        </w:rPr>
      </w:pPr>
      <w:r>
        <w:rPr>
          <w:b/>
          <w:lang w:val="bg-BG"/>
        </w:rPr>
        <w:t>3.11 Преглед на удовлетвореността на клиента</w:t>
      </w:r>
    </w:p>
    <w:p>
      <w:pPr>
        <w:pStyle w:val="Normal"/>
        <w:ind w:firstLine="360" w:end="708"/>
        <w:jc w:val="both"/>
        <w:rPr>
          <w:b/>
          <w:lang w:val="bg-BG"/>
        </w:rPr>
      </w:pPr>
      <w:r>
        <w:rPr>
          <w:b/>
          <w:lang w:val="bg-BG"/>
        </w:rPr>
      </w:r>
    </w:p>
    <w:p>
      <w:pPr>
        <w:pStyle w:val="Normal"/>
        <w:ind w:firstLine="360" w:end="708"/>
        <w:jc w:val="both"/>
        <w:rPr>
          <w:lang w:val="bg-BG"/>
        </w:rPr>
      </w:pPr>
      <w:r>
        <w:rPr>
          <w:lang w:val="bg-BG"/>
        </w:rPr>
        <w:t xml:space="preserve">Проверката за резултатите от дейностите, свързани с качеството на предлаганите от фирмата продукти и услуги показва, че дейностите отговарят на изискванията на клиента и на поставените цели. Доказателство за това са попълнените анкети на клиентската удовлетвореност, включващи положителни оценки за дейността на дружеството. Това показва, че фирмата е въвела обратна връзка с клиентите си. Проверката за степента на изпълнение на процедурите, инструкциите и работните документи на ИСУ показва, че има съответствие между документите и практиката. </w:t>
      </w:r>
    </w:p>
    <w:p>
      <w:pPr>
        <w:pStyle w:val="Normal"/>
        <w:ind w:firstLine="360" w:end="708"/>
        <w:jc w:val="both"/>
        <w:rPr>
          <w:lang w:val="bg-BG"/>
        </w:rPr>
      </w:pPr>
      <w:r>
        <w:rPr>
          <w:lang w:val="bg-BG"/>
        </w:rPr>
        <w:t>Персоналът на организацията изследва мненията на клиентите относно степента им на удовлетвореност и ги оценява в анкетната карта.</w:t>
      </w:r>
    </w:p>
    <w:p>
      <w:pPr>
        <w:pStyle w:val="Normal"/>
        <w:ind w:firstLine="360" w:end="708"/>
        <w:jc w:val="both"/>
        <w:rPr>
          <w:lang w:val="bg-BG"/>
        </w:rPr>
      </w:pPr>
      <w:r>
        <w:rPr>
          <w:lang w:val="bg-BG"/>
        </w:rPr>
      </w:r>
    </w:p>
    <w:p>
      <w:pPr>
        <w:pStyle w:val="Normal"/>
        <w:ind w:firstLine="360" w:end="708"/>
        <w:jc w:val="both"/>
        <w:rPr>
          <w:lang w:val="bg-BG"/>
        </w:rPr>
      </w:pPr>
      <w:r>
        <w:rPr>
          <w:lang w:val="bg-BG"/>
        </w:rPr>
      </w:r>
    </w:p>
    <w:p>
      <w:pPr>
        <w:pStyle w:val="Normal"/>
        <w:ind w:firstLine="360" w:end="708"/>
        <w:jc w:val="both"/>
        <w:rPr>
          <w:b/>
          <w:lang w:val="bg-BG"/>
        </w:rPr>
      </w:pPr>
      <w:r>
        <w:rPr>
          <w:b/>
          <w:lang w:val="bg-BG"/>
        </w:rPr>
        <w:t>3.12. Преглед на съответствието с изискванията на продукта</w:t>
      </w:r>
    </w:p>
    <w:p>
      <w:pPr>
        <w:pStyle w:val="Normal"/>
        <w:ind w:firstLine="360" w:end="708"/>
        <w:jc w:val="both"/>
        <w:rPr>
          <w:b/>
          <w:lang w:val="bg-BG"/>
        </w:rPr>
      </w:pPr>
      <w:r>
        <w:rPr>
          <w:b/>
          <w:lang w:val="bg-BG"/>
        </w:rPr>
      </w:r>
    </w:p>
    <w:p>
      <w:pPr>
        <w:pStyle w:val="Normal"/>
        <w:ind w:firstLine="360" w:end="708"/>
        <w:jc w:val="both"/>
        <w:rPr/>
      </w:pPr>
      <w:r>
        <w:rPr>
          <w:lang w:val="bg-BG"/>
        </w:rPr>
        <w:t>От направения вътрешен одит и изпълнените поръчки на клиенти е установено, че фирмата произвежда продукти, които съответстват на поставените изискванията, както по нормативна база, така и по качеството, зададено в изискванията на Клиента. Доказателство за това е обемът реализирани продажби за изминалата година и постигането на целите по качеството за 2021 г.</w:t>
      </w:r>
      <w:r>
        <w:rPr>
          <w:color w:val="000000"/>
          <w:lang w:val="bg-BG"/>
        </w:rPr>
        <w:t xml:space="preserve"> Забелязва се забавяне на изпълнението на отделни доставки, поради смяна на изискванията на клиента. Тези проблеми се дискутират и в бъдеще с клиентите и ще се стремят да ги отстраняват своевременно.</w:t>
      </w:r>
    </w:p>
    <w:p>
      <w:pPr>
        <w:pStyle w:val="Header"/>
        <w:spacing w:lineRule="atLeast" w:line="100"/>
        <w:ind w:end="-23"/>
        <w:jc w:val="both"/>
        <w:rPr>
          <w:rFonts w:ascii="Times New Roman" w:hAnsi="Times New Roman" w:cs="Times New Roman"/>
          <w:color w:val="000000"/>
          <w:sz w:val="24"/>
          <w:szCs w:val="24"/>
          <w:lang w:val="bg-BG"/>
        </w:rPr>
      </w:pPr>
      <w:r>
        <w:rPr>
          <w:rFonts w:cs="Times New Roman" w:ascii="Times New Roman" w:hAnsi="Times New Roman"/>
          <w:color w:val="000000"/>
          <w:sz w:val="24"/>
          <w:szCs w:val="24"/>
          <w:lang w:val="bg-BG"/>
        </w:rPr>
      </w:r>
    </w:p>
    <w:p>
      <w:pPr>
        <w:pStyle w:val="Header"/>
        <w:spacing w:lineRule="atLeast" w:line="100"/>
        <w:ind w:start="426" w:end="-23"/>
        <w:jc w:val="both"/>
        <w:rPr>
          <w:rFonts w:ascii="Times New Roman" w:hAnsi="Times New Roman" w:cs="Times New Roman"/>
          <w:b/>
          <w:sz w:val="24"/>
          <w:szCs w:val="24"/>
          <w:lang w:val="bg-BG"/>
        </w:rPr>
      </w:pPr>
      <w:r>
        <w:rPr>
          <w:rFonts w:cs="Times New Roman" w:ascii="Times New Roman" w:hAnsi="Times New Roman"/>
          <w:b/>
          <w:sz w:val="24"/>
          <w:szCs w:val="24"/>
          <w:lang w:val="bg-BG"/>
        </w:rPr>
        <w:t>3.13. Преглед на функционирането на процесите и продуктите</w:t>
      </w:r>
    </w:p>
    <w:p>
      <w:pPr>
        <w:pStyle w:val="Header"/>
        <w:spacing w:lineRule="atLeast" w:line="100"/>
        <w:ind w:start="426" w:end="-23"/>
        <w:jc w:val="both"/>
        <w:rPr>
          <w:rFonts w:ascii="Times New Roman" w:hAnsi="Times New Roman" w:cs="Times New Roman"/>
          <w:b/>
          <w:sz w:val="24"/>
          <w:szCs w:val="24"/>
          <w:lang w:val="bg-BG"/>
        </w:rPr>
      </w:pPr>
      <w:r>
        <w:rPr>
          <w:rFonts w:cs="Times New Roman" w:ascii="Times New Roman" w:hAnsi="Times New Roman"/>
          <w:b/>
          <w:sz w:val="24"/>
          <w:szCs w:val="24"/>
          <w:lang w:val="bg-BG"/>
        </w:rPr>
        <w:tab/>
      </w:r>
    </w:p>
    <w:p>
      <w:pPr>
        <w:pStyle w:val="Header"/>
        <w:spacing w:lineRule="atLeast" w:line="100"/>
        <w:ind w:end="708"/>
        <w:jc w:val="both"/>
        <w:rPr>
          <w:rFonts w:ascii="Times New Roman" w:hAnsi="Times New Roman" w:cs="Times New Roman"/>
          <w:sz w:val="24"/>
          <w:szCs w:val="24"/>
          <w:lang w:val="bg-BG"/>
        </w:rPr>
      </w:pPr>
      <w:r>
        <w:rPr>
          <w:rFonts w:cs="Times New Roman" w:ascii="Times New Roman" w:hAnsi="Times New Roman"/>
          <w:sz w:val="24"/>
          <w:szCs w:val="24"/>
          <w:lang w:val="bg-BG"/>
        </w:rPr>
        <w:tab/>
        <w:t xml:space="preserve">Анализите показват, че системата работи и непрекъснато се подобрява, както по отношение на писмените процедури за осъществяване на процесите, така и по отношение на записите, които доказват функционирането на отделните процеси. </w:t>
      </w:r>
    </w:p>
    <w:p>
      <w:pPr>
        <w:pStyle w:val="Header"/>
        <w:spacing w:lineRule="atLeast" w:line="100"/>
        <w:ind w:end="708"/>
        <w:jc w:val="both"/>
        <w:rPr/>
      </w:pPr>
      <w:r>
        <w:rPr>
          <w:rFonts w:cs="Times New Roman" w:ascii="Times New Roman" w:hAnsi="Times New Roman"/>
          <w:sz w:val="24"/>
          <w:szCs w:val="24"/>
          <w:lang w:val="bg-BG"/>
        </w:rPr>
        <w:tab/>
      </w:r>
      <w:r>
        <w:rPr>
          <w:rFonts w:cs="Times New Roman" w:ascii="Times New Roman" w:hAnsi="Times New Roman"/>
          <w:color w:val="000000"/>
          <w:sz w:val="24"/>
          <w:szCs w:val="24"/>
          <w:lang w:val="bg-BG"/>
        </w:rPr>
        <w:t>Прави се периодично оценка на машините и съоръженията, както и техническите средства за измерване и поетапно се бракуват и се заменят с нови такива, съгласно инвестиционния план.</w:t>
      </w:r>
    </w:p>
    <w:p>
      <w:pPr>
        <w:pStyle w:val="Header"/>
        <w:spacing w:lineRule="atLeast" w:line="100"/>
        <w:ind w:firstLine="720" w:end="708"/>
        <w:jc w:val="both"/>
        <w:rPr>
          <w:rFonts w:ascii="Times New Roman" w:hAnsi="Times New Roman" w:cs="Times New Roman"/>
          <w:sz w:val="24"/>
          <w:szCs w:val="24"/>
          <w:lang w:val="bg-BG"/>
        </w:rPr>
      </w:pPr>
      <w:r>
        <w:rPr>
          <w:rFonts w:cs="Times New Roman" w:ascii="Times New Roman" w:hAnsi="Times New Roman"/>
          <w:sz w:val="24"/>
          <w:szCs w:val="24"/>
          <w:lang w:val="bg-BG"/>
        </w:rPr>
        <w:t xml:space="preserve">Записите по качеството, относно степента на изпълнение на производствените процеси са обективно доказателство за контролирано протичане на процеса. </w:t>
      </w:r>
    </w:p>
    <w:p>
      <w:pPr>
        <w:pStyle w:val="Header"/>
        <w:spacing w:lineRule="atLeast" w:line="100"/>
        <w:ind w:end="708"/>
        <w:jc w:val="both"/>
        <w:rPr>
          <w:rFonts w:ascii="Times New Roman" w:hAnsi="Times New Roman" w:cs="Times New Roman"/>
          <w:sz w:val="24"/>
          <w:szCs w:val="24"/>
          <w:lang w:val="bg-BG"/>
        </w:rPr>
      </w:pPr>
      <w:r>
        <w:rPr>
          <w:rFonts w:cs="Times New Roman" w:ascii="Times New Roman" w:hAnsi="Times New Roman"/>
          <w:sz w:val="24"/>
          <w:szCs w:val="24"/>
          <w:lang w:val="bg-BG"/>
        </w:rPr>
        <w:tab/>
        <w:t>Стриктно се спазват изискванията за идентификация и проследимост при провеждане на основния процес и при съхранението на материалите.</w:t>
      </w:r>
    </w:p>
    <w:p>
      <w:pPr>
        <w:pStyle w:val="Header"/>
        <w:spacing w:lineRule="atLeast" w:line="100"/>
        <w:ind w:end="708"/>
        <w:jc w:val="both"/>
        <w:rPr>
          <w:rFonts w:ascii="Times New Roman" w:hAnsi="Times New Roman" w:cs="Times New Roman"/>
          <w:sz w:val="24"/>
          <w:szCs w:val="24"/>
          <w:lang w:val="bg-BG"/>
        </w:rPr>
      </w:pPr>
      <w:r>
        <w:rPr>
          <w:rFonts w:cs="Times New Roman" w:ascii="Times New Roman" w:hAnsi="Times New Roman"/>
          <w:sz w:val="24"/>
          <w:szCs w:val="24"/>
          <w:lang w:val="bg-BG"/>
        </w:rPr>
        <w:tab/>
        <w:t xml:space="preserve">Процесите протичат според писмените процедури, изискванията на клиента и нормативната уредба. Времето за реакция за извършването на процесите и за извършването на промени по документацията е в границите на допустимото. Надеждността на процесите е осигурена посредством разпространението на предписаните процедури, определяне на всички отговорности по изпълнението им; определената и изпитана квалификация на работници и служители и осигурените материални ресурси за произвеждането на продуктите или реализирането на услугите. Рекламациите са сведени до минимум. Енергийните разходи се намаляват, посредством направените инвестиции в инфраструктурата. Планира се подобрение на работните площадки и допълнителни инвестиции в обучение на персонала. </w:t>
      </w:r>
    </w:p>
    <w:p>
      <w:pPr>
        <w:pStyle w:val="Header"/>
        <w:spacing w:lineRule="atLeast" w:line="100"/>
        <w:ind w:end="708"/>
        <w:jc w:val="both"/>
        <w:rPr>
          <w:rFonts w:ascii="Times New Roman" w:hAnsi="Times New Roman" w:cs="Times New Roman"/>
          <w:sz w:val="24"/>
          <w:szCs w:val="24"/>
          <w:lang w:val="bg-BG"/>
        </w:rPr>
      </w:pPr>
      <w:r>
        <w:rPr>
          <w:rFonts w:cs="Times New Roman" w:ascii="Times New Roman" w:hAnsi="Times New Roman"/>
          <w:sz w:val="24"/>
          <w:szCs w:val="24"/>
          <w:lang w:val="bg-BG"/>
        </w:rPr>
        <w:tab/>
        <w:t>Продуктовите характеристики са определени. В организацията е осигурено необходимото оборудване, софтуер и методи за работа и измерване на процесите и продуктите.</w:t>
      </w:r>
    </w:p>
    <w:p>
      <w:pPr>
        <w:pStyle w:val="Header"/>
        <w:spacing w:lineRule="atLeast" w:line="100"/>
        <w:ind w:end="708"/>
        <w:jc w:val="both"/>
        <w:rPr>
          <w:rFonts w:ascii="Times New Roman" w:hAnsi="Times New Roman" w:cs="Times New Roman"/>
          <w:sz w:val="24"/>
          <w:szCs w:val="24"/>
          <w:lang w:val="bg-BG"/>
        </w:rPr>
      </w:pPr>
      <w:r>
        <w:rPr>
          <w:rFonts w:cs="Times New Roman" w:ascii="Times New Roman" w:hAnsi="Times New Roman"/>
          <w:sz w:val="24"/>
          <w:szCs w:val="24"/>
          <w:lang w:val="bg-BG"/>
        </w:rPr>
        <w:tab/>
        <w:t>Дейностите по проверката и валидирането се извършват и анализират. Контролът се документира.</w:t>
      </w:r>
    </w:p>
    <w:p>
      <w:pPr>
        <w:pStyle w:val="Header"/>
        <w:tabs>
          <w:tab w:val="left" w:pos="9639" w:leader="none"/>
        </w:tabs>
        <w:spacing w:lineRule="atLeast" w:line="100"/>
        <w:ind w:start="426" w:end="708"/>
        <w:rPr>
          <w:rFonts w:ascii="Times New Roman" w:hAnsi="Times New Roman" w:cs="Times New Roman"/>
          <w:b/>
          <w:sz w:val="24"/>
          <w:szCs w:val="24"/>
          <w:lang w:val="bg-BG"/>
        </w:rPr>
      </w:pPr>
      <w:r>
        <w:rPr>
          <w:rFonts w:cs="Times New Roman" w:ascii="Times New Roman" w:hAnsi="Times New Roman"/>
          <w:b/>
          <w:sz w:val="24"/>
          <w:szCs w:val="24"/>
          <w:lang w:val="bg-BG"/>
        </w:rPr>
      </w:r>
    </w:p>
    <w:p>
      <w:pPr>
        <w:pStyle w:val="Header"/>
        <w:tabs>
          <w:tab w:val="left" w:pos="9639" w:leader="none"/>
        </w:tabs>
        <w:spacing w:lineRule="atLeast" w:line="100"/>
        <w:ind w:start="426" w:end="708"/>
        <w:rPr>
          <w:rFonts w:ascii="Times New Roman" w:hAnsi="Times New Roman" w:cs="Times New Roman"/>
          <w:b/>
          <w:sz w:val="24"/>
          <w:szCs w:val="24"/>
          <w:lang w:val="bg-BG"/>
        </w:rPr>
      </w:pPr>
      <w:r>
        <w:rPr>
          <w:rFonts w:cs="Times New Roman" w:ascii="Times New Roman" w:hAnsi="Times New Roman"/>
          <w:b/>
          <w:sz w:val="24"/>
          <w:szCs w:val="24"/>
          <w:lang w:val="bg-BG"/>
        </w:rPr>
      </w:r>
    </w:p>
    <w:p>
      <w:pPr>
        <w:pStyle w:val="Header"/>
        <w:tabs>
          <w:tab w:val="left" w:pos="9639" w:leader="none"/>
        </w:tabs>
        <w:spacing w:lineRule="atLeast" w:line="100"/>
        <w:ind w:start="426" w:end="708"/>
        <w:rPr>
          <w:rFonts w:ascii="Times New Roman" w:hAnsi="Times New Roman" w:cs="Times New Roman"/>
          <w:b/>
          <w:sz w:val="24"/>
          <w:szCs w:val="24"/>
          <w:lang w:val="bg-BG"/>
        </w:rPr>
      </w:pPr>
      <w:r>
        <w:rPr>
          <w:rFonts w:cs="Times New Roman" w:ascii="Times New Roman" w:hAnsi="Times New Roman"/>
          <w:b/>
          <w:sz w:val="24"/>
          <w:szCs w:val="24"/>
          <w:lang w:val="bg-BG"/>
        </w:rPr>
        <w:t>3.14 Преглед на доставчиците за изминалия период</w:t>
      </w:r>
    </w:p>
    <w:p>
      <w:pPr>
        <w:pStyle w:val="Header"/>
        <w:spacing w:lineRule="atLeast" w:line="100"/>
        <w:ind w:end="708"/>
        <w:jc w:val="both"/>
        <w:rPr>
          <w:rFonts w:ascii="Times New Roman" w:hAnsi="Times New Roman" w:cs="Times New Roman"/>
          <w:sz w:val="24"/>
          <w:szCs w:val="24"/>
          <w:lang w:val="bg-BG"/>
        </w:rPr>
      </w:pPr>
      <w:r>
        <w:rPr>
          <w:rFonts w:cs="Times New Roman" w:ascii="Times New Roman" w:hAnsi="Times New Roman"/>
          <w:sz w:val="24"/>
          <w:szCs w:val="24"/>
          <w:lang w:val="bg-BG"/>
        </w:rPr>
        <w:tab/>
      </w:r>
    </w:p>
    <w:p>
      <w:pPr>
        <w:pStyle w:val="Header"/>
        <w:spacing w:lineRule="atLeast" w:line="100"/>
        <w:ind w:end="708"/>
        <w:jc w:val="both"/>
        <w:rPr>
          <w:rFonts w:ascii="Times New Roman" w:hAnsi="Times New Roman" w:cs="Times New Roman"/>
          <w:sz w:val="24"/>
          <w:szCs w:val="24"/>
          <w:lang w:val="bg-BG"/>
        </w:rPr>
      </w:pPr>
      <w:r>
        <w:rPr>
          <w:rFonts w:cs="Times New Roman" w:ascii="Times New Roman" w:hAnsi="Times New Roman"/>
          <w:sz w:val="24"/>
          <w:szCs w:val="24"/>
          <w:lang w:val="bg-BG"/>
        </w:rPr>
        <w:tab/>
        <w:t>Фирмата изследва мненията на доставчиците и партньорите за тяхната удовлетвореност от процесите на закупуване. Ръководството следи и осигурява информация за работата на доставчиците и партньорите и съответствието й с политиката на закупуване. Оценява качеството на закупуваните продукти, както и съвместните ползи от сътрудничеството с тях. Оценката на доставчиците се актуализира редовно, като не са налице съществени изменения в списъка на одобрените доставчици.</w:t>
      </w:r>
    </w:p>
    <w:p>
      <w:pPr>
        <w:pStyle w:val="Header"/>
        <w:spacing w:lineRule="atLeast" w:line="100"/>
        <w:ind w:firstLine="720" w:end="708"/>
        <w:jc w:val="both"/>
        <w:rPr>
          <w:rFonts w:ascii="Times New Roman" w:hAnsi="Times New Roman" w:cs="Times New Roman"/>
          <w:sz w:val="24"/>
          <w:szCs w:val="24"/>
          <w:lang w:val="bg-BG"/>
        </w:rPr>
      </w:pPr>
      <w:r>
        <w:rPr>
          <w:rFonts w:cs="Times New Roman" w:ascii="Times New Roman" w:hAnsi="Times New Roman"/>
          <w:sz w:val="24"/>
          <w:szCs w:val="24"/>
          <w:lang w:val="bg-BG"/>
        </w:rPr>
        <w:t>През изтеклата година не е имало съществени проблеми с доставчиците и извършените доставки, като се изключат единични дребни разлики между поръчано и доставено количество стока.</w:t>
      </w:r>
    </w:p>
    <w:p>
      <w:pPr>
        <w:pStyle w:val="Header"/>
        <w:spacing w:lineRule="atLeast" w:line="100"/>
        <w:ind w:end="708"/>
        <w:rPr>
          <w:rFonts w:ascii="Times New Roman" w:hAnsi="Times New Roman" w:cs="Times New Roman"/>
          <w:sz w:val="24"/>
          <w:szCs w:val="24"/>
          <w:lang w:val="bg-BG"/>
        </w:rPr>
      </w:pPr>
      <w:r>
        <w:rPr>
          <w:rFonts w:cs="Times New Roman" w:ascii="Times New Roman" w:hAnsi="Times New Roman"/>
          <w:sz w:val="24"/>
          <w:szCs w:val="24"/>
          <w:lang w:val="bg-BG"/>
        </w:rPr>
      </w:r>
    </w:p>
    <w:p>
      <w:pPr>
        <w:pStyle w:val="Header"/>
        <w:tabs>
          <w:tab w:val="left" w:pos="9639" w:leader="none"/>
        </w:tabs>
        <w:spacing w:lineRule="atLeast" w:line="100"/>
        <w:ind w:start="426" w:end="708"/>
        <w:rPr>
          <w:rFonts w:ascii="Times New Roman" w:hAnsi="Times New Roman" w:cs="Times New Roman"/>
          <w:b/>
          <w:sz w:val="24"/>
          <w:szCs w:val="24"/>
          <w:lang w:val="bg-BG"/>
        </w:rPr>
      </w:pPr>
      <w:r>
        <w:rPr>
          <w:rFonts w:cs="Times New Roman" w:ascii="Times New Roman" w:hAnsi="Times New Roman"/>
          <w:b/>
          <w:sz w:val="24"/>
          <w:szCs w:val="24"/>
          <w:lang w:val="bg-BG"/>
        </w:rPr>
        <w:t>3.15 Преглед на използваните нормативни документи за актуалност</w:t>
      </w:r>
    </w:p>
    <w:p>
      <w:pPr>
        <w:pStyle w:val="Header"/>
        <w:spacing w:lineRule="atLeast" w:line="100"/>
        <w:ind w:end="708"/>
        <w:jc w:val="both"/>
        <w:rPr>
          <w:rFonts w:ascii="Times New Roman" w:hAnsi="Times New Roman" w:cs="Times New Roman"/>
          <w:sz w:val="24"/>
          <w:szCs w:val="24"/>
          <w:lang w:val="bg-BG"/>
        </w:rPr>
      </w:pPr>
      <w:r>
        <w:rPr>
          <w:rFonts w:cs="Times New Roman" w:ascii="Times New Roman" w:hAnsi="Times New Roman"/>
          <w:sz w:val="24"/>
          <w:szCs w:val="24"/>
          <w:lang w:val="bg-BG"/>
        </w:rPr>
        <w:tab/>
      </w:r>
    </w:p>
    <w:p>
      <w:pPr>
        <w:pStyle w:val="Header"/>
        <w:spacing w:lineRule="atLeast" w:line="100"/>
        <w:ind w:end="708"/>
        <w:jc w:val="both"/>
        <w:rPr/>
      </w:pPr>
      <w:r>
        <w:rPr>
          <w:rFonts w:cs="Times New Roman" w:ascii="Times New Roman" w:hAnsi="Times New Roman"/>
          <w:sz w:val="24"/>
          <w:szCs w:val="24"/>
          <w:lang w:val="bg-BG"/>
        </w:rPr>
        <w:tab/>
        <w:t>При извършването на вътрешния одит се установи, че ръководителите на самостоятелни звена следят актуалността на използваните от тях нормативни уредби съобразно спецификата им на работа. Има определено със заповед лице, което следи цялостната нормативна уредба и отразява промените в нея адекватно в съответния документ. През изминалата година не са влезли в сила съществени изменения в нормативната база, които да породят промени в работните процеси и дейности, изпълнявани от "ЕКОБУЛ ПАРТНЕР" ООД.</w:t>
      </w:r>
    </w:p>
    <w:p>
      <w:pPr>
        <w:pStyle w:val="Normal"/>
        <w:ind w:end="708"/>
        <w:jc w:val="both"/>
        <w:rPr>
          <w:rFonts w:ascii="Times New Roman" w:hAnsi="Times New Roman" w:cs="Times New Roman"/>
          <w:sz w:val="24"/>
          <w:szCs w:val="24"/>
          <w:lang w:val="bg-BG"/>
        </w:rPr>
      </w:pPr>
      <w:r>
        <w:rPr>
          <w:rFonts w:cs="Times New Roman"/>
          <w:sz w:val="24"/>
          <w:szCs w:val="24"/>
          <w:lang w:val="bg-BG"/>
        </w:rPr>
      </w:r>
    </w:p>
    <w:p>
      <w:pPr>
        <w:pStyle w:val="Normal"/>
        <w:ind w:end="708"/>
        <w:jc w:val="both"/>
        <w:rPr/>
      </w:pPr>
      <w:r>
        <w:rPr/>
        <w:t xml:space="preserve">        </w:t>
      </w:r>
      <w:r>
        <w:rPr>
          <w:b/>
          <w:lang w:val="bg-BG"/>
        </w:rPr>
        <w:t>3.16 Ефикасност на действията, предприети за овладяване на рисковете и възможностите</w:t>
      </w:r>
    </w:p>
    <w:p>
      <w:pPr>
        <w:pStyle w:val="Normal"/>
        <w:ind w:end="708"/>
        <w:jc w:val="both"/>
        <w:rPr>
          <w:b/>
          <w:lang w:val="bg-BG"/>
        </w:rPr>
      </w:pPr>
      <w:r>
        <w:rPr>
          <w:b/>
          <w:lang w:val="bg-BG"/>
        </w:rPr>
      </w:r>
    </w:p>
    <w:p>
      <w:pPr>
        <w:pStyle w:val="Normal"/>
        <w:ind w:end="708"/>
        <w:jc w:val="both"/>
        <w:rPr/>
      </w:pPr>
      <w:r>
        <w:rPr>
          <w:lang w:val="bg-BG"/>
        </w:rPr>
        <w:t xml:space="preserve">За периода от въвеждането на редакцията на ИСУ съгласно актуализацията на стандартите </w:t>
      </w:r>
      <w:r>
        <w:rPr/>
        <w:t>ISO 900</w:t>
      </w:r>
      <w:r>
        <w:rPr>
          <w:lang w:val="bg-BG"/>
        </w:rPr>
        <w:t xml:space="preserve">1, </w:t>
      </w:r>
      <w:r>
        <w:rPr/>
        <w:t>ISO 14001</w:t>
      </w:r>
      <w:r>
        <w:rPr>
          <w:lang w:val="bg-BG"/>
        </w:rPr>
        <w:t xml:space="preserve"> и </w:t>
      </w:r>
      <w:r>
        <w:rPr/>
        <w:t xml:space="preserve">ISO </w:t>
      </w:r>
      <w:r>
        <w:rPr>
          <w:lang w:val="bg-BG"/>
        </w:rPr>
        <w:t>45</w:t>
      </w:r>
      <w:r>
        <w:rPr/>
        <w:t>001</w:t>
      </w:r>
      <w:r>
        <w:rPr>
          <w:lang w:val="bg-BG"/>
        </w:rPr>
        <w:t xml:space="preserve"> до момента са идентифицирани и описани рисковете и възможностите за организацията. Извършена е последваща оценка на рисковете по предварително разработена методика, като не са установени значителни рискове, налагащи последващи действия.</w:t>
      </w:r>
    </w:p>
    <w:p>
      <w:pPr>
        <w:pStyle w:val="Normal"/>
        <w:ind w:end="708"/>
        <w:jc w:val="both"/>
        <w:rPr>
          <w:lang w:val="bg-BG"/>
        </w:rPr>
      </w:pPr>
      <w:r>
        <w:rPr>
          <w:lang w:val="bg-BG"/>
        </w:rPr>
      </w:r>
    </w:p>
    <w:p>
      <w:pPr>
        <w:pStyle w:val="Normal"/>
        <w:ind w:end="708"/>
        <w:jc w:val="both"/>
        <w:rPr>
          <w:lang w:val="bg-BG"/>
        </w:rPr>
      </w:pPr>
      <w:r>
        <w:rPr>
          <w:lang w:val="bg-BG"/>
        </w:rPr>
      </w:r>
    </w:p>
    <w:p>
      <w:pPr>
        <w:pStyle w:val="Normal"/>
        <w:ind w:firstLine="360" w:end="708"/>
        <w:jc w:val="both"/>
        <w:rPr>
          <w:b/>
          <w:u w:val="single"/>
          <w:lang w:val="bg-BG"/>
        </w:rPr>
      </w:pPr>
      <w:r>
        <w:rPr>
          <w:b/>
          <w:u w:val="single"/>
          <w:lang w:val="bg-BG"/>
        </w:rPr>
        <w:t>4. Изходни елементи</w:t>
      </w:r>
    </w:p>
    <w:p>
      <w:pPr>
        <w:pStyle w:val="Normal"/>
        <w:ind w:firstLine="360" w:end="708"/>
        <w:jc w:val="both"/>
        <w:rPr>
          <w:b/>
          <w:u w:val="single"/>
          <w:lang w:val="bg-BG"/>
        </w:rPr>
      </w:pPr>
      <w:r>
        <w:rPr>
          <w:b/>
          <w:u w:val="single"/>
          <w:lang w:val="bg-BG"/>
        </w:rPr>
      </w:r>
    </w:p>
    <w:p>
      <w:pPr>
        <w:pStyle w:val="Normal"/>
        <w:ind w:firstLine="360" w:end="708"/>
        <w:jc w:val="both"/>
        <w:rPr/>
      </w:pPr>
      <w:r>
        <w:rPr>
          <w:lang w:val="bg-BG"/>
        </w:rPr>
        <w:t xml:space="preserve">Ръководството на "ЕКОБУЛ ПАРТНЕР" ООД се задължава периодично да анализира и в случай на необходимост да актуализира и преработи политиката си по качеството, БЗР и ОС. В края на календарната 2022 г. ръководството се ангажира съвместно със създадената работна група да заложи целите на ИСУ за следващата календарна година. </w:t>
      </w:r>
    </w:p>
    <w:p>
      <w:pPr>
        <w:pStyle w:val="Normal"/>
        <w:ind w:firstLine="360" w:end="708"/>
        <w:jc w:val="both"/>
        <w:rPr>
          <w:lang w:val="bg-BG"/>
        </w:rPr>
      </w:pPr>
      <w:r>
        <w:rPr>
          <w:lang w:val="bg-BG"/>
        </w:rPr>
        <w:t>Ръководството поема личен ангажимент за съблюдаване правилността на извършваните дейности съгласно изискванията на стандартите и да осигури необходимите човешки и финансови ресурси.</w:t>
      </w:r>
    </w:p>
    <w:p>
      <w:pPr>
        <w:pStyle w:val="Normal"/>
        <w:ind w:firstLine="360" w:end="708"/>
        <w:jc w:val="both"/>
        <w:rPr>
          <w:lang w:val="bg-BG"/>
        </w:rPr>
      </w:pPr>
      <w:r>
        <w:rPr>
          <w:lang w:val="bg-BG"/>
        </w:rPr>
        <w:t>Непрекъснатото подобряване на Интегрираната система за управление е ключова мисия и визия на ръководството на дружеството, целяща намаляване до минимум вредното въздействие върху околната среда и осигуряваща оптимизиране на всички фактори, имащи вредно влияние върху качеството и здравословната и безопасна работа.</w:t>
      </w:r>
    </w:p>
    <w:p>
      <w:pPr>
        <w:pStyle w:val="Normal"/>
        <w:ind w:firstLine="360" w:end="708"/>
        <w:jc w:val="both"/>
        <w:rPr>
          <w:lang w:val="bg-BG"/>
        </w:rPr>
      </w:pPr>
      <w:r>
        <w:rPr>
          <w:lang w:val="bg-BG"/>
        </w:rPr>
        <w:t>Следва да се наблегне върху изпълнението на предвидените мерки за намаляване въздействието на значимите аспекти на околната среда. Необходимо е да се засили мониторинга на аспектите, за да се постигне по-висока и точна резултатност и да се осигури възможност за извършване на реален анализ на ефективността на предприетите мерки.</w:t>
      </w:r>
    </w:p>
    <w:p>
      <w:pPr>
        <w:pStyle w:val="Normal"/>
        <w:ind w:firstLine="360" w:end="708"/>
        <w:jc w:val="both"/>
        <w:rPr/>
      </w:pPr>
      <w:r>
        <w:rPr>
          <w:lang w:val="bg-BG"/>
        </w:rPr>
        <w:t xml:space="preserve">Препоръчва се да се повиши ефикасността по отношение намаляване влиянието на значимия аспект на околната среда, също и да се вземат мерки за подобряване отчетността по отношение на отпадъците към РИОСВ. </w:t>
      </w:r>
    </w:p>
    <w:p>
      <w:pPr>
        <w:pStyle w:val="Normal"/>
        <w:ind w:firstLine="360" w:end="708"/>
        <w:jc w:val="both"/>
        <w:rPr>
          <w:lang w:val="bg-BG"/>
        </w:rPr>
      </w:pPr>
      <w:r>
        <w:rPr>
          <w:lang w:val="bg-BG"/>
        </w:rPr>
        <w:t>Необходимо е също записите, касаещи БЗР да се водят стриктно и акуратно от предварително определени със заповед лица, притежаващи нужните компетенции и умения, като се внимава да не се използват бланки от предишни ревизии на ИСУ.</w:t>
      </w:r>
    </w:p>
    <w:p>
      <w:pPr>
        <w:pStyle w:val="Normal"/>
        <w:ind w:firstLine="360" w:end="708"/>
        <w:jc w:val="both"/>
        <w:rPr>
          <w:lang w:val="bg-BG"/>
        </w:rPr>
      </w:pPr>
      <w:r>
        <w:rPr>
          <w:lang w:val="bg-BG"/>
        </w:rPr>
        <w:t xml:space="preserve">Изходните елементи са достъпни за разпространение на всички заинтересовани страни,  желаещи достъп до тази информация. </w:t>
      </w:r>
    </w:p>
    <w:p>
      <w:pPr>
        <w:pStyle w:val="Normal"/>
        <w:ind w:end="708"/>
        <w:jc w:val="both"/>
        <w:rPr>
          <w:lang w:val="bg-BG"/>
        </w:rPr>
      </w:pPr>
      <w:r>
        <w:rPr>
          <w:lang w:val="bg-BG"/>
        </w:rPr>
      </w:r>
    </w:p>
    <w:p>
      <w:pPr>
        <w:pStyle w:val="Normal"/>
        <w:ind w:firstLine="360" w:end="708"/>
        <w:jc w:val="both"/>
        <w:rPr>
          <w:lang w:val="bg-BG"/>
        </w:rPr>
      </w:pPr>
      <w:r>
        <w:rPr>
          <w:lang w:val="bg-BG"/>
        </w:rPr>
      </w:r>
    </w:p>
    <w:p>
      <w:pPr>
        <w:pStyle w:val="Normal"/>
        <w:ind w:firstLine="360" w:end="708"/>
        <w:jc w:val="both"/>
        <w:rPr>
          <w:lang w:val="bg-BG"/>
        </w:rPr>
      </w:pPr>
      <w:r>
        <w:rPr>
          <w:lang w:val="bg-BG"/>
        </w:rPr>
      </w:r>
    </w:p>
    <w:p>
      <w:pPr>
        <w:pStyle w:val="Normal"/>
        <w:ind w:firstLine="360" w:end="708"/>
        <w:jc w:val="both"/>
        <w:rPr>
          <w:lang w:val="bg-BG"/>
        </w:rPr>
      </w:pPr>
      <w:r>
        <w:rPr>
          <w:lang w:val="bg-BG"/>
        </w:rPr>
        <w:t>Управител: ..................................</w:t>
      </w:r>
    </w:p>
    <w:p>
      <w:pPr>
        <w:pStyle w:val="Normal"/>
        <w:ind w:firstLine="360" w:end="708"/>
        <w:jc w:val="both"/>
        <w:rPr>
          <w:lang w:val="bg-BG"/>
        </w:rPr>
      </w:pPr>
      <w:r>
        <w:rPr>
          <w:lang w:val="bg-BG"/>
        </w:rPr>
        <w:tab/>
      </w:r>
    </w:p>
    <w:p>
      <w:pPr>
        <w:pStyle w:val="Normal"/>
        <w:ind w:firstLine="360" w:end="708"/>
        <w:jc w:val="both"/>
        <w:rPr>
          <w:lang w:val="bg-BG"/>
        </w:rPr>
      </w:pPr>
      <w:r>
        <w:rPr>
          <w:lang w:val="bg-BG"/>
        </w:rPr>
      </w:r>
    </w:p>
    <w:p>
      <w:pPr>
        <w:pStyle w:val="Normal"/>
        <w:ind w:firstLine="360" w:end="708"/>
        <w:jc w:val="both"/>
        <w:rPr/>
      </w:pPr>
      <w:r>
        <w:rPr>
          <w:lang w:val="bg-BG"/>
        </w:rPr>
        <w:t>Дата: 28.01.2022 г.</w:t>
      </w:r>
    </w:p>
    <w:p>
      <w:pPr>
        <w:pStyle w:val="Normal"/>
        <w:rPr>
          <w:vanish/>
        </w:rPr>
      </w:pPr>
      <w:r>
        <w:rPr>
          <w:vanish/>
        </w:rPr>
      </w:r>
      <w:bookmarkStart w:id="0" w:name="_PictureBullets"/>
      <w:bookmarkEnd w:id="0"/>
    </w:p>
    <w:sectPr>
      <w:headerReference w:type="default" r:id="rId2"/>
      <w:footerReference w:type="default" r:id="rId3"/>
      <w:type w:val="nextPage"/>
      <w:pgSz w:w="11906" w:h="16838"/>
      <w:pgMar w:left="1440" w:right="1106" w:gutter="0" w:header="0" w:top="2269" w:footer="708" w:bottom="9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Wingdings">
    <w:charset w:val="02"/>
    <w:family w:val="auto"/>
    <w:pitch w:val="variable"/>
  </w:font>
  <w:font w:name="Courier New">
    <w:charset w:val="cc" w:characterSet="windows-1251"/>
    <w:family w:val="modern"/>
    <w:pitch w:val="default"/>
  </w:font>
  <w:font w:name="Liberation Sans">
    <w:altName w:val="Arial"/>
    <w:charset w:val="cc" w:characterSet="windows-1251"/>
    <w:family w:val="swiss"/>
    <w:pitch w:val="variable"/>
  </w:font>
  <w:font w:name="Hebar">
    <w:altName w:val="Arial"/>
    <w:charset w:val="00" w:characterSet="windows-1252"/>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8" behindDoc="0" locked="0" layoutInCell="0" allowOverlap="1">
              <wp:simplePos x="0" y="0"/>
              <wp:positionH relativeFrom="margin">
                <wp:align>right</wp:align>
              </wp:positionH>
              <wp:positionV relativeFrom="paragraph">
                <wp:posOffset>635</wp:posOffset>
              </wp:positionV>
              <wp:extent cx="76835" cy="175260"/>
              <wp:effectExtent l="0" t="0" r="0" b="0"/>
              <wp:wrapSquare wrapText="bothSides"/>
              <wp:docPr id="1" name="Рамка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61.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start="-567" w:end="0"/>
      <w:jc w:val="center"/>
      <w:rPr/>
    </w:pPr>
    <w:r>
      <w:rPr/>
      <w:t xml:space="preserve">             </w:t>
    </w:r>
  </w:p>
  <w:p>
    <w:pPr>
      <w:pStyle w:val="Normal"/>
      <w:ind w:start="-567" w:end="0"/>
      <w:jc w:val="center"/>
      <w:rPr/>
    </w:pPr>
    <w:r>
      <w:rPr/>
    </w:r>
  </w:p>
  <w:p>
    <w:pPr>
      <w:pStyle w:val="Normal"/>
      <w:ind w:start="-567" w:end="0"/>
      <w:jc w:val="center"/>
      <w:rPr>
        <w:rFonts w:ascii="Arial" w:hAnsi="Arial" w:cs="Arial"/>
        <w:lang w:val="en-US"/>
      </w:rPr>
    </w:pPr>
    <w:r>
      <w:rPr/>
      <w:t xml:space="preserve">           </w:t>
    </w:r>
  </w:p>
  <w:p>
    <w:pPr>
      <w:pStyle w:val="Header"/>
      <w:jc w:val="center"/>
      <w:rPr>
        <w:rFonts w:cs="Arial"/>
        <w:b/>
        <w:sz w:val="52"/>
        <w:szCs w:val="52"/>
        <w:lang w:val="bg-BG"/>
      </w:rPr>
    </w:pPr>
    <w:r>
      <w:rPr>
        <w:rFonts w:cs="Arial"/>
        <w:b/>
        <w:sz w:val="52"/>
        <w:szCs w:val="52"/>
        <w:lang w:val="bg-BG"/>
      </w:rPr>
      <w:t>"ЕКОБУЛ ПАРТНЕР" ООД</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bullet"/>
      <w:lvlText w:val="-"/>
      <w:lvlJc w:val="start"/>
      <w:pPr>
        <w:tabs>
          <w:tab w:val="num" w:pos="720"/>
        </w:tabs>
        <w:ind w:start="720" w:hanging="360"/>
      </w:pPr>
      <w:rPr>
        <w:rFonts w:ascii="Arial" w:hAnsi="Arial" w:cs="Arial" w:hint="default"/>
      </w:rPr>
    </w:lvl>
  </w:abstractNum>
  <w:abstractNum w:abstractNumId="3">
    <w:lvl w:ilvl="0">
      <w:start w:val="1"/>
      <w:numFmt w:val="bullet"/>
      <w:lvlText w:val="?"/>
      <w:lvlJc w:val="start"/>
      <w:pPr>
        <w:tabs>
          <w:tab w:val="num" w:pos="283"/>
        </w:tabs>
        <w:ind w:start="283"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BodyText"/>
    <w:qFormat/>
    <w:pPr>
      <w:keepNext w:val="true"/>
      <w:keepLines/>
      <w:numPr>
        <w:ilvl w:val="0"/>
        <w:numId w:val="1"/>
      </w:numPr>
      <w:shd w:fill="E5E5E5" w:val="clear"/>
      <w:overflowPunct w:val="false"/>
      <w:autoSpaceDE w:val="false"/>
      <w:spacing w:lineRule="atLeast" w:line="280" w:before="220" w:after="220"/>
      <w:ind w:firstLine="1080" w:start="0" w:end="0"/>
      <w:textAlignment w:val="baseline"/>
      <w:outlineLvl w:val="0"/>
    </w:pPr>
    <w:rPr>
      <w:rFonts w:ascii="Arial" w:hAnsi="Arial" w:cs="Arial"/>
      <w:b/>
      <w:spacing w:val="-10"/>
      <w:kern w:val="2"/>
      <w:sz w:val="28"/>
      <w:szCs w:val="20"/>
      <w:vertAlign w:val="superscript"/>
    </w:rPr>
  </w:style>
  <w:style w:type="character" w:styleId="WW8Num1z0">
    <w:name w:val="WW8Num1z0"/>
    <w:qFormat/>
    <w:rPr>
      <w:rFonts w:ascii="Symbol" w:hAnsi="Symbol" w:cs="Symbol"/>
    </w:rPr>
  </w:style>
  <w:style w:type="character" w:styleId="WW8Num3z0">
    <w:name w:val="WW8Num3z0"/>
    <w:qFormat/>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2">
    <w:name w:val="WW8Num11z2"/>
    <w:qFormat/>
    <w:rPr>
      <w:rFonts w:ascii="Wingdings" w:hAnsi="Wingdings" w:cs="Times New Roman"/>
    </w:rPr>
  </w:style>
  <w:style w:type="character" w:styleId="WW8Num11z3">
    <w:name w:val="WW8Num11z3"/>
    <w:qFormat/>
    <w:rPr>
      <w:rFonts w:ascii="Symbol" w:hAnsi="Symbol" w:cs="Times New Roman"/>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Arial" w:hAnsi="Arial" w:eastAsia="Times New Roman" w:cs="Aria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b/>
      <w:sz w:val="28"/>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8z0">
    <w:name w:val="WW8Num18z0"/>
    <w:qFormat/>
    <w:rPr/>
  </w:style>
  <w:style w:type="character" w:styleId="WW8Num19z0">
    <w:name w:val="WW8Num19z0"/>
    <w:qFormat/>
    <w:rPr>
      <w:b/>
      <w:sz w:val="28"/>
    </w:rPr>
  </w:style>
  <w:style w:type="character" w:styleId="WW8Num20z0">
    <w:name w:val="WW8Num20z0"/>
    <w:qFormat/>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b/>
      <w:sz w:val="28"/>
    </w:rPr>
  </w:style>
  <w:style w:type="character" w:styleId="WW8Num23z1">
    <w:name w:val="WW8Num23z1"/>
    <w:qFormat/>
    <w:rPr>
      <w:rFonts w:ascii="Wingdings" w:hAnsi="Wingdings" w:cs="Wingdings"/>
    </w:rPr>
  </w:style>
  <w:style w:type="character" w:styleId="WW8Num24z0">
    <w:name w:val="WW8Num24z0"/>
    <w:qFormat/>
    <w:rPr/>
  </w:style>
  <w:style w:type="character" w:styleId="WW8Num25z0">
    <w:name w:val="WW8Num25z0"/>
    <w:qFormat/>
    <w:rPr/>
  </w:style>
  <w:style w:type="character" w:styleId="WW8Num26z0">
    <w:name w:val="WW8Num26z0"/>
    <w:qFormat/>
    <w:rPr>
      <w:b/>
      <w:sz w:val="28"/>
    </w:rPr>
  </w:style>
  <w:style w:type="character" w:styleId="WW8Num28z0">
    <w:name w:val="WW8Num28z0"/>
    <w:qFormat/>
    <w:rPr/>
  </w:style>
  <w:style w:type="character" w:styleId="WW8Num29z0">
    <w:name w:val="WW8Num29z0"/>
    <w:qFormat/>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Wingdings" w:hAnsi="Wingdings" w:cs="Wingdings"/>
    </w:rPr>
  </w:style>
  <w:style w:type="character" w:styleId="WW8Num31z1">
    <w:name w:val="WW8Num31z1"/>
    <w:qFormat/>
    <w:rPr>
      <w:rFonts w:ascii="Symbol" w:hAnsi="Symbol" w:cs="Symbol"/>
    </w:rPr>
  </w:style>
  <w:style w:type="character" w:styleId="WW8Num31z4">
    <w:name w:val="WW8Num31z4"/>
    <w:qFormat/>
    <w:rPr>
      <w:rFonts w:ascii="Courier New" w:hAnsi="Courier New" w:cs="Courier New"/>
    </w:rPr>
  </w:style>
  <w:style w:type="character" w:styleId="WW8Num32z0">
    <w:name w:val="WW8Num32z0"/>
    <w:qFormat/>
    <w:rPr/>
  </w:style>
  <w:style w:type="character" w:styleId="WW8Num35z0">
    <w:name w:val="WW8Num35z0"/>
    <w:qFormat/>
    <w:rPr>
      <w:rFonts w:ascii="Symbol" w:hAnsi="Symbol" w:cs="Symbol"/>
    </w:rPr>
  </w:style>
  <w:style w:type="character" w:styleId="WW8Num35z2">
    <w:name w:val="WW8Num35z2"/>
    <w:qFormat/>
    <w:rPr>
      <w:rFonts w:ascii="Wingdings" w:hAnsi="Wingdings" w:cs="Wingdings"/>
    </w:rPr>
  </w:style>
  <w:style w:type="character" w:styleId="WW8Num35z4">
    <w:name w:val="WW8Num35z4"/>
    <w:qFormat/>
    <w:rPr>
      <w:rFonts w:ascii="Courier New" w:hAnsi="Courier New" w:cs="Courier New"/>
    </w:rPr>
  </w:style>
  <w:style w:type="character" w:styleId="WW8Num36z0">
    <w:name w:val="WW8Num36z0"/>
    <w:qFormat/>
    <w:rPr>
      <w:b/>
      <w:sz w:val="28"/>
    </w:rPr>
  </w:style>
  <w:style w:type="character" w:styleId="WW8Num38z0">
    <w:name w:val="WW8Num38z0"/>
    <w:qFormat/>
    <w:rPr>
      <w:rFonts w:ascii="Wingdings" w:hAnsi="Wingdings" w:cs="Wingdings"/>
    </w:rPr>
  </w:style>
  <w:style w:type="character" w:styleId="WW8Num38z1">
    <w:name w:val="WW8Num38z1"/>
    <w:qFormat/>
    <w:rPr>
      <w:rFonts w:ascii="Courier New" w:hAnsi="Courier New" w:cs="Courier New"/>
    </w:rPr>
  </w:style>
  <w:style w:type="character" w:styleId="WW8Num38z3">
    <w:name w:val="WW8Num38z3"/>
    <w:qFormat/>
    <w:rPr>
      <w:rFonts w:ascii="Symbol" w:hAnsi="Symbol" w:cs="Symbol"/>
    </w:rPr>
  </w:style>
  <w:style w:type="character" w:styleId="WW8Num39z0">
    <w:name w:val="WW8Num39z0"/>
    <w:qFormat/>
    <w:rPr>
      <w:rFonts w:ascii="Wingdings" w:hAnsi="Wingdings" w:cs="Wingdings"/>
    </w:rPr>
  </w:style>
  <w:style w:type="character" w:styleId="WW8Num39z1">
    <w:name w:val="WW8Num39z1"/>
    <w:qFormat/>
    <w:rPr>
      <w:rFonts w:ascii="Courier New" w:hAnsi="Courier New" w:cs="Courier New"/>
    </w:rPr>
  </w:style>
  <w:style w:type="character" w:styleId="WW8Num39z3">
    <w:name w:val="WW8Num39z3"/>
    <w:qFormat/>
    <w:rPr>
      <w:rFonts w:ascii="Symbol" w:hAnsi="Symbol" w:cs="Symbol"/>
    </w:rPr>
  </w:style>
  <w:style w:type="character" w:styleId="WW8Num40z0">
    <w:name w:val="WW8Num40z0"/>
    <w:qFormat/>
    <w:rPr>
      <w:rFonts w:ascii="Wingdings" w:hAnsi="Wingdings" w:cs="Wingdings"/>
    </w:rPr>
  </w:style>
  <w:style w:type="character" w:styleId="WW8Num40z3">
    <w:name w:val="WW8Num40z3"/>
    <w:qFormat/>
    <w:rPr>
      <w:rFonts w:ascii="Symbol" w:hAnsi="Symbol" w:cs="Symbol"/>
    </w:rPr>
  </w:style>
  <w:style w:type="character" w:styleId="WW8Num40z4">
    <w:name w:val="WW8Num40z4"/>
    <w:qFormat/>
    <w:rPr>
      <w:rFonts w:ascii="Courier New" w:hAnsi="Courier New" w:cs="Courier New"/>
    </w:rPr>
  </w:style>
  <w:style w:type="character" w:styleId="Style13">
    <w:name w:val="Шрифт на абзаца по подразбиране"/>
    <w:qFormat/>
    <w:rPr/>
  </w:style>
  <w:style w:type="character" w:styleId="PageNumber">
    <w:name w:val="page number"/>
    <w:basedOn w:val="Style13"/>
    <w:rPr/>
  </w:style>
  <w:style w:type="character" w:styleId="Style14">
    <w:name w:val="Горен колонтитул Знак"/>
    <w:qFormat/>
    <w:rPr>
      <w:rFonts w:ascii="Arial" w:hAnsi="Arial" w:cs="Arial"/>
      <w:spacing w:val="-4"/>
      <w:lang w:val="en-GB"/>
    </w:rPr>
  </w:style>
  <w:style w:type="paragraph" w:styleId="Style15">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overflowPunct w:val="false"/>
      <w:autoSpaceDE w:val="false"/>
      <w:spacing w:lineRule="atLeast" w:line="220" w:before="0" w:after="220"/>
      <w:ind w:hanging="0" w:start="1080" w:end="0"/>
      <w:textAlignment w:val="baseline"/>
    </w:pPr>
    <w:rPr>
      <w:sz w:val="20"/>
      <w:szCs w:val="20"/>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Указател"/>
    <w:basedOn w:val="Normal"/>
    <w:qFormat/>
    <w:pPr>
      <w:suppressLineNumbers/>
    </w:pPr>
    <w:rPr>
      <w:rFonts w:cs="Arial"/>
    </w:rPr>
  </w:style>
  <w:style w:type="paragraph" w:styleId="Style17">
    <w:name w:val="Колонтитули"/>
    <w:basedOn w:val="Normal"/>
    <w:qFormat/>
    <w:pPr>
      <w:suppressLineNumbers/>
      <w:tabs>
        <w:tab w:val="clear" w:pos="720"/>
        <w:tab w:val="center" w:pos="4819" w:leader="none"/>
        <w:tab w:val="right" w:pos="9638" w:leader="none"/>
      </w:tabs>
    </w:pPr>
    <w:rPr/>
  </w:style>
  <w:style w:type="paragraph" w:styleId="Header">
    <w:name w:val="header"/>
    <w:basedOn w:val="Normal"/>
    <w:pPr>
      <w:keepLines/>
      <w:tabs>
        <w:tab w:val="clear" w:pos="720"/>
        <w:tab w:val="center" w:pos="4320" w:leader="none"/>
        <w:tab w:val="right" w:pos="8640" w:leader="none"/>
      </w:tabs>
      <w:overflowPunct w:val="false"/>
      <w:autoSpaceDE w:val="false"/>
      <w:textAlignment w:val="baseline"/>
    </w:pPr>
    <w:rPr>
      <w:rFonts w:ascii="Arial" w:hAnsi="Arial" w:cs="Arial"/>
      <w:spacing w:val="-4"/>
      <w:sz w:val="20"/>
      <w:szCs w:val="20"/>
    </w:rPr>
  </w:style>
  <w:style w:type="paragraph" w:styleId="2">
    <w:name w:val="Основен текст 2"/>
    <w:basedOn w:val="Normal"/>
    <w:qFormat/>
    <w:pPr>
      <w:jc w:val="center"/>
    </w:pPr>
    <w:rPr>
      <w:b/>
      <w:caps/>
      <w:sz w:val="22"/>
      <w:lang w:val="bg-BG"/>
    </w:rPr>
  </w:style>
  <w:style w:type="paragraph" w:styleId="3">
    <w:name w:val="Основен текст 3"/>
    <w:basedOn w:val="Normal"/>
    <w:qFormat/>
    <w:pPr>
      <w:numPr>
        <w:ilvl w:val="0"/>
        <w:numId w:val="0"/>
      </w:numPr>
      <w:overflowPunct w:val="false"/>
      <w:autoSpaceDE w:val="false"/>
      <w:spacing w:before="60" w:after="60"/>
      <w:ind w:hanging="0" w:start="0" w:end="0"/>
      <w:jc w:val="both"/>
      <w:textAlignment w:val="baseline"/>
    </w:pPr>
    <w:rPr>
      <w:szCs w:val="20"/>
      <w:lang w:val="bg-BG"/>
    </w:rPr>
  </w:style>
  <w:style w:type="paragraph" w:styleId="Style18">
    <w:name w:val="Списък с водещи символи"/>
    <w:basedOn w:val="Normal"/>
    <w:qFormat/>
    <w:pPr>
      <w:widowControl w:val="false"/>
      <w:numPr>
        <w:ilvl w:val="0"/>
        <w:numId w:val="3"/>
      </w:numPr>
      <w:overflowPunct w:val="false"/>
      <w:autoSpaceDE w:val="false"/>
      <w:ind w:hanging="283" w:start="283" w:end="0"/>
      <w:textAlignment w:val="baseline"/>
    </w:pPr>
    <w:rPr>
      <w:rFonts w:ascii="Hebar;Arial" w:hAnsi="Hebar;Arial" w:cs="Hebar;Arial"/>
      <w:sz w:val="20"/>
      <w:szCs w:val="20"/>
    </w:rPr>
  </w:style>
  <w:style w:type="paragraph" w:styleId="Footer">
    <w:name w:val="footer"/>
    <w:basedOn w:val="Normal"/>
    <w:pPr>
      <w:tabs>
        <w:tab w:val="clear" w:pos="720"/>
        <w:tab w:val="center" w:pos="4153" w:leader="none"/>
        <w:tab w:val="right" w:pos="8306" w:leader="none"/>
      </w:tabs>
    </w:pPr>
    <w:rPr/>
  </w:style>
  <w:style w:type="paragraph" w:styleId="BodyTextIndent">
    <w:name w:val="Body Text Indent"/>
    <w:basedOn w:val="Normal"/>
    <w:pPr>
      <w:ind w:firstLine="720" w:start="0" w:end="0"/>
      <w:jc w:val="both"/>
    </w:pPr>
    <w:rPr>
      <w:rFonts w:ascii="Arial" w:hAnsi="Arial" w:cs="Arial"/>
      <w:bCs/>
      <w:sz w:val="28"/>
      <w:szCs w:val="20"/>
      <w:lang w:val="bg-BG"/>
    </w:rPr>
  </w:style>
  <w:style w:type="paragraph" w:styleId="-">
    <w:name w:val="Рамка - съдържание"/>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StyleNum">
    <w:name w:val="WW8StyleNum"/>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196</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2007-11-12T17:21:00Z</dcterms:created>
  <dc:creator>Emily Palkartcheva</dc:creator>
  <dc:description/>
  <cp:keywords/>
  <dc:language>bg-BG</dc:language>
  <cp:lastModifiedBy>Силвия Мирчева</cp:lastModifiedBy>
  <cp:lastPrinted>2007-01-17T10:46:00Z</cp:lastPrinted>
  <dcterms:modified xsi:type="dcterms:W3CDTF">2022-04-02T16:05:00Z</dcterms:modified>
  <cp:revision>28</cp:revision>
  <dc:subject/>
  <dc:title>АЛЕКС ЕА ООД</dc:title>
</cp:coreProperties>
</file>