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781" w:type="dxa"/>
        <w:jc w:val="start"/>
        <w:tblInd w:w="-34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851"/>
        <w:gridCol w:w="6804"/>
        <w:gridCol w:w="2126"/>
      </w:tblGrid>
      <w:tr>
        <w:trPr>
          <w:trHeight w:val="607" w:hRule="atLeast"/>
        </w:trPr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№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Наименование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E6E6E6" w:val="clear"/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Източник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1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2">
              <w:r>
                <w:rPr>
                  <w:rStyle w:val="Hyperlink"/>
                  <w:sz w:val="24"/>
                  <w:szCs w:val="24"/>
                  <w:lang w:val="bg-BG"/>
                </w:rPr>
                <w:t>Закон за управление на отпадъците</w:t>
              </w:r>
            </w:hyperlink>
            <w:r>
              <w:rPr>
                <w:color w:val="000000"/>
                <w:lang w:val="bg-BG"/>
              </w:rPr>
              <w:t xml:space="preserve"> </w:t>
            </w:r>
            <w:r>
              <w:rPr>
                <w:color w:val="000000"/>
                <w:sz w:val="24"/>
                <w:szCs w:val="24"/>
                <w:lang w:val="ru-RU"/>
              </w:rPr>
              <w:t>( ДВ, бр.86/30.09.2003 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2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3">
              <w:r>
                <w:rPr>
                  <w:rStyle w:val="Hyperlink"/>
                  <w:sz w:val="24"/>
                  <w:szCs w:val="24"/>
                  <w:lang w:val="ru-RU"/>
                </w:rPr>
                <w:t>Закон за опазване на околната среда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 ДВ, бр.91/25.09.2002г.)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bCs/>
                <w:color w:val="000000"/>
                <w:sz w:val="24"/>
                <w:szCs w:val="24"/>
                <w:lang w:val="ru-RU"/>
              </w:rPr>
            </w:pPr>
            <w:r>
              <w:rPr>
                <w:bCs/>
                <w:color w:val="000000"/>
                <w:sz w:val="24"/>
                <w:szCs w:val="24"/>
                <w:lang w:val="ru-RU"/>
              </w:rPr>
              <w:t>3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4">
              <w:r>
                <w:rPr>
                  <w:rStyle w:val="Hyperlink"/>
                  <w:sz w:val="24"/>
                  <w:szCs w:val="24"/>
                  <w:lang w:val="ru-RU"/>
                </w:rPr>
                <w:t>Наредба № 3 за класификация на отпадъците</w:t>
              </w:r>
            </w:hyperlink>
            <w:r>
              <w:rPr>
                <w:color w:val="000000"/>
                <w:lang w:val="ru-RU"/>
              </w:rPr>
              <w:t xml:space="preserve"> </w:t>
            </w:r>
            <w:r>
              <w:rPr>
                <w:bCs/>
                <w:color w:val="000000"/>
                <w:sz w:val="24"/>
                <w:szCs w:val="24"/>
                <w:lang w:val="ru-RU"/>
              </w:rPr>
              <w:t>(ДВ, бр. 44 от 25.05.2004 г. 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4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5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опаковките и отпадъците от опаковки</w:t>
              </w:r>
            </w:hyperlink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sz w:val="24"/>
                <w:szCs w:val="24"/>
                <w:lang w:val="ru-RU"/>
              </w:rPr>
              <w:t>(обн. ДВ, бр.19/09.03.2004 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5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color w:val="000000"/>
                <w:sz w:val="24"/>
                <w:szCs w:val="24"/>
                <w:lang w:val="ru-RU"/>
              </w:rPr>
            </w:pPr>
            <w:hyperlink r:id="rId6">
              <w:r>
                <w:rPr>
                  <w:rStyle w:val="Hyperlink"/>
                  <w:sz w:val="24"/>
                  <w:szCs w:val="24"/>
                  <w:lang w:val="ru-RU"/>
                </w:rPr>
                <w:t>Наредба № 9 от 28 септември 2004 г. за реда и образците, по които се предоставя информация за дейностите по отпадъците, както и реда за водене на публичния регистър на издадените разрешения, регистрационните документи и на закритите обекти и дейности</w:t>
              </w:r>
            </w:hyperlink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6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7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изискванията за третиране и транспортиране на производствени и опасни отпадъци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(приета с ПМС № 53 от 1999г., ДВ, бр.29/1999г.)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7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8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изискванията за третиране на отработени масла и отпадъчни нефтопродукти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(приета с ПМС № 131 от 2000г., ДВ, бр.59/2000г.)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8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9">
              <w:r>
                <w:rPr>
                  <w:rStyle w:val="Hyperlink"/>
                  <w:sz w:val="24"/>
                  <w:szCs w:val="24"/>
                  <w:lang w:val="ru-RU"/>
                </w:rPr>
                <w:t>Наредба за изискванията за пускане на пазара на луминесцентни и други лампи, съдържащи живак, и за третиране и транспортиране на излезли от употреба луминесцентни и други лампи, съдържащи живак</w:t>
              </w:r>
            </w:hyperlink>
            <w:r>
              <w:rPr>
                <w:color w:val="000000"/>
                <w:lang w:val="ru-RU"/>
              </w:rPr>
              <w:t xml:space="preserve"> </w:t>
            </w:r>
            <w:r>
              <w:rPr>
                <w:color w:val="000000"/>
                <w:sz w:val="24"/>
                <w:szCs w:val="24"/>
                <w:lang w:val="ru-RU"/>
              </w:rPr>
              <w:t>(обн. ДВ., бр.101/2000 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9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/>
            </w:pPr>
            <w:hyperlink r:id="rId10">
              <w:r>
                <w:rPr>
                  <w:rStyle w:val="Hyperlink"/>
                  <w:sz w:val="24"/>
                  <w:szCs w:val="24"/>
                  <w:lang w:val="ru-RU"/>
                </w:rPr>
                <w:t>Наредба за условията и реда за намаляване на замърсяването с отпадъци от моторни превозни средства</w:t>
              </w:r>
            </w:hyperlink>
            <w:r>
              <w:rPr>
                <w:color w:val="000000"/>
                <w:sz w:val="24"/>
                <w:szCs w:val="24"/>
                <w:lang w:val="ru-RU"/>
              </w:rPr>
              <w:t xml:space="preserve"> (обн. ДВ, бр.98/2001г.)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Интернет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kern w:val="2"/>
                <w:sz w:val="24"/>
                <w:szCs w:val="24"/>
                <w:lang w:val="bg-BG"/>
              </w:rPr>
              <w:t>10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bg-BG"/>
              </w:rPr>
              <w:t>Наредба за управление на отпадъците на територията на община</w:t>
            </w:r>
            <w:r>
              <w:rPr>
                <w:color w:val="000000"/>
                <w:sz w:val="24"/>
                <w:szCs w:val="24"/>
                <w:lang w:val="ru-RU"/>
              </w:rPr>
              <w:t xml:space="preserve"> Пазарджик. 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color w:val="000000"/>
                <w:sz w:val="24"/>
                <w:szCs w:val="24"/>
                <w:lang w:val="ru-RU"/>
              </w:rPr>
            </w:pPr>
            <w:r>
              <w:rPr>
                <w:color w:val="000000"/>
                <w:sz w:val="24"/>
                <w:szCs w:val="24"/>
                <w:lang w:val="ru-RU"/>
              </w:rPr>
              <w:t>Хартия</w:t>
            </w:r>
          </w:p>
        </w:tc>
      </w:tr>
      <w:tr>
        <w:trPr/>
        <w:tc>
          <w:tcPr>
            <w:tcW w:w="85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jc w:val="center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kern w:val="2"/>
                <w:sz w:val="24"/>
                <w:szCs w:val="24"/>
                <w:lang w:val="bg-BG"/>
              </w:rPr>
              <w:t>11</w:t>
            </w:r>
          </w:p>
        </w:tc>
        <w:tc>
          <w:tcPr>
            <w:tcW w:w="6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color w:val="000000"/>
                <w:sz w:val="24"/>
                <w:szCs w:val="24"/>
                <w:lang w:val="en-US"/>
              </w:rPr>
              <w:t>ISO</w:t>
            </w:r>
            <w:r>
              <w:rPr>
                <w:color w:val="000000"/>
                <w:sz w:val="24"/>
                <w:szCs w:val="24"/>
                <w:lang w:val="bg-BG"/>
              </w:rPr>
              <w:t xml:space="preserve"> 14001:2015</w:t>
            </w:r>
          </w:p>
        </w:tc>
        <w:tc>
          <w:tcPr>
            <w:tcW w:w="212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autoSpaceDE w:val="false"/>
              <w:spacing w:before="100" w:after="100"/>
              <w:ind w:start="34" w:end="0"/>
              <w:rPr>
                <w:bCs/>
                <w:color w:val="000000"/>
                <w:kern w:val="2"/>
                <w:sz w:val="24"/>
                <w:szCs w:val="24"/>
                <w:lang w:val="bg-BG"/>
              </w:rPr>
            </w:pPr>
            <w:r>
              <w:rPr>
                <w:bCs/>
                <w:color w:val="000000"/>
                <w:kern w:val="2"/>
                <w:sz w:val="24"/>
                <w:szCs w:val="24"/>
                <w:lang w:val="bg-BG"/>
              </w:rPr>
              <w:t>БИС</w:t>
            </w:r>
          </w:p>
        </w:tc>
      </w:tr>
    </w:tbl>
    <w:p>
      <w:pPr>
        <w:pStyle w:val="Normal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</w:r>
    </w:p>
    <w:p>
      <w:pPr>
        <w:pStyle w:val="Normal"/>
        <w:rPr/>
      </w:pPr>
      <w:r>
        <w:rPr>
          <w:sz w:val="24"/>
          <w:szCs w:val="24"/>
          <w:lang w:val="bg-BG"/>
        </w:rPr>
        <w:t>Разработил</w:t>
      </w:r>
      <w:r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  <w:lang w:val="bg-BG"/>
        </w:rPr>
        <w:t>:</w:t>
      </w:r>
    </w:p>
    <w:p>
      <w:pPr>
        <w:pStyle w:val="Normal"/>
        <w:rPr>
          <w:sz w:val="18"/>
          <w:szCs w:val="24"/>
          <w:lang w:val="bg-BG"/>
        </w:rPr>
      </w:pPr>
      <w:r>
        <w:rPr>
          <w:sz w:val="18"/>
          <w:szCs w:val="24"/>
          <w:lang w:val="bg-BG"/>
        </w:rPr>
      </w:r>
    </w:p>
    <w:p>
      <w:pPr>
        <w:pStyle w:val="Normal"/>
        <w:rPr>
          <w:sz w:val="24"/>
          <w:szCs w:val="24"/>
          <w:lang w:val="bg-BG"/>
        </w:rPr>
      </w:pPr>
      <w:r>
        <w:rPr>
          <w:sz w:val="24"/>
          <w:szCs w:val="24"/>
          <w:lang w:val="bg-BG"/>
        </w:rPr>
        <w:t xml:space="preserve">Мениджър ИС: </w:t>
      </w:r>
    </w:p>
    <w:sectPr>
      <w:headerReference w:type="default" r:id="rId11"/>
      <w:headerReference w:type="first" r:id="rId12"/>
      <w:type w:val="nextPage"/>
      <w:pgSz w:w="11906" w:h="16838"/>
      <w:pgMar w:left="1588" w:right="567" w:gutter="0" w:header="624" w:top="680" w:footer="0" w:bottom="851"/>
      <w:pgNumType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Arial">
    <w:charset w:val="cc" w:characterSet="windows-1251"/>
    <w:family w:val="swiss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63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8080"/>
      <w:gridCol w:w="850"/>
      <w:gridCol w:w="700"/>
    </w:tblGrid>
    <w:tr>
      <w:trPr>
        <w:trHeight w:val="240" w:hRule="atLeast"/>
        <w:cantSplit/>
      </w:trPr>
      <w:tc>
        <w:tcPr>
          <w:tcW w:w="9630" w:type="dxa"/>
          <w:gridSpan w:val="3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НАРЪЧНИК ПО КАЧЕСТВОТО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restart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Приложение 1</w:t>
          </w:r>
        </w:p>
        <w:p>
          <w:pPr>
            <w:pStyle w:val="Header"/>
            <w:widowControl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 xml:space="preserve"> </w:t>
          </w:r>
          <w:r>
            <w:rPr>
              <w:b/>
              <w:lang w:val="bg-BG"/>
            </w:rPr>
            <w:t>СПИСЪК НА ДОКУМЕНТИТЕ НА СИСТЕМАТА ЗА УПРАВЛЕНИЕ НА КАЧЕСТВОТО (</w:t>
          </w:r>
          <w:r>
            <w:rPr>
              <w:b/>
              <w:lang w:val="en-US"/>
            </w:rPr>
            <w:t>OD</w:t>
          </w:r>
          <w:r>
            <w:rPr>
              <w:b/>
              <w:lang w:val="bg-BG"/>
            </w:rPr>
            <w:t xml:space="preserve"> 04.02.03-1)</w:t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Версия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12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lang w:val="bg-BG"/>
            </w:rPr>
          </w:pPr>
          <w:r>
            <w:rPr>
              <w:lang w:val="bg-BG"/>
            </w:rPr>
            <w:t>01</w:t>
          </w:r>
        </w:p>
      </w:tc>
    </w:tr>
    <w:tr>
      <w:trPr>
        <w:trHeight w:val="360" w:hRule="atLeast"/>
        <w:cantSplit/>
      </w:trPr>
      <w:tc>
        <w:tcPr>
          <w:tcW w:w="8080" w:type="dxa"/>
          <w:vMerge w:val="continue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snapToGrid w:val="false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</w:r>
        </w:p>
      </w:tc>
      <w:tc>
        <w:tcPr>
          <w:tcW w:w="85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700" w:type="dxa"/>
          <w:tcBorders>
            <w:top w:val="single" w:sz="12" w:space="0" w:color="000000"/>
            <w:start w:val="single" w:sz="12" w:space="0" w:color="000000"/>
            <w:bottom w:val="single" w:sz="6" w:space="0" w:color="000000"/>
            <w:end w:val="single" w:sz="12" w:space="0" w:color="000000"/>
          </w:tcBorders>
        </w:tcPr>
        <w:p>
          <w:pPr>
            <w:pStyle w:val="Header"/>
            <w:widowControl/>
            <w:jc w:val="center"/>
            <w:rPr>
              <w:rStyle w:val="PageNumber"/>
              <w:bCs/>
              <w:lang w:val="bg-BG"/>
            </w:rPr>
          </w:pPr>
          <w:r>
            <w:rPr>
              <w:rStyle w:val="PageNumber"/>
              <w:bCs/>
            </w:rPr>
            <w:fldChar w:fldCharType="begin"/>
          </w:r>
          <w:r>
            <w:rPr>
              <w:rStyle w:val="PageNumber"/>
              <w:bCs/>
            </w:rPr>
            <w:instrText xml:space="preserve"> PAGE </w:instrText>
          </w:r>
          <w:r>
            <w:rPr>
              <w:rStyle w:val="PageNumber"/>
              <w:bCs/>
            </w:rPr>
            <w:fldChar w:fldCharType="separate"/>
          </w:r>
          <w:r>
            <w:rPr>
              <w:rStyle w:val="PageNumber"/>
              <w:bCs/>
            </w:rPr>
            <w:t>0</w:t>
          </w:r>
          <w:r>
            <w:rPr>
              <w:rStyle w:val="PageNumber"/>
              <w:bCs/>
            </w:rPr>
            <w:fldChar w:fldCharType="end"/>
          </w:r>
          <w:r>
            <w:rPr>
              <w:lang w:val="bg-BG"/>
            </w:rPr>
            <w:t>/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\* ARABIC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</w:rPr>
            <w:t>1</w:t>
          </w:r>
          <w:r>
            <w:rPr>
              <w:rStyle w:val="PageNumber"/>
            </w:rPr>
            <w:fldChar w:fldCharType="end"/>
          </w:r>
        </w:p>
      </w:tc>
    </w:tr>
  </w:tbl>
  <w:p>
    <w:pPr>
      <w:pStyle w:val="Header"/>
      <w:rPr>
        <w:rStyle w:val="PageNumber"/>
        <w:bCs/>
        <w:lang w:val="bg-BG"/>
      </w:rPr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923" w:type="dxa"/>
      <w:jc w:val="start"/>
      <w:tblInd w:w="-34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3044"/>
      <w:gridCol w:w="4469"/>
      <w:gridCol w:w="1134"/>
      <w:gridCol w:w="1276"/>
    </w:tblGrid>
    <w:tr>
      <w:trPr>
        <w:cantSplit/>
      </w:trPr>
      <w:tc>
        <w:tcPr>
          <w:tcW w:w="3044" w:type="dxa"/>
          <w:vMerge w:val="restart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Normal"/>
            <w:jc w:val="center"/>
            <w:rPr>
              <w:b/>
              <w:sz w:val="24"/>
              <w:szCs w:val="24"/>
            </w:rPr>
          </w:pPr>
          <w:r>
            <w:rPr>
              <w:rFonts w:cs="Arial" w:ascii="Arial" w:hAnsi="Arial"/>
              <w:b/>
              <w:sz w:val="22"/>
              <w:szCs w:val="22"/>
              <w:lang w:val="bg-BG"/>
            </w:rPr>
            <w:t>"ЕКОБУЛ ПАРТНЕР" ООД</w:t>
          </w:r>
        </w:p>
      </w:tc>
      <w:tc>
        <w:tcPr>
          <w:tcW w:w="4469" w:type="dxa"/>
          <w:tcBorders>
            <w:top w:val="single" w:sz="12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>
              <w:b/>
              <w:lang w:val="bg-BG"/>
            </w:rPr>
            <w:t>НАРЪЧНИК НА ИС</w:t>
          </w:r>
        </w:p>
      </w:tc>
      <w:tc>
        <w:tcPr>
          <w:tcW w:w="1134" w:type="dxa"/>
          <w:tcBorders>
            <w:top w:val="single" w:sz="12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ru-RU"/>
            </w:rPr>
            <w:t>Версия</w:t>
          </w:r>
        </w:p>
      </w:tc>
      <w:tc>
        <w:tcPr>
          <w:tcW w:w="1276" w:type="dxa"/>
          <w:tcBorders>
            <w:top w:val="single" w:sz="12" w:space="0" w:color="000000"/>
            <w:start w:val="single" w:sz="6" w:space="0" w:color="000000"/>
            <w:bottom w:val="single" w:sz="6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i/>
              <w:lang w:val="bg-BG"/>
            </w:rPr>
          </w:pPr>
          <w:r>
            <w:rPr>
              <w:lang w:val="bg-BG"/>
            </w:rPr>
            <w:t>0</w:t>
          </w:r>
          <w:r>
            <w:rPr/>
            <w:t>1</w:t>
          </w:r>
        </w:p>
      </w:tc>
    </w:tr>
    <w:tr>
      <w:trPr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i/>
              <w:lang w:val="bg-BG"/>
            </w:rPr>
          </w:pPr>
          <w:r>
            <w:rPr>
              <w:i/>
              <w:lang w:val="bg-BG"/>
            </w:rPr>
          </w:r>
        </w:p>
      </w:tc>
      <w:tc>
        <w:tcPr>
          <w:tcW w:w="4469" w:type="dxa"/>
          <w:tcBorders>
            <w:top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rPr>
              <w:lang w:val="bg-BG"/>
            </w:rPr>
          </w:pPr>
          <w:r>
            <w:rPr/>
            <w:t>ISO</w:t>
          </w:r>
          <w:r>
            <w:rPr>
              <w:lang w:val="bg-BG"/>
            </w:rPr>
            <w:t xml:space="preserve"> 9001</w:t>
          </w:r>
          <w:r>
            <w:rPr>
              <w:lang w:val="en-US"/>
            </w:rPr>
            <w:t>, ISO 14001</w:t>
          </w:r>
          <w:r>
            <w:rPr>
              <w:lang w:val="bg-BG"/>
            </w:rPr>
            <w:t>, 45001</w:t>
          </w:r>
        </w:p>
      </w:tc>
      <w:tc>
        <w:tcPr>
          <w:tcW w:w="1134" w:type="dxa"/>
          <w:tcBorders>
            <w:top w:val="single" w:sz="6" w:space="0" w:color="000000"/>
            <w:bottom w:val="single" w:sz="12" w:space="0" w:color="000000"/>
            <w:end w:val="single" w:sz="6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Стр.</w:t>
          </w:r>
        </w:p>
      </w:tc>
      <w:tc>
        <w:tcPr>
          <w:tcW w:w="1276" w:type="dxa"/>
          <w:tcBorders>
            <w:top w:val="single" w:sz="6" w:space="0" w:color="000000"/>
            <w:start w:val="single" w:sz="6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jc w:val="center"/>
            <w:rPr>
              <w:lang w:val="bg-BG"/>
            </w:rPr>
          </w:pPr>
          <w:r>
            <w:rPr>
              <w:lang w:val="bg-BG"/>
            </w:rPr>
            <w:t>1/</w:t>
          </w:r>
          <w:r>
            <w:rPr>
              <w:lang w:val="en-US"/>
            </w:rPr>
            <w:t>1</w:t>
          </w:r>
        </w:p>
      </w:tc>
    </w:tr>
    <w:tr>
      <w:trPr>
        <w:trHeight w:val="848" w:hRule="atLeast"/>
        <w:cantSplit/>
      </w:trPr>
      <w:tc>
        <w:tcPr>
          <w:tcW w:w="3044" w:type="dxa"/>
          <w:vMerge w:val="continue"/>
          <w:tcBorders>
            <w:top w:val="single" w:sz="12" w:space="0" w:color="000000"/>
            <w:start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snapToGrid w:val="false"/>
            <w:jc w:val="center"/>
            <w:rPr>
              <w:lang w:val="bg-BG"/>
            </w:rPr>
          </w:pPr>
          <w:r>
            <w:rPr>
              <w:lang w:val="bg-BG"/>
            </w:rPr>
          </w:r>
        </w:p>
      </w:tc>
      <w:tc>
        <w:tcPr>
          <w:tcW w:w="6879" w:type="dxa"/>
          <w:gridSpan w:val="3"/>
          <w:tcBorders>
            <w:top w:val="single" w:sz="12" w:space="0" w:color="000000"/>
            <w:bottom w:val="single" w:sz="12" w:space="0" w:color="000000"/>
            <w:end w:val="single" w:sz="12" w:space="0" w:color="000000"/>
          </w:tcBorders>
          <w:vAlign w:val="center"/>
        </w:tcPr>
        <w:p>
          <w:pPr>
            <w:pStyle w:val="Header"/>
            <w:widowControl/>
            <w:jc w:val="center"/>
            <w:rPr/>
          </w:pPr>
          <w:r>
            <w:rPr>
              <w:b/>
              <w:lang w:val="bg-BG"/>
            </w:rPr>
            <w:t xml:space="preserve">Приложение </w:t>
          </w:r>
          <w:r>
            <w:rPr>
              <w:b/>
              <w:lang w:val="en-US"/>
            </w:rPr>
            <w:t>2</w:t>
          </w:r>
          <w:r>
            <w:rPr>
              <w:b/>
              <w:lang w:val="bg-BG"/>
            </w:rPr>
            <w:t>-2</w:t>
          </w:r>
        </w:p>
        <w:p>
          <w:pPr>
            <w:pStyle w:val="Header"/>
            <w:jc w:val="center"/>
            <w:rPr>
              <w:b/>
              <w:lang w:val="bg-BG"/>
            </w:rPr>
          </w:pPr>
          <w:r>
            <w:rPr>
              <w:b/>
              <w:lang w:val="bg-BG"/>
            </w:rPr>
            <w:t>СПИСЪК НА ВЪНШНИ ДОКУМЕНТИ - СУОС</w:t>
          </w:r>
        </w:p>
      </w:tc>
    </w:tr>
  </w:tbl>
  <w:p>
    <w:pPr>
      <w:pStyle w:val="Header"/>
      <w:widowControl/>
      <w:rPr>
        <w:lang w:val="bg-BG"/>
      </w:rPr>
    </w:pPr>
    <w:r>
      <w:rPr>
        <w:lang w:val="bg-BG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usePrinterMetrics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Times New Roman" w:cs="Times New Roman"/>
      <w:color w:val="auto"/>
      <w:sz w:val="20"/>
      <w:szCs w:val="20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widowControl/>
      <w:numPr>
        <w:ilvl w:val="0"/>
        <w:numId w:val="1"/>
      </w:numPr>
      <w:outlineLvl w:val="0"/>
    </w:pPr>
    <w:rPr>
      <w:rFonts w:ascii="Arial" w:hAnsi="Arial" w:cs="Arial"/>
      <w:b/>
      <w:lang w:val="bg-BG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3z0">
    <w:name w:val="WW8Num3z0"/>
    <w:qFormat/>
    <w:rPr>
      <w:rFonts w:ascii="Symbol" w:hAnsi="Symbol" w:cs="Symbol"/>
    </w:rPr>
  </w:style>
  <w:style w:type="character" w:styleId="WW8Num4z0">
    <w:name w:val="WW8Num4z0"/>
    <w:qFormat/>
    <w:rPr>
      <w:rFonts w:ascii="Symbol" w:hAnsi="Symbol" w:cs="Symbol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6z0">
    <w:name w:val="WW8Num6z0"/>
    <w:qFormat/>
    <w:rPr>
      <w:rFonts w:ascii="Symbol" w:hAnsi="Symbol" w:cs="Symbol"/>
    </w:rPr>
  </w:style>
  <w:style w:type="character" w:styleId="WW8Num7z0">
    <w:name w:val="WW8Num7z0"/>
    <w:qFormat/>
    <w:rPr>
      <w:rFonts w:ascii="Symbol" w:hAnsi="Symbol" w:cs="Symbol"/>
    </w:rPr>
  </w:style>
  <w:style w:type="character" w:styleId="WW8Num8z0">
    <w:name w:val="WW8Num8z0"/>
    <w:qFormat/>
    <w:rPr>
      <w:rFonts w:ascii="Symbol" w:hAnsi="Symbol" w:cs="Symbol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0z0">
    <w:name w:val="WW8Num10z0"/>
    <w:qFormat/>
    <w:rPr>
      <w:rFonts w:ascii="Symbol" w:hAnsi="Symbol" w:cs="Symbol"/>
    </w:rPr>
  </w:style>
  <w:style w:type="character" w:styleId="WW8Num11z0">
    <w:name w:val="WW8Num11z0"/>
    <w:qFormat/>
    <w:rPr>
      <w:rFonts w:ascii="Symbol" w:hAnsi="Symbol" w:cs="Symbol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2">
    <w:name w:val="WW8Num11z2"/>
    <w:qFormat/>
    <w:rPr>
      <w:rFonts w:ascii="Wingdings" w:hAnsi="Wingdings" w:cs="Wingdings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4z0">
    <w:name w:val="WW8Num14z0"/>
    <w:qFormat/>
    <w:rPr>
      <w:rFonts w:ascii="Symbol" w:hAnsi="Symbol" w:cs="Symbol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7z0">
    <w:name w:val="WW8Num17z0"/>
    <w:qFormat/>
    <w:rPr>
      <w:rFonts w:ascii="Symbol" w:hAnsi="Symbol" w:cs="Symbol"/>
    </w:rPr>
  </w:style>
  <w:style w:type="character" w:styleId="WW8Num18z0">
    <w:name w:val="WW8Num18z0"/>
    <w:qFormat/>
    <w:rPr>
      <w:rFonts w:ascii="Symbol" w:hAnsi="Symbol" w:cs="Symbol"/>
    </w:rPr>
  </w:style>
  <w:style w:type="character" w:styleId="WW8Num18z1">
    <w:name w:val="WW8Num18z1"/>
    <w:qFormat/>
    <w:rPr>
      <w:rFonts w:ascii="Courier New" w:hAnsi="Courier New" w:cs="Courier New"/>
    </w:rPr>
  </w:style>
  <w:style w:type="character" w:styleId="WW8Num18z2">
    <w:name w:val="WW8Num18z2"/>
    <w:qFormat/>
    <w:rPr>
      <w:rFonts w:ascii="Wingdings" w:hAnsi="Wingdings" w:cs="Wingdings"/>
    </w:rPr>
  </w:style>
  <w:style w:type="character" w:styleId="WW8Num19z0">
    <w:name w:val="WW8Num19z0"/>
    <w:qFormat/>
    <w:rPr>
      <w:rFonts w:ascii="Symbol" w:hAnsi="Symbol" w:cs="Symbol"/>
    </w:rPr>
  </w:style>
  <w:style w:type="character" w:styleId="WW8Num19z1">
    <w:name w:val="WW8Num19z1"/>
    <w:qFormat/>
    <w:rPr>
      <w:rFonts w:ascii="Courier New" w:hAnsi="Courier New" w:cs="Courier New"/>
    </w:rPr>
  </w:style>
  <w:style w:type="character" w:styleId="WW8Num19z2">
    <w:name w:val="WW8Num19z2"/>
    <w:qFormat/>
    <w:rPr>
      <w:rFonts w:ascii="Wingdings" w:hAnsi="Wingdings" w:cs="Wingdings"/>
    </w:rPr>
  </w:style>
  <w:style w:type="character" w:styleId="WW8Num20z0">
    <w:name w:val="WW8Num20z0"/>
    <w:qFormat/>
    <w:rPr>
      <w:rFonts w:ascii="Symbol" w:hAnsi="Symbol" w:cs="Symbol"/>
    </w:rPr>
  </w:style>
  <w:style w:type="character" w:styleId="WW8NumSt1z0">
    <w:name w:val="WW8NumSt1z0"/>
    <w:qFormat/>
    <w:rPr>
      <w:rFonts w:ascii="Symbol" w:hAnsi="Symbol" w:cs="Symbol"/>
    </w:rPr>
  </w:style>
  <w:style w:type="character" w:styleId="Style13">
    <w:name w:val="Шрифт на абзаца по подразбиране"/>
    <w:qFormat/>
    <w:rPr/>
  </w:style>
  <w:style w:type="character" w:styleId="PageNumber">
    <w:name w:val="page number"/>
    <w:rPr>
      <w:sz w:val="20"/>
    </w:rPr>
  </w:style>
  <w:style w:type="character" w:styleId="Style14">
    <w:name w:val="Препратка към коментар"/>
    <w:qFormat/>
    <w:rPr>
      <w:sz w:val="16"/>
    </w:rPr>
  </w:style>
  <w:style w:type="character" w:styleId="Hyperlink">
    <w:name w:val="Hyperlink"/>
    <w:rPr>
      <w:color w:val="0066CC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yle15">
    <w:name w:val="Горен колонтитул Знак"/>
    <w:qFormat/>
    <w:rPr>
      <w:lang w:val="en-GB"/>
    </w:rPr>
  </w:style>
  <w:style w:type="paragraph" w:styleId="Style16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7">
    <w:name w:val="Указател"/>
    <w:basedOn w:val="Normal"/>
    <w:qFormat/>
    <w:pPr>
      <w:suppressLineNumbers/>
    </w:pPr>
    <w:rPr>
      <w:rFonts w:cs="Arial"/>
    </w:rPr>
  </w:style>
  <w:style w:type="paragraph" w:styleId="Style18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Style19">
    <w:name w:val="Текст на коментар"/>
    <w:basedOn w:val="Normal"/>
    <w:qFormat/>
    <w:pPr/>
    <w:rPr/>
  </w:style>
  <w:style w:type="paragraph" w:styleId="2">
    <w:name w:val="Основен текст 2"/>
    <w:basedOn w:val="Normal"/>
    <w:qFormat/>
    <w:pPr>
      <w:widowControl/>
    </w:pPr>
    <w:rPr>
      <w:sz w:val="28"/>
      <w:lang w:val="bg-BG"/>
    </w:rPr>
  </w:style>
  <w:style w:type="paragraph" w:styleId="Style20">
    <w:name w:val="Изнесен текст"/>
    <w:basedOn w:val="Normal"/>
    <w:qFormat/>
    <w:pPr/>
    <w:rPr>
      <w:rFonts w:ascii="Tahoma" w:hAnsi="Tahoma" w:cs="Tahoma"/>
      <w:sz w:val="16"/>
      <w:szCs w:val="16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www3.moew.government.bg/files/file/Waste/Legislation/Zakoni/ZUO.pdf" TargetMode="External"/><Relationship Id="rId3" Type="http://schemas.openxmlformats.org/officeDocument/2006/relationships/hyperlink" Target="http://lex.bg/laws/ldoc/2135458102" TargetMode="External"/><Relationship Id="rId4" Type="http://schemas.openxmlformats.org/officeDocument/2006/relationships/hyperlink" Target="http://im.cablebg.net/clients/n3osvd04.htm" TargetMode="External"/><Relationship Id="rId5" Type="http://schemas.openxmlformats.org/officeDocument/2006/relationships/hyperlink" Target="http://www3.moew.government.bg/files/file/Waste/Legislation/Naredbi/waste/Naredba_opakovki.pdf" TargetMode="External"/><Relationship Id="rId6" Type="http://schemas.openxmlformats.org/officeDocument/2006/relationships/hyperlink" Target="http://www.ecomedia.bg/laws/waste-management/law/41" TargetMode="External"/><Relationship Id="rId7" Type="http://schemas.openxmlformats.org/officeDocument/2006/relationships/hyperlink" Target="http://haskovo.riosv.com/docs/PMS_53.pdf" TargetMode="External"/><Relationship Id="rId8" Type="http://schemas.openxmlformats.org/officeDocument/2006/relationships/hyperlink" Target="http://eea.government.bg/bg/legislation/waste/om/Naredbamaslar.pdf" TargetMode="External"/><Relationship Id="rId9" Type="http://schemas.openxmlformats.org/officeDocument/2006/relationships/hyperlink" Target="http://www.google.bg/url?sa=t&amp;rct=j&amp;q=&amp;esrc=s&amp;source=web&amp;cd=1&amp;ved=0CCsQFjAA&amp;url=http%3A%2F%2Fwww.riosv.icon.bg%2Fitems%2Fdocuments%2F160_1.doc&amp;ei=fEllUaehJ4KmtAa43oEQ&amp;usg=AFQjCNE6JeujT5W_thahoS4g43z405E-lg&amp;bvm=bv.44990110,d.Yms&amp;cad=rja" TargetMode="External"/><Relationship Id="rId10" Type="http://schemas.openxmlformats.org/officeDocument/2006/relationships/hyperlink" Target="http://plusminus.com/bg/info/naview.aspx?&amp;id=27871" TargetMode="Externa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2011-02-16T13:10:00Z</dcterms:created>
  <dc:creator>МТ</dc:creator>
  <dc:description/>
  <cp:keywords/>
  <dc:language>bg-BG</dc:language>
  <cp:lastModifiedBy>Силвия Мирчева</cp:lastModifiedBy>
  <cp:lastPrinted>2007-06-16T09:59:00Z</cp:lastPrinted>
  <dcterms:modified xsi:type="dcterms:W3CDTF">2022-03-31T14:57:00Z</dcterms:modified>
  <cp:revision>50</cp:revision>
  <dc:subject>Наръчник по качеството</dc:subject>
  <dc:title>Списък на документите на СУК</dc:title>
</cp:coreProperties>
</file>