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media/image1.wmf" ContentType="image/x-wmf"/>
  <Override PartName="/word/numbering.xml" ContentType="application/vnd.openxmlformats-officedocument.wordprocessingml.numbering+xml"/>
  <Override PartName="/word/embeddings/oleObject1.docx" ContentType="application/vnd.openxmlformats-officedocument.wordprocessingml.document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start="180" w:end="0"/>
        <w:rPr>
          <w:b/>
          <w:color w:val="FF0000"/>
          <w:lang w:val="en-US" w:eastAsia="bg-BG"/>
        </w:rPr>
      </w:pPr>
      <w:r>
        <w:rPr>
          <w:b/>
          <w:color w:val="FF0000"/>
          <w:lang w:val="en-US" w:eastAsia="bg-BG"/>
        </w:rPr>
        <w:object w:dxaOrig="10852" w:dyaOrig="9537">
          <v:shapetype id="_x0000_tole_rId2" coordsize="21600,21600" o:spt="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" type="_x0000_tole_rId2" style="position:absolute;margin-left:-23.3pt;margin-top:9.1pt;width:510.05pt;height:448.25pt;mso-wrap-distance-left:9.05pt;mso-wrap-distance-right:9.05pt;mso-position-horizontal-relative:text;mso-position-vertical-relative:text" filled="f" o:ole="">
            <v:imagedata r:id="rId3" o:title=""/>
            <w10:wrap type="square" side="right"/>
          </v:shape>
          <o:OLEObject Type="Embed" ProgID="Word.Document.12" ShapeID="ole_rId2" DrawAspect="Content" ObjectID="_39490430" r:id="rId2"/>
        </w:object>
      </w:r>
    </w:p>
    <w:p>
      <w:pPr>
        <w:pStyle w:val="Normal"/>
        <w:ind w:start="180" w:end="0"/>
        <w:rPr>
          <w:b/>
          <w:color w:val="FF0000"/>
          <w:lang w:val="en-US"/>
        </w:rPr>
      </w:pPr>
      <w:r>
        <w:rPr>
          <w:b/>
          <w:color w:val="FF0000"/>
          <w:lang w:val="en-US"/>
        </w:rPr>
      </w:r>
    </w:p>
    <w:p>
      <w:pPr>
        <w:pStyle w:val="Normal"/>
        <w:ind w:start="180" w:end="0"/>
        <w:rPr>
          <w:b/>
          <w:color w:val="FF0000"/>
          <w:lang w:val="en-US"/>
        </w:rPr>
      </w:pPr>
      <w:r>
        <w:rPr>
          <w:b/>
          <w:color w:val="FF0000"/>
          <w:lang w:val="en-US"/>
        </w:rPr>
      </w:r>
    </w:p>
    <w:p>
      <w:pPr>
        <w:pStyle w:val="Normal"/>
        <w:rPr>
          <w:rFonts w:ascii="Arial" w:hAnsi="Arial" w:cs="Arial"/>
          <w:b/>
          <w:sz w:val="32"/>
          <w:szCs w:val="32"/>
          <w:lang w:val="bg-BG"/>
        </w:rPr>
      </w:pPr>
      <w:r>
        <w:rPr>
          <w:rFonts w:cs="Arial" w:ascii="Arial" w:hAnsi="Arial"/>
          <w:b/>
          <w:sz w:val="32"/>
          <w:szCs w:val="32"/>
          <w:lang w:val="bg-BG"/>
        </w:rPr>
      </w:r>
    </w:p>
    <w:sectPr>
      <w:headerReference w:type="default" r:id="rId4"/>
      <w:headerReference w:type="first" r:id="rId5"/>
      <w:type w:val="nextPage"/>
      <w:pgSz w:orient="landscape" w:w="16838" w:h="11906"/>
      <w:pgMar w:left="567" w:right="851" w:gutter="0" w:header="993" w:top="1779" w:footer="0" w:bottom="1588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cc" w:characterSet="windows-1251"/>
    <w:family w:val="swiss"/>
    <w:pitch w:val="variable"/>
  </w:font>
  <w:font w:name="Tahoma">
    <w:charset w:val="cc" w:characterSet="windows-125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747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2943"/>
      <w:gridCol w:w="4678"/>
      <w:gridCol w:w="992"/>
      <w:gridCol w:w="1134"/>
    </w:tblGrid>
    <w:tr>
      <w:trPr>
        <w:cantSplit/>
      </w:trPr>
      <w:tc>
        <w:tcPr>
          <w:tcW w:w="2943" w:type="dxa"/>
          <w:vMerge w:val="restart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Normal"/>
            <w:jc w:val="center"/>
            <w:rPr>
              <w:lang w:val="en-US"/>
            </w:rPr>
          </w:pPr>
          <w:r>
            <w:rPr>
              <w:rFonts w:cs="Arial" w:ascii="Arial" w:hAnsi="Arial"/>
              <w:b/>
              <w:sz w:val="22"/>
              <w:szCs w:val="22"/>
              <w:lang w:val="bg-BG"/>
            </w:rPr>
            <w:t>"ЕКОБУЛ ПАРТНЕР" ООД</w:t>
          </w:r>
        </w:p>
      </w:tc>
      <w:tc>
        <w:tcPr>
          <w:tcW w:w="4678" w:type="dxa"/>
          <w:tcBorders>
            <w:top w:val="single" w:sz="12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Header"/>
            <w:widowControl/>
            <w:rPr>
              <w:b/>
              <w:lang w:val="bg-BG"/>
            </w:rPr>
          </w:pPr>
          <w:r>
            <w:rPr>
              <w:b/>
              <w:lang w:val="bg-BG"/>
            </w:rPr>
            <w:t>НАРЪЧНИК НА ИС</w:t>
          </w:r>
        </w:p>
      </w:tc>
      <w:tc>
        <w:tcPr>
          <w:tcW w:w="992" w:type="dxa"/>
          <w:vMerge w:val="restart"/>
          <w:tcBorders>
            <w:top w:val="single" w:sz="12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Header"/>
            <w:jc w:val="end"/>
            <w:rPr>
              <w:lang w:val="bg-BG"/>
            </w:rPr>
          </w:pPr>
          <w:r>
            <w:rPr>
              <w:lang w:val="en-US"/>
            </w:rPr>
            <w:t>Версия</w:t>
          </w:r>
        </w:p>
      </w:tc>
      <w:tc>
        <w:tcPr>
          <w:tcW w:w="1134" w:type="dxa"/>
          <w:vMerge w:val="restart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  <w:vAlign w:val="center"/>
        </w:tcPr>
        <w:p>
          <w:pPr>
            <w:pStyle w:val="Header"/>
            <w:widowControl/>
            <w:jc w:val="center"/>
            <w:rPr>
              <w:lang w:val="bg-BG"/>
            </w:rPr>
          </w:pPr>
          <w:r>
            <w:rPr>
              <w:lang w:val="bg-BG"/>
            </w:rPr>
            <w:t>01</w:t>
          </w:r>
        </w:p>
      </w:tc>
    </w:tr>
    <w:tr>
      <w:trPr>
        <w:cantSplit/>
      </w:trPr>
      <w:tc>
        <w:tcPr>
          <w:tcW w:w="2943" w:type="dxa"/>
          <w:vMerge w:val="continue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lang w:val="en-US"/>
            </w:rPr>
          </w:pPr>
          <w:r>
            <w:rPr>
              <w:lang w:val="en-US"/>
            </w:rPr>
          </w:r>
        </w:p>
      </w:tc>
      <w:tc>
        <w:tcPr>
          <w:tcW w:w="4678" w:type="dxa"/>
          <w:tcBorders>
            <w:top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widowControl/>
            <w:rPr>
              <w:lang w:val="bg-BG"/>
            </w:rPr>
          </w:pPr>
          <w:r>
            <w:rPr>
              <w:lang w:val="en-US"/>
            </w:rPr>
            <w:t>ISO</w:t>
          </w:r>
          <w:r>
            <w:rPr>
              <w:lang w:val="bg-BG"/>
            </w:rPr>
            <w:t xml:space="preserve"> 9001</w:t>
          </w:r>
          <w:r>
            <w:rPr>
              <w:lang w:val="en-US"/>
            </w:rPr>
            <w:t>, ISO 14001</w:t>
          </w:r>
          <w:r>
            <w:rPr>
              <w:lang w:val="bg-BG"/>
            </w:rPr>
            <w:t xml:space="preserve">, </w:t>
          </w:r>
          <w:r>
            <w:rPr>
              <w:lang w:val="en-US"/>
            </w:rPr>
            <w:t xml:space="preserve">ISO </w:t>
          </w:r>
          <w:r>
            <w:rPr>
              <w:lang w:val="bg-BG"/>
            </w:rPr>
            <w:t>45</w:t>
          </w:r>
          <w:r>
            <w:rPr>
              <w:lang w:val="en-US"/>
            </w:rPr>
            <w:t>001</w:t>
          </w:r>
          <w:r>
            <w:rPr>
              <w:lang w:val="bg-BG"/>
            </w:rPr>
            <w:t>,</w:t>
          </w:r>
        </w:p>
      </w:tc>
      <w:tc>
        <w:tcPr>
          <w:tcW w:w="992" w:type="dxa"/>
          <w:vMerge w:val="continue"/>
          <w:tcBorders>
            <w:top w:val="single" w:sz="12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Header"/>
            <w:widowControl/>
            <w:snapToGrid w:val="false"/>
            <w:jc w:val="end"/>
            <w:rPr>
              <w:lang w:val="bg-BG"/>
            </w:rPr>
          </w:pPr>
          <w:r>
            <w:rPr>
              <w:lang w:val="bg-BG"/>
            </w:rPr>
          </w:r>
        </w:p>
      </w:tc>
      <w:tc>
        <w:tcPr>
          <w:tcW w:w="1134" w:type="dxa"/>
          <w:vMerge w:val="continue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  <w:vAlign w:val="center"/>
        </w:tcPr>
        <w:p>
          <w:pPr>
            <w:pStyle w:val="Header"/>
            <w:widowControl/>
            <w:snapToGrid w:val="false"/>
            <w:jc w:val="center"/>
            <w:rPr>
              <w:lang w:val="bg-BG"/>
            </w:rPr>
          </w:pPr>
          <w:r>
            <w:rPr>
              <w:lang w:val="bg-BG"/>
            </w:rPr>
          </w:r>
        </w:p>
      </w:tc>
    </w:tr>
    <w:tr>
      <w:trPr>
        <w:trHeight w:val="465" w:hRule="atLeast"/>
        <w:cantSplit/>
      </w:trPr>
      <w:tc>
        <w:tcPr>
          <w:tcW w:w="2943" w:type="dxa"/>
          <w:vMerge w:val="continue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widowControl/>
            <w:snapToGrid w:val="false"/>
            <w:jc w:val="center"/>
            <w:rPr>
              <w:lang w:val="bg-BG"/>
            </w:rPr>
          </w:pPr>
          <w:r>
            <w:rPr>
              <w:lang w:val="bg-BG"/>
            </w:rPr>
          </w:r>
        </w:p>
      </w:tc>
      <w:tc>
        <w:tcPr>
          <w:tcW w:w="4678" w:type="dxa"/>
          <w:vMerge w:val="restart"/>
          <w:tcBorders>
            <w:top w:val="single" w:sz="12" w:space="0" w:color="000000"/>
            <w:bottom w:val="single" w:sz="6" w:space="0" w:color="000000"/>
            <w:end w:val="single" w:sz="12" w:space="0" w:color="000000"/>
          </w:tcBorders>
          <w:vAlign w:val="center"/>
        </w:tcPr>
        <w:p>
          <w:pPr>
            <w:pStyle w:val="Header"/>
            <w:widowControl/>
            <w:jc w:val="center"/>
            <w:rPr>
              <w:b/>
              <w:lang w:val="bg-BG"/>
            </w:rPr>
          </w:pPr>
          <w:r>
            <w:rPr>
              <w:b/>
              <w:lang w:val="bg-BG"/>
            </w:rPr>
            <w:t>Приложение 3</w:t>
          </w:r>
        </w:p>
        <w:p>
          <w:pPr>
            <w:pStyle w:val="Header"/>
            <w:widowControl/>
            <w:jc w:val="center"/>
            <w:rPr>
              <w:b/>
              <w:lang w:val="en-US"/>
            </w:rPr>
          </w:pPr>
          <w:r>
            <w:rPr>
              <w:b/>
              <w:lang w:val="bg-BG"/>
            </w:rPr>
            <w:t>ОРГАНИЗАЦИОННА СТРУКТУРА</w:t>
          </w:r>
        </w:p>
      </w:tc>
      <w:tc>
        <w:tcPr>
          <w:tcW w:w="992" w:type="dxa"/>
          <w:tcBorders>
            <w:top w:val="single" w:sz="12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Header"/>
            <w:widowControl/>
            <w:jc w:val="end"/>
            <w:rPr>
              <w:lang w:val="bg-BG"/>
            </w:rPr>
          </w:pPr>
          <w:r>
            <w:rPr>
              <w:lang w:val="en-US"/>
            </w:rPr>
            <w:t>Стр.</w:t>
          </w:r>
        </w:p>
      </w:tc>
      <w:tc>
        <w:tcPr>
          <w:tcW w:w="1134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  <w:vAlign w:val="center"/>
        </w:tcPr>
        <w:p>
          <w:pPr>
            <w:pStyle w:val="Header"/>
            <w:widowControl/>
            <w:jc w:val="center"/>
            <w:rPr>
              <w:lang w:val="bg-BG"/>
            </w:rPr>
          </w:pPr>
          <w:r>
            <w:rPr>
              <w:lang w:val="en-US"/>
            </w:rPr>
            <w:t>1/1</w:t>
          </w:r>
        </w:p>
      </w:tc>
    </w:tr>
    <w:tr>
      <w:trPr>
        <w:trHeight w:val="465" w:hRule="atLeast"/>
        <w:cantSplit/>
      </w:trPr>
      <w:tc>
        <w:tcPr>
          <w:tcW w:w="2943" w:type="dxa"/>
          <w:vMerge w:val="continue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widowControl/>
            <w:snapToGrid w:val="false"/>
            <w:jc w:val="center"/>
            <w:rPr>
              <w:b/>
              <w:i/>
              <w:color w:val="008080"/>
              <w:lang w:val="en-US"/>
            </w:rPr>
          </w:pPr>
          <w:r>
            <w:rPr>
              <w:b/>
              <w:i/>
              <w:color w:val="008080"/>
              <w:lang w:val="en-US"/>
            </w:rPr>
          </w:r>
        </w:p>
      </w:tc>
      <w:tc>
        <w:tcPr>
          <w:tcW w:w="4678" w:type="dxa"/>
          <w:vMerge w:val="continue"/>
          <w:tcBorders>
            <w:top w:val="single" w:sz="12" w:space="0" w:color="000000"/>
            <w:bottom w:val="single" w:sz="6" w:space="0" w:color="000000"/>
            <w:end w:val="single" w:sz="12" w:space="0" w:color="000000"/>
          </w:tcBorders>
          <w:vAlign w:val="center"/>
        </w:tcPr>
        <w:p>
          <w:pPr>
            <w:pStyle w:val="Header"/>
            <w:widowControl/>
            <w:snapToGrid w:val="false"/>
            <w:jc w:val="center"/>
            <w:rPr>
              <w:b/>
              <w:i/>
              <w:color w:val="008080"/>
              <w:lang w:val="bg-BG"/>
            </w:rPr>
          </w:pPr>
          <w:r>
            <w:rPr>
              <w:b/>
              <w:i/>
              <w:color w:val="008080"/>
              <w:lang w:val="bg-BG"/>
            </w:rPr>
          </w:r>
        </w:p>
      </w:tc>
      <w:tc>
        <w:tcPr>
          <w:tcW w:w="992" w:type="dxa"/>
          <w:tcBorders>
            <w:top w:val="single" w:sz="6" w:space="0" w:color="000000"/>
            <w:bottom w:val="single" w:sz="12" w:space="0" w:color="000000"/>
            <w:end w:val="single" w:sz="6" w:space="0" w:color="000000"/>
          </w:tcBorders>
          <w:vAlign w:val="center"/>
        </w:tcPr>
        <w:p>
          <w:pPr>
            <w:pStyle w:val="Header"/>
            <w:widowControl/>
            <w:jc w:val="end"/>
            <w:rPr>
              <w:lang w:val="bg-BG"/>
            </w:rPr>
          </w:pPr>
          <w:r>
            <w:rPr>
              <w:lang w:val="en-US"/>
            </w:rPr>
            <w:t>Дата на и</w:t>
          </w:r>
          <w:r>
            <w:rPr>
              <w:lang w:val="bg-BG"/>
            </w:rPr>
            <w:t>зд</w:t>
          </w:r>
          <w:r>
            <w:rPr>
              <w:lang w:val="en-US"/>
            </w:rPr>
            <w:t>./изм.</w:t>
          </w:r>
        </w:p>
      </w:tc>
      <w:tc>
        <w:tcPr>
          <w:tcW w:w="1134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widowControl/>
            <w:jc w:val="center"/>
            <w:rPr>
              <w:lang w:val="bg-BG"/>
            </w:rPr>
          </w:pPr>
          <w:r>
            <w:rPr>
              <w:lang w:val="bg-BG"/>
            </w:rPr>
            <w:t>03.07.2021</w:t>
          </w:r>
        </w:p>
      </w:tc>
    </w:tr>
  </w:tbl>
  <w:p>
    <w:pPr>
      <w:pStyle w:val="Header"/>
      <w:widowControl/>
      <w:rPr>
        <w:lang w:val="bg-BG"/>
      </w:rPr>
    </w:pPr>
    <w:r>
      <w:rPr>
        <w:lang w:val="bg-BG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95"/>
  <w:defaultTabStop w:val="720"/>
  <w:autoHyphenation w:val="true"/>
  <w:hyphenationZone w:val="0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n-GB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widowControl/>
      <w:numPr>
        <w:ilvl w:val="0"/>
        <w:numId w:val="1"/>
      </w:numPr>
      <w:outlineLvl w:val="0"/>
    </w:pPr>
    <w:rPr>
      <w:rFonts w:ascii="Arial" w:hAnsi="Arial" w:cs="Arial"/>
      <w:b/>
      <w:lang w:val="bg-BG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8z0">
    <w:name w:val="WW8Num8z0"/>
    <w:qFormat/>
    <w:rPr>
      <w:rFonts w:ascii="Symbol" w:hAnsi="Symbol" w:cs="Symbol"/>
    </w:rPr>
  </w:style>
  <w:style w:type="character" w:styleId="WW8Num9z0">
    <w:name w:val="WW8Num9z0"/>
    <w:qFormat/>
    <w:rPr>
      <w:rFonts w:ascii="Symbol" w:hAnsi="Symbol" w:cs="Symbol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2">
    <w:name w:val="WW8Num9z2"/>
    <w:qFormat/>
    <w:rPr>
      <w:rFonts w:ascii="Wingdings" w:hAnsi="Wingdings" w:cs="Wingdings"/>
    </w:rPr>
  </w:style>
  <w:style w:type="character" w:styleId="WW8Num10z0">
    <w:name w:val="WW8Num10z0"/>
    <w:qFormat/>
    <w:rPr>
      <w:rFonts w:ascii="Symbol" w:hAnsi="Symbol" w:cs="Symbol"/>
    </w:rPr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2">
    <w:name w:val="WW8Num10z2"/>
    <w:qFormat/>
    <w:rPr>
      <w:rFonts w:ascii="Wingdings" w:hAnsi="Wingdings" w:cs="Wingdings"/>
    </w:rPr>
  </w:style>
  <w:style w:type="character" w:styleId="WW8Num11z0">
    <w:name w:val="WW8Num11z0"/>
    <w:qFormat/>
    <w:rPr>
      <w:rFonts w:ascii="Symbol" w:hAnsi="Symbol" w:cs="Symbol"/>
    </w:rPr>
  </w:style>
  <w:style w:type="character" w:styleId="WW8Num12z0">
    <w:name w:val="WW8Num12z0"/>
    <w:qFormat/>
    <w:rPr>
      <w:rFonts w:ascii="Symbol" w:hAnsi="Symbol" w:cs="Symbol"/>
    </w:rPr>
  </w:style>
  <w:style w:type="character" w:styleId="WW8Num12z1">
    <w:name w:val="WW8Num12z1"/>
    <w:qFormat/>
    <w:rPr>
      <w:rFonts w:ascii="Courier New" w:hAnsi="Courier New" w:cs="Courier New"/>
    </w:rPr>
  </w:style>
  <w:style w:type="character" w:styleId="WW8Num12z2">
    <w:name w:val="WW8Num12z2"/>
    <w:qFormat/>
    <w:rPr>
      <w:rFonts w:ascii="Wingdings" w:hAnsi="Wingdings" w:cs="Wingdings"/>
    </w:rPr>
  </w:style>
  <w:style w:type="character" w:styleId="WW8Num13z0">
    <w:name w:val="WW8Num13z0"/>
    <w:qFormat/>
    <w:rPr>
      <w:rFonts w:ascii="Symbol" w:hAnsi="Symbol" w:cs="Symbol"/>
    </w:rPr>
  </w:style>
  <w:style w:type="character" w:styleId="WW8Num14z0">
    <w:name w:val="WW8Num14z0"/>
    <w:qFormat/>
    <w:rPr>
      <w:rFonts w:ascii="Symbol" w:hAnsi="Symbol" w:cs="Symbol"/>
    </w:rPr>
  </w:style>
  <w:style w:type="character" w:styleId="WW8Num15z0">
    <w:name w:val="WW8Num15z0"/>
    <w:qFormat/>
    <w:rPr>
      <w:rFonts w:ascii="Symbol" w:hAnsi="Symbol" w:cs="Symbol"/>
    </w:rPr>
  </w:style>
  <w:style w:type="character" w:styleId="WW8Num16z0">
    <w:name w:val="WW8Num16z0"/>
    <w:qFormat/>
    <w:rPr>
      <w:rFonts w:ascii="Symbol" w:hAnsi="Symbol" w:cs="Symbol"/>
    </w:rPr>
  </w:style>
  <w:style w:type="character" w:styleId="WW8Num16z1">
    <w:name w:val="WW8Num16z1"/>
    <w:qFormat/>
    <w:rPr>
      <w:rFonts w:ascii="Courier New" w:hAnsi="Courier New" w:cs="Courier New"/>
    </w:rPr>
  </w:style>
  <w:style w:type="character" w:styleId="WW8Num16z2">
    <w:name w:val="WW8Num16z2"/>
    <w:qFormat/>
    <w:rPr>
      <w:rFonts w:ascii="Wingdings" w:hAnsi="Wingdings" w:cs="Wingdings"/>
    </w:rPr>
  </w:style>
  <w:style w:type="character" w:styleId="WW8Num17z0">
    <w:name w:val="WW8Num17z0"/>
    <w:qFormat/>
    <w:rPr>
      <w:rFonts w:ascii="Symbol" w:hAnsi="Symbol" w:cs="Symbol"/>
    </w:rPr>
  </w:style>
  <w:style w:type="character" w:styleId="WW8Num17z1">
    <w:name w:val="WW8Num17z1"/>
    <w:qFormat/>
    <w:rPr>
      <w:rFonts w:ascii="Courier New" w:hAnsi="Courier New" w:cs="Courier New"/>
    </w:rPr>
  </w:style>
  <w:style w:type="character" w:styleId="WW8Num17z2">
    <w:name w:val="WW8Num17z2"/>
    <w:qFormat/>
    <w:rPr>
      <w:rFonts w:ascii="Wingdings" w:hAnsi="Wingdings" w:cs="Wingdings"/>
    </w:rPr>
  </w:style>
  <w:style w:type="character" w:styleId="WW8Num18z0">
    <w:name w:val="WW8Num18z0"/>
    <w:qFormat/>
    <w:rPr>
      <w:rFonts w:ascii="Symbol" w:hAnsi="Symbol" w:cs="Symbol"/>
    </w:rPr>
  </w:style>
  <w:style w:type="character" w:styleId="WW8NumSt1z0">
    <w:name w:val="WW8NumSt1z0"/>
    <w:qFormat/>
    <w:rPr>
      <w:rFonts w:ascii="Symbol" w:hAnsi="Symbol" w:cs="Symbol"/>
    </w:rPr>
  </w:style>
  <w:style w:type="character" w:styleId="Style13">
    <w:name w:val="Шрифт на абзаца по подразбиране"/>
    <w:qFormat/>
    <w:rPr/>
  </w:style>
  <w:style w:type="character" w:styleId="PageNumber">
    <w:name w:val="page number"/>
    <w:rPr>
      <w:sz w:val="20"/>
    </w:rPr>
  </w:style>
  <w:style w:type="character" w:styleId="Style14">
    <w:name w:val="Препратка към коментар"/>
    <w:qFormat/>
    <w:rPr>
      <w:sz w:val="16"/>
    </w:rPr>
  </w:style>
  <w:style w:type="paragraph" w:styleId="Style15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"/>
    <w:basedOn w:val="Normal"/>
    <w:qFormat/>
    <w:pPr>
      <w:suppressLineNumbers/>
    </w:pPr>
    <w:rPr>
      <w:rFonts w:cs="Arial"/>
    </w:rPr>
  </w:style>
  <w:style w:type="paragraph" w:styleId="Style17">
    <w:name w:val="Колонтитули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Style18">
    <w:name w:val="Текст на коментар"/>
    <w:basedOn w:val="Normal"/>
    <w:qFormat/>
    <w:pPr/>
    <w:rPr/>
  </w:style>
  <w:style w:type="paragraph" w:styleId="2">
    <w:name w:val="Основен текст 2"/>
    <w:basedOn w:val="Normal"/>
    <w:qFormat/>
    <w:pPr>
      <w:widowControl/>
    </w:pPr>
    <w:rPr>
      <w:sz w:val="28"/>
      <w:lang w:val="bg-BG"/>
    </w:rPr>
  </w:style>
  <w:style w:type="paragraph" w:styleId="Style19">
    <w:name w:val="Изнесен текст"/>
    <w:basedOn w:val="Normal"/>
    <w:qFormat/>
    <w:pPr/>
    <w:rPr>
      <w:rFonts w:ascii="Tahoma" w:hAnsi="Tahoma" w:cs="Tahoma"/>
      <w:sz w:val="16"/>
      <w:szCs w:val="16"/>
    </w:rPr>
  </w:style>
  <w:style w:type="paragraph" w:styleId="3">
    <w:name w:val="Основен текст 3"/>
    <w:basedOn w:val="Normal"/>
    <w:qFormat/>
    <w:pPr>
      <w:spacing w:before="0" w:after="120"/>
    </w:pPr>
    <w:rPr>
      <w:sz w:val="16"/>
      <w:szCs w:val="16"/>
    </w:rPr>
  </w:style>
  <w:style w:type="paragraph" w:styleId="-">
    <w:name w:val="Таблица - съдържание"/>
    <w:basedOn w:val="Normal"/>
    <w:qFormat/>
    <w:pPr>
      <w:widowControl w:val="false"/>
      <w:suppressLineNumbers/>
    </w:pPr>
    <w:rPr/>
  </w:style>
  <w:style w:type="paragraph" w:styleId="-1">
    <w:name w:val="Таблица - заглавие"/>
    <w:basedOn w:val="-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package" Target="embeddings/oleObject1.docx"/><Relationship Id="rId3" Type="http://schemas.openxmlformats.org/officeDocument/2006/relationships/image" Target="media/image1.wmf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2013-03-30T13:04:00Z</dcterms:created>
  <dc:creator>МТ</dc:creator>
  <dc:description/>
  <cp:keywords/>
  <dc:language>bg-BG</dc:language>
  <cp:lastModifiedBy>Силвия Мирчева</cp:lastModifiedBy>
  <cp:lastPrinted>2007-06-16T09:59:00Z</cp:lastPrinted>
  <dcterms:modified xsi:type="dcterms:W3CDTF">2022-03-31T14:58:00Z</dcterms:modified>
  <cp:revision>31</cp:revision>
  <dc:subject>Наръчник по качеството</dc:subject>
  <dc:title>Списък на документите на СУК</dc:title>
</cp:coreProperties>
</file>