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10.</w:t>
        <w:tab/>
        <w:t>ПОДОБРЯВАНЕ</w:t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10.1</w:t>
        <w:tab/>
        <w:t>ОРГАНИЗАЦИЯ НА ПОДОБРЯВАНЕТО</w:t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Фирмата е определила и избрала възможностите за подобряване и предприема необходимите действия за удовлетворяване на изискванията на клиента и за повишаване на неговата удовлетвореност. </w:t>
      </w:r>
      <w:r>
        <w:rPr>
          <w:vanish/>
          <w:color w:val="0070C0"/>
          <w:sz w:val="24"/>
          <w:lang w:val="bg-BG"/>
        </w:rPr>
        <w:t xml:space="preserve"> 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За определяне на областите за подобряване на Системата за управление, ръководството:</w:t>
      </w:r>
    </w:p>
    <w:p>
      <w:pPr>
        <w:pStyle w:val="Normal"/>
        <w:numPr>
          <w:ilvl w:val="0"/>
          <w:numId w:val="6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изследва удовлетвореността на клиента;</w:t>
      </w:r>
    </w:p>
    <w:p>
      <w:pPr>
        <w:pStyle w:val="Normal"/>
        <w:numPr>
          <w:ilvl w:val="0"/>
          <w:numId w:val="6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провежда вътрешни одити;</w:t>
      </w:r>
    </w:p>
    <w:p>
      <w:pPr>
        <w:pStyle w:val="Normal"/>
        <w:numPr>
          <w:ilvl w:val="0"/>
          <w:numId w:val="6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провежда преглед от ръководството;</w:t>
      </w:r>
    </w:p>
    <w:p>
      <w:pPr>
        <w:pStyle w:val="Normal"/>
        <w:numPr>
          <w:ilvl w:val="0"/>
          <w:numId w:val="6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извършва самооценка на дейността си.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>Подобренията включват:</w:t>
      </w:r>
    </w:p>
    <w:p>
      <w:pPr>
        <w:pStyle w:val="Normal"/>
        <w:numPr>
          <w:ilvl w:val="0"/>
          <w:numId w:val="8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подобряване на продуктите, за да се удовлетворят изискванията и да се отчитат бъдещите потребности и очаквания на клиентите и ЗС;</w:t>
      </w:r>
    </w:p>
    <w:p>
      <w:pPr>
        <w:pStyle w:val="Normal"/>
        <w:numPr>
          <w:ilvl w:val="0"/>
          <w:numId w:val="8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коригиране, предотвратяване или намаляване на нежелани въздействия;</w:t>
      </w:r>
    </w:p>
    <w:p>
      <w:pPr>
        <w:pStyle w:val="Normal"/>
        <w:numPr>
          <w:ilvl w:val="0"/>
          <w:numId w:val="8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подобряване на резултатността и ефикасността на системата за управление.</w:t>
      </w:r>
    </w:p>
    <w:p>
      <w:pPr>
        <w:pStyle w:val="Normal"/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Фирмата постоянно подобрява пригодността, адекватността и ефикасността на системата за управление. Вземат се предвид резултатите от анализа и оценяването, както и изходните елементи от прегледа от ръководството, за да определи дали съществуват потребности или възможности, които са част от постоянното подобряване.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10.2</w:t>
        <w:tab/>
        <w:t>НЕСЪОТВЕТСТВИЯ И КОРИГИРАЩИ ДЕЙСТВИЯ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Несъответстващ продукт по смисъла на ISO 9001:2015 e продукт, който не съответства на определени изисквания.</w:t>
      </w:r>
      <w:r>
        <w:rPr>
          <w:sz w:val="24"/>
          <w:lang w:val="en-US"/>
        </w:rPr>
        <w:t xml:space="preserve"> </w:t>
      </w:r>
      <w:r>
        <w:rPr>
          <w:sz w:val="24"/>
          <w:lang w:val="bg-BG"/>
        </w:rPr>
        <w:t xml:space="preserve">В смисъла на системата за управление, </w:t>
      </w:r>
      <w:r>
        <w:rPr>
          <w:rFonts w:cs="Arial" w:ascii="Arial" w:hAnsi="Arial"/>
        </w:rPr>
        <w:t>„ЕКОБУЛ ПАРТНЕР“ ООД</w:t>
      </w:r>
      <w:r>
        <w:rPr>
          <w:sz w:val="24"/>
          <w:lang w:val="bg-BG"/>
        </w:rPr>
        <w:t xml:space="preserve"> възприема всяко едно неизпълнение на изискване като не съответствие, включително неизпълнение на законови изисквания по управление на околната среда и условията на труд по ЗБР. Процесът по управление на несъответствия, свързани с качеството е регламентиран в </w:t>
      </w:r>
      <w:r>
        <w:rPr>
          <w:sz w:val="24"/>
          <w:lang w:val="en-US"/>
        </w:rPr>
        <w:t>IP</w:t>
      </w:r>
      <w:r>
        <w:rPr>
          <w:sz w:val="24"/>
          <w:lang w:val="bg-BG"/>
        </w:rPr>
        <w:t xml:space="preserve"> 10.02.00 „Несъответствия и коригиращи действия”.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Независимо от взетите мерки, могат да възникнат несъответствия:</w:t>
      </w:r>
    </w:p>
    <w:p>
      <w:pPr>
        <w:pStyle w:val="Normal"/>
        <w:numPr>
          <w:ilvl w:val="0"/>
          <w:numId w:val="3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породени от доставени некачествени</w:t>
      </w:r>
      <w:r>
        <w:rPr>
          <w:sz w:val="24"/>
          <w:lang w:val="en-US"/>
        </w:rPr>
        <w:t xml:space="preserve"> </w:t>
      </w:r>
      <w:r>
        <w:rPr>
          <w:sz w:val="24"/>
          <w:lang w:val="bg-BG"/>
        </w:rPr>
        <w:t>продукти и материали;</w:t>
      </w:r>
    </w:p>
    <w:p>
      <w:pPr>
        <w:pStyle w:val="Normal"/>
        <w:numPr>
          <w:ilvl w:val="0"/>
          <w:numId w:val="3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породени от допуснати грешки при основната дейност;</w:t>
      </w:r>
    </w:p>
    <w:p>
      <w:pPr>
        <w:pStyle w:val="Normal"/>
        <w:numPr>
          <w:ilvl w:val="0"/>
          <w:numId w:val="3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несъответствия след предаването на продукта/ услугата на клиента;</w:t>
      </w:r>
    </w:p>
    <w:p>
      <w:pPr>
        <w:pStyle w:val="Normal"/>
        <w:numPr>
          <w:ilvl w:val="0"/>
          <w:numId w:val="3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несъответствия от организационен характер.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При установяване на несъответствие, съответното длъжностно лице трябва да предприеме незабавни мерки за идентифициране, документиране и означаване на несъответствието. </w:t>
      </w:r>
    </w:p>
    <w:p>
      <w:pPr>
        <w:pStyle w:val="Normal"/>
        <w:jc w:val="both"/>
        <w:rPr/>
      </w:pPr>
      <w:r>
        <w:rPr>
          <w:sz w:val="24"/>
          <w:lang w:val="bg-BG"/>
        </w:rPr>
        <w:t>Информацията за установени несъответствия при закупуването се използва при оценяване на доставчиците съгласно PK 08.04.00 „Управление на доставките”. Доставчикът се уведомява и след уточняване на причините за допуснатото несъответствие, ако е необходимо, се изключва от базата данни за утвърдени доставчици и от него не се купуват нови количества.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Документирането на несъответствията и разпорежданията с тях трябва да осигурява информация за процеса на анализ на причините и да посочва възможности за подобряване.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Когато възникне несъответствие, включително свързано с рекламация, фирмата:</w:t>
      </w:r>
    </w:p>
    <w:p>
      <w:pPr>
        <w:pStyle w:val="Normal"/>
        <w:numPr>
          <w:ilvl w:val="0"/>
          <w:numId w:val="5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реагира на несъответствието и според случая да предприеме действия за контрол и за коригирането му и да се справи с последствията;</w:t>
      </w:r>
    </w:p>
    <w:p>
      <w:pPr>
        <w:pStyle w:val="Normal"/>
        <w:numPr>
          <w:ilvl w:val="0"/>
          <w:numId w:val="5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да  оценява  необходимостта  от  предприемане действия  за  отстраняване  на  причините за несъответствието, за да не се повтори или възникне на друго място;</w:t>
      </w:r>
    </w:p>
    <w:p>
      <w:pPr>
        <w:pStyle w:val="Normal"/>
        <w:numPr>
          <w:ilvl w:val="0"/>
          <w:numId w:val="5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изпълнява всички изисквани действия;</w:t>
      </w:r>
    </w:p>
    <w:p>
      <w:pPr>
        <w:pStyle w:val="Normal"/>
        <w:numPr>
          <w:ilvl w:val="0"/>
          <w:numId w:val="5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извършва преглед на ефикасността на всяко предприето коригиращо действие;</w:t>
      </w:r>
    </w:p>
    <w:p>
      <w:pPr>
        <w:pStyle w:val="Normal"/>
        <w:numPr>
          <w:ilvl w:val="0"/>
          <w:numId w:val="5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актуализира рискове и възможности, определени по време на планирането;</w:t>
      </w:r>
    </w:p>
    <w:p>
      <w:pPr>
        <w:pStyle w:val="Normal"/>
        <w:numPr>
          <w:ilvl w:val="0"/>
          <w:numId w:val="5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внася изменения в системата за управление при необходимост.</w:t>
      </w:r>
    </w:p>
    <w:p>
      <w:pPr>
        <w:pStyle w:val="Normal"/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>Решение за разпореждане с несъответствието вземат Мениджърът на ИС и/или Управителят. При оценяването трябва да се имат предвид историята на несъответствието и предишен опит при който предходните предприети действия да не са дали очаквания резултат. Информацията за установени несъответствия се ползва като вход за преглед от ръководството – възможности за подобряване и/или необходимост от допълнителни ресурси.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Когато е взето решение за корекция или доработка, се провежда допълнителен контрол съобразно изискванията. По-нататъшната работа се допуска само след положителни резултати от контрола.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Информацията, свързана с проявили се несъответствия, се използва при:</w:t>
      </w:r>
    </w:p>
    <w:p>
      <w:pPr>
        <w:pStyle w:val="Normal"/>
        <w:numPr>
          <w:ilvl w:val="0"/>
          <w:numId w:val="9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анализ на причини за поява на несъответствия;</w:t>
      </w:r>
    </w:p>
    <w:p>
      <w:pPr>
        <w:pStyle w:val="Normal"/>
        <w:numPr>
          <w:ilvl w:val="0"/>
          <w:numId w:val="9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предприемане на коригиращи действия;</w:t>
      </w:r>
    </w:p>
    <w:p>
      <w:pPr>
        <w:pStyle w:val="Normal"/>
        <w:numPr>
          <w:ilvl w:val="0"/>
          <w:numId w:val="9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възможности за подобряване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и е база за вземане на управленски решения при преглед от ръководството.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Коригиращи действия се предприемат когато:</w:t>
      </w:r>
    </w:p>
    <w:p>
      <w:pPr>
        <w:pStyle w:val="Normal"/>
        <w:numPr>
          <w:ilvl w:val="0"/>
          <w:numId w:val="10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има предложение за коригиращо действие за подобрение или промяна в начина на работа;</w:t>
      </w:r>
    </w:p>
    <w:p>
      <w:pPr>
        <w:pStyle w:val="Normal"/>
        <w:numPr>
          <w:ilvl w:val="0"/>
          <w:numId w:val="10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има рекламация от клиент или негативна информация от Заинтересована Страна;</w:t>
      </w:r>
    </w:p>
    <w:p>
      <w:pPr>
        <w:pStyle w:val="Normal"/>
        <w:numPr>
          <w:ilvl w:val="0"/>
          <w:numId w:val="10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има повтарящи се несъответствия;</w:t>
      </w:r>
    </w:p>
    <w:p>
      <w:pPr>
        <w:pStyle w:val="Normal"/>
        <w:numPr>
          <w:ilvl w:val="0"/>
          <w:numId w:val="10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има констатирани значителни несъответствия по време на одити;</w:t>
      </w:r>
    </w:p>
    <w:p>
      <w:pPr>
        <w:pStyle w:val="Normal"/>
        <w:numPr>
          <w:ilvl w:val="0"/>
          <w:numId w:val="10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коригиращи действия са препоръчани след преглед от ръководството.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Ефективността на коригиращите действия зависи от ефективността на всички етапи на извършването им – от ясното дефиниране на проблема, събирането на необходимите данни, изясняване на причините, извършване на корекциите и оценяване на ефективността. 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>Управителят е в правото си да прецени целесъобразността от по-нататъшни действия и да разпореди извършването на корекция (ако проблемът е ясен и не се нуждае от обсъждане) или провеждането на коригиращи действия. След провеждане на коригиращо действие МИС извършва оценка за постигнатия ефект.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 xml:space="preserve">При несъответствия, свързани с околната среда и условията на труд се прилага същата процедура </w:t>
      </w:r>
      <w:r>
        <w:rPr>
          <w:sz w:val="24"/>
          <w:lang w:val="en-US"/>
        </w:rPr>
        <w:t>IP</w:t>
      </w:r>
      <w:r>
        <w:rPr>
          <w:sz w:val="24"/>
          <w:lang w:val="bg-BG"/>
        </w:rPr>
        <w:t xml:space="preserve"> 10.02.00 „Несъответствия и коригиращи действия”. 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Всички документи, свързани с планиране, осъществяване и контрол на проведеното коригиращо действие се съхраняват при МИС. Резултатите от проведените коригиращи действия  се използват при преглед от ръководството.</w:t>
      </w:r>
    </w:p>
    <w:p>
      <w:pPr>
        <w:pStyle w:val="Normal"/>
        <w:jc w:val="both"/>
        <w:rPr/>
      </w:pPr>
      <w:r>
        <w:rPr>
          <w:sz w:val="24"/>
          <w:lang w:val="bg-BG"/>
        </w:rPr>
        <w:t>Фирмата съхранява документирана информация като доказателство за наличието на несъответствията, както и за всички предприети последващи действия и резултатите от всяко коригиращо действие.</w:t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10.</w:t>
      </w:r>
      <w:r>
        <w:rPr>
          <w:b/>
          <w:sz w:val="24"/>
          <w:lang w:val="en-US"/>
        </w:rPr>
        <w:t>3</w:t>
      </w:r>
      <w:r>
        <w:rPr>
          <w:b/>
          <w:sz w:val="24"/>
          <w:lang w:val="bg-BG"/>
        </w:rPr>
        <w:t xml:space="preserve">    ПОСТОЯННО ПОДОБРЯВАНЕ</w:t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>Подобренията се реализира посредством седем стъпки:</w:t>
      </w:r>
    </w:p>
    <w:p>
      <w:pPr>
        <w:pStyle w:val="Normal"/>
        <w:numPr>
          <w:ilvl w:val="0"/>
          <w:numId w:val="7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Идентифициране на възможността за подобряване. Целта е да се избере подходящ процес за подобряване на базата на плановете и приоритетите на организацията. Полезен инструментариум са процесограми, контролни карти, органиграми, които да показват защо е избран даден процес и как точно подобрението му ще способства за постигането на целите на организацията.</w:t>
      </w:r>
    </w:p>
    <w:p>
      <w:pPr>
        <w:pStyle w:val="Normal"/>
        <w:numPr>
          <w:ilvl w:val="0"/>
          <w:numId w:val="7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Описване на процеса с конкретни данни. Целта е да се избере проблем и да се постави задача, като се определи точният обхват от дейности, необходими за реализиране на процеса на подобряване. Според необходимостта могат да се използват различни методи, като чек-листи, диаграми на Парето, хистограми, процесограми, контролни карти и др..</w:t>
      </w:r>
    </w:p>
    <w:p>
      <w:pPr>
        <w:pStyle w:val="Normal"/>
        <w:numPr>
          <w:ilvl w:val="0"/>
          <w:numId w:val="7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Анализ на данните. Целта е да се идентифицират причините и вниманието да се съсредоточи върху тях, а не върху симптомите. Могат да се използват методи като Диаграма на Ишикава, диаграми на разсейването, Парето-диаграми, хистограми и др..</w:t>
      </w:r>
    </w:p>
    <w:p>
      <w:pPr>
        <w:pStyle w:val="Normal"/>
        <w:numPr>
          <w:ilvl w:val="0"/>
          <w:numId w:val="7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Предприемане на действие. Целта е да се планират и извършат действия за коригиране на причините за несъответствията.</w:t>
      </w:r>
    </w:p>
    <w:p>
      <w:pPr>
        <w:pStyle w:val="Normal"/>
        <w:numPr>
          <w:ilvl w:val="0"/>
          <w:numId w:val="7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Проверка на резултатите. С тази стъпка се проверява дали предприетите действия са били ефикасни за постигане на желаната цел. Отново се извършват действията, чрез които е идентифицирана възможността за подобряване. Използват се, в зависимост от необходимостта, диаграми, процесограми, контролни карти и др., които демонстрират състоянието на данните преди и след подобряването.</w:t>
      </w:r>
    </w:p>
    <w:p>
      <w:pPr>
        <w:pStyle w:val="Normal"/>
        <w:numPr>
          <w:ilvl w:val="0"/>
          <w:numId w:val="7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Задържане на постигнатото равнище. Постигнатото подобрение се документира в съответните документи и става част от ежедневните оперативни дейности;</w:t>
      </w:r>
    </w:p>
    <w:p>
      <w:pPr>
        <w:pStyle w:val="Normal"/>
        <w:numPr>
          <w:ilvl w:val="0"/>
          <w:numId w:val="7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Планиране на бъдещи подобрения. Тази стъпка позволява да се направи преглед на постигнатото, да се планират действия относно останали нерешени проблеми, с което се осъществява процесът на непрекъснато подобряване.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Моделът на непрекъснатото подобряване се основава на цикъла PDCA:</w:t>
      </w:r>
    </w:p>
    <w:p>
      <w:pPr>
        <w:pStyle w:val="Normal"/>
        <w:numPr>
          <w:ilvl w:val="0"/>
          <w:numId w:val="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P – Plan </w:t>
        <w:tab/>
        <w:t xml:space="preserve"> - Планирай;</w:t>
      </w:r>
    </w:p>
    <w:p>
      <w:pPr>
        <w:pStyle w:val="Normal"/>
        <w:numPr>
          <w:ilvl w:val="0"/>
          <w:numId w:val="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D – Do </w:t>
        <w:tab/>
        <w:t xml:space="preserve"> - Прави;</w:t>
      </w:r>
    </w:p>
    <w:p>
      <w:pPr>
        <w:pStyle w:val="Normal"/>
        <w:numPr>
          <w:ilvl w:val="0"/>
          <w:numId w:val="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C – Check   - Провери;</w:t>
      </w:r>
    </w:p>
    <w:p>
      <w:pPr>
        <w:pStyle w:val="Normal"/>
        <w:numPr>
          <w:ilvl w:val="0"/>
          <w:numId w:val="4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A – Act       - Действай,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При организиране на подобренията се спазват няколко основни принципа:</w:t>
      </w:r>
    </w:p>
    <w:p>
      <w:pPr>
        <w:pStyle w:val="Normal"/>
        <w:numPr>
          <w:ilvl w:val="0"/>
          <w:numId w:val="2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принцип на  разбиване на части;</w:t>
      </w:r>
    </w:p>
    <w:p>
      <w:pPr>
        <w:pStyle w:val="Normal"/>
        <w:numPr>
          <w:ilvl w:val="0"/>
          <w:numId w:val="2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принцип на последователното решаване;</w:t>
      </w:r>
    </w:p>
    <w:p>
      <w:pPr>
        <w:pStyle w:val="Normal"/>
        <w:numPr>
          <w:ilvl w:val="0"/>
          <w:numId w:val="2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принцип на производствените задачи;</w:t>
      </w:r>
    </w:p>
    <w:p>
      <w:pPr>
        <w:pStyle w:val="Normal"/>
        <w:numPr>
          <w:ilvl w:val="0"/>
          <w:numId w:val="2"/>
        </w:numPr>
        <w:ind w:hanging="284" w:start="284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принцип на цялостното решаване.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>Внедряването на подобрения трябва да става процес по процес, стъпка по стъпка, като се следи цялостния ефект върху организацията.</w:t>
      </w:r>
    </w:p>
    <w:sectPr>
      <w:headerReference w:type="default" r:id="rId2"/>
      <w:headerReference w:type="first" r:id="rId3"/>
      <w:type w:val="nextPage"/>
      <w:pgSz w:w="11906" w:h="16838"/>
      <w:pgMar w:left="1588" w:right="708" w:gutter="0" w:header="624" w:top="680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080"/>
      <w:gridCol w:w="850"/>
      <w:gridCol w:w="851"/>
    </w:tblGrid>
    <w:tr>
      <w:trPr>
        <w:trHeight w:val="240" w:hRule="atLeast"/>
        <w:cantSplit/>
      </w:trPr>
      <w:tc>
        <w:tcPr>
          <w:tcW w:w="9781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/>
          </w:pPr>
          <w:r>
            <w:rPr>
              <w:b/>
              <w:lang w:val="bg-BG"/>
            </w:rPr>
            <w:t>Раздел 10</w:t>
          </w:r>
        </w:p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ПОДОБРЯВАНЕ</w:t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rStyle w:val="PageNumber"/>
              <w:bCs/>
              <w:lang w:val="bg-BG"/>
            </w:rPr>
          </w:pPr>
          <w:r>
            <w:rPr>
              <w:rStyle w:val="PageNumber"/>
              <w:bCs/>
            </w:rPr>
            <w:fldChar w:fldCharType="begin"/>
          </w:r>
          <w:r>
            <w:rPr>
              <w:rStyle w:val="PageNumber"/>
              <w:bCs/>
            </w:rPr>
            <w:instrText xml:space="preserve"> PAGE </w:instrText>
          </w:r>
          <w:r>
            <w:rPr>
              <w:rStyle w:val="PageNumber"/>
              <w:bCs/>
            </w:rPr>
            <w:fldChar w:fldCharType="separate"/>
          </w:r>
          <w:r>
            <w:rPr>
              <w:rStyle w:val="PageNumber"/>
              <w:bCs/>
            </w:rPr>
            <w:t>4</w:t>
          </w:r>
          <w:r>
            <w:rPr>
              <w:rStyle w:val="PageNumber"/>
              <w:bCs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rStyle w:val="PageNumber"/>
        <w:bCs/>
        <w:lang w:val="bg-BG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993"/>
      <w:gridCol w:w="1275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snapToGrid w:val="false"/>
            <w:rPr>
              <w:b/>
              <w:lang w:val="en-US"/>
            </w:rPr>
          </w:pPr>
          <w:r>
            <w:rPr>
              <w:b/>
              <w:lang w:val="en-US"/>
            </w:rPr>
          </w:r>
        </w:p>
      </w:tc>
      <w:tc>
        <w:tcPr>
          <w:tcW w:w="993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75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/>
          </w:pPr>
          <w:r>
            <w:rPr>
              <w:lang w:val="bg-BG"/>
            </w:rPr>
            <w:t>0</w:t>
          </w:r>
          <w:r>
            <w:rPr>
              <w:lang w:val="en-US"/>
            </w:rPr>
            <w:t>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snapToGrid w:val="false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993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75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 xml:space="preserve">Раздел </w:t>
          </w:r>
          <w:r>
            <w:rPr>
              <w:b/>
              <w:lang w:val="en-US"/>
            </w:rPr>
            <w:t>10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ПОДОБРЯВАНЕ</w:t>
          </w:r>
        </w:p>
      </w:tc>
      <w:tc>
        <w:tcPr>
          <w:tcW w:w="993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bg-BG"/>
            </w:rPr>
          </w:pPr>
          <w:r>
            <w:rPr>
              <w:lang w:val="en-US"/>
            </w:rPr>
            <w:t>1/</w:t>
          </w:r>
          <w:r>
            <w:rPr>
              <w:lang w:val="bg-BG"/>
            </w:rPr>
            <w:t>3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536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3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Дата на изд./изм.</w:t>
          </w:r>
        </w:p>
      </w:tc>
      <w:tc>
        <w:tcPr>
          <w:tcW w:w="127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bg-BG"/>
            </w:rPr>
          </w:pPr>
          <w:r>
            <w:rPr>
              <w:lang w:val="bg-BG"/>
            </w:rPr>
            <w:t>03.07.21</w:t>
          </w:r>
        </w:p>
      </w:tc>
    </w:tr>
  </w:tbl>
  <w:p>
    <w:pPr>
      <w:pStyle w:val="BodyText"/>
      <w:tabs>
        <w:tab w:val="clear" w:pos="720"/>
        <w:tab w:val="left" w:pos="820" w:leader="none"/>
      </w:tabs>
      <w:ind w:end="113"/>
      <w:jc w:val="both"/>
      <w:rPr>
        <w:lang w:val="en-US"/>
      </w:rPr>
    </w:pPr>
    <w:r>
      <w:rPr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1080" w:hanging="72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sz w:val="24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Times New Roman" w:hAnsi="Times New Roman" w:eastAsia="Times New Roman" w:cs="Times New Roman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4">
    <w:name w:val="WW8Num5z4"/>
    <w:qFormat/>
    <w:rPr>
      <w:rFonts w:ascii="Courier New" w:hAnsi="Courier New" w:cs="Courier New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Style12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3">
    <w:name w:val="Препратка към коментар"/>
    <w:qFormat/>
    <w:rPr>
      <w:sz w:val="16"/>
    </w:rPr>
  </w:style>
  <w:style w:type="character" w:styleId="Style14">
    <w:name w:val="Горен колонтитул Знак"/>
    <w:qFormat/>
    <w:rPr>
      <w:lang w:val="en-GB"/>
    </w:rPr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</w:pPr>
    <w:rPr>
      <w:rFonts w:ascii="Arial" w:hAnsi="Arial" w:cs="Arial"/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8">
    <w:name w:val="Текст на коментар"/>
    <w:basedOn w:val="Normal"/>
    <w:qFormat/>
    <w:pPr/>
    <w:rPr/>
  </w:style>
  <w:style w:type="paragraph" w:styleId="2">
    <w:name w:val="Основен текст 2"/>
    <w:basedOn w:val="Normal"/>
    <w:qFormat/>
    <w:pPr>
      <w:widowControl/>
    </w:pPr>
    <w:rPr>
      <w:sz w:val="28"/>
      <w:lang w:val="bg-BG"/>
    </w:rPr>
  </w:style>
  <w:style w:type="paragraph" w:styleId="3">
    <w:name w:val="Основен текст 3"/>
    <w:basedOn w:val="Normal"/>
    <w:qFormat/>
    <w:pPr>
      <w:widowControl/>
      <w:jc w:val="both"/>
    </w:pPr>
    <w:rPr>
      <w:sz w:val="24"/>
      <w:lang w:val="bg-BG"/>
    </w:rPr>
  </w:style>
  <w:style w:type="paragraph" w:styleId="BodyTextIndent">
    <w:name w:val="Body Text Indent"/>
    <w:basedOn w:val="Normal"/>
    <w:pPr>
      <w:ind w:hanging="0" w:start="340" w:end="0"/>
      <w:jc w:val="both"/>
    </w:pPr>
    <w:rPr>
      <w:sz w:val="24"/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2015-10-28T14:26:00Z</dcterms:created>
  <dc:creator>MT</dc:creator>
  <dc:description/>
  <cp:keywords/>
  <dc:language>bg-BG</dc:language>
  <cp:lastModifiedBy>Силвия Мирчева</cp:lastModifiedBy>
  <cp:lastPrinted>2009-09-23T12:56:00Z</cp:lastPrinted>
  <dcterms:modified xsi:type="dcterms:W3CDTF">2022-04-02T14:40:00Z</dcterms:modified>
  <cp:revision>58</cp:revision>
  <dc:subject>Наръчник по качеството</dc:subject>
  <dc:title>Раздел 8 "Измерване, анализ и подобряване"</dc:title>
</cp:coreProperties>
</file>