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/>
      </w:pPr>
      <w:r>
        <w:rPr>
          <w:b/>
          <w:sz w:val="24"/>
          <w:szCs w:val="24"/>
        </w:rPr>
        <w:t>„</w:t>
      </w:r>
      <w:r>
        <w:rPr>
          <w:b/>
          <w:sz w:val="24"/>
          <w:szCs w:val="24"/>
        </w:rPr>
        <w:t>ЕКОБУЛ ПАРТНЕР“ ООД</w:t>
      </w:r>
      <w:r>
        <w:rPr>
          <w:b/>
          <w:sz w:val="24"/>
          <w:szCs w:val="24"/>
          <w:lang w:val="bg-BG"/>
        </w:rPr>
        <w:t xml:space="preserve"> </w:t>
      </w:r>
      <w:r>
        <w:rPr>
          <w:b/>
          <w:sz w:val="24"/>
          <w:szCs w:val="24"/>
        </w:rPr>
        <w:t xml:space="preserve"> </w:t>
      </w:r>
    </w:p>
    <w:p>
      <w:pPr>
        <w:pStyle w:val="Normal"/>
        <w:jc w:val="both"/>
        <w:rPr>
          <w:b/>
          <w:sz w:val="24"/>
          <w:szCs w:val="24"/>
          <w:lang w:val="bg-BG"/>
        </w:rPr>
      </w:pPr>
      <w:r>
        <w:rPr>
          <w:b/>
          <w:sz w:val="24"/>
          <w:szCs w:val="24"/>
          <w:lang w:val="bg-BG"/>
        </w:rPr>
      </w:r>
    </w:p>
    <w:p>
      <w:pPr>
        <w:pStyle w:val="Normal"/>
        <w:jc w:val="both"/>
        <w:rPr>
          <w:sz w:val="24"/>
          <w:szCs w:val="24"/>
          <w:lang w:val="bg-BG"/>
        </w:rPr>
      </w:pPr>
      <w:r>
        <w:rPr>
          <w:b/>
          <w:sz w:val="24"/>
          <w:szCs w:val="24"/>
          <w:lang w:val="ru-RU"/>
        </w:rPr>
        <w:t xml:space="preserve">Специализация – </w:t>
      </w:r>
      <w:r>
        <w:rPr>
          <w:sz w:val="24"/>
          <w:szCs w:val="24"/>
        </w:rPr>
        <w:t>„ЕКОБУЛ ПАРТНЕР“ ООД“</w:t>
      </w:r>
      <w:r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bg-BG"/>
        </w:rPr>
        <w:t>извършва дейности по третиране на отпадъци на площадка с местоположение гр. Пазарджик, област Пазарджик, община Пазарджик, УПИ Х</w:t>
      </w:r>
      <w:r>
        <w:rPr>
          <w:sz w:val="24"/>
          <w:szCs w:val="24"/>
          <w:lang w:val="en-US"/>
        </w:rPr>
        <w:t>V</w:t>
      </w:r>
      <w:r>
        <w:rPr>
          <w:sz w:val="24"/>
          <w:szCs w:val="24"/>
          <w:lang w:val="bg-BG"/>
        </w:rPr>
        <w:t xml:space="preserve"> – 537, кв. 520 с обща площ 1651 кв. м. разположена в поземлен имот.</w:t>
      </w:r>
    </w:p>
    <w:p>
      <w:pPr>
        <w:pStyle w:val="Normal"/>
        <w:jc w:val="both"/>
        <w:rPr>
          <w:b/>
          <w:sz w:val="24"/>
          <w:szCs w:val="24"/>
          <w:lang w:val="bg-BG"/>
        </w:rPr>
      </w:pPr>
      <w:r>
        <w:rPr>
          <w:b/>
          <w:sz w:val="24"/>
          <w:szCs w:val="24"/>
          <w:lang w:val="bg-BG"/>
        </w:rPr>
      </w:r>
    </w:p>
    <w:p>
      <w:pPr>
        <w:pStyle w:val="Normal"/>
        <w:ind w:firstLine="567" w:end="0"/>
        <w:jc w:val="both"/>
        <w:rPr/>
      </w:pPr>
      <w:r>
        <w:rPr>
          <w:b/>
          <w:color w:val="000000"/>
          <w:sz w:val="24"/>
          <w:szCs w:val="24"/>
          <w:lang w:val="bg-BG"/>
        </w:rPr>
        <w:t>„</w:t>
      </w:r>
      <w:r>
        <w:rPr>
          <w:b/>
          <w:color w:val="000000"/>
          <w:sz w:val="24"/>
          <w:szCs w:val="24"/>
          <w:lang w:val="bg-BG"/>
        </w:rPr>
        <w:t xml:space="preserve">ЕКОБУЛ ПАРТНЕР“ ООД </w:t>
      </w:r>
      <w:r>
        <w:rPr>
          <w:color w:val="000000"/>
          <w:sz w:val="24"/>
          <w:szCs w:val="24"/>
          <w:lang w:val="bg-BG"/>
        </w:rPr>
        <w:t>в гр. Пазарджик използва следните методи и технологии за третиране на отпадъците:</w:t>
      </w:r>
    </w:p>
    <w:p>
      <w:pPr>
        <w:pStyle w:val="Normal"/>
        <w:numPr>
          <w:ilvl w:val="0"/>
          <w:numId w:val="2"/>
        </w:numPr>
        <w:jc w:val="both"/>
        <w:rPr>
          <w:color w:val="000000"/>
          <w:sz w:val="24"/>
          <w:szCs w:val="24"/>
          <w:lang w:val="bg-BG"/>
        </w:rPr>
      </w:pPr>
      <w:r>
        <w:rPr>
          <w:color w:val="000000"/>
          <w:sz w:val="24"/>
          <w:szCs w:val="24"/>
          <w:lang w:val="bg-BG"/>
        </w:rPr>
        <w:t>Предварително третиране /разглобяване, шредиране и сепариране на получените метални и неметални отпадъци/ на опасни и неопасни отпадъци от ИУЕЕО и компоненти от ИУЕЕО в автоматизирана инсталация.</w:t>
      </w:r>
    </w:p>
    <w:p>
      <w:pPr>
        <w:pStyle w:val="Normal"/>
        <w:numPr>
          <w:ilvl w:val="0"/>
          <w:numId w:val="2"/>
        </w:numPr>
        <w:jc w:val="both"/>
        <w:rPr>
          <w:color w:val="000000"/>
          <w:sz w:val="24"/>
          <w:szCs w:val="24"/>
          <w:lang w:val="bg-BG"/>
        </w:rPr>
      </w:pPr>
      <w:r>
        <w:rPr>
          <w:color w:val="000000"/>
          <w:sz w:val="24"/>
          <w:szCs w:val="24"/>
          <w:lang w:val="bg-BG"/>
        </w:rPr>
        <w:t>Тонер касетите се разделят на съставни части – метали, ценни метали, органични материали и тонер чрез механични и физични методи.</w:t>
      </w:r>
    </w:p>
    <w:p>
      <w:pPr>
        <w:pStyle w:val="Normal"/>
        <w:ind w:start="567" w:end="0"/>
        <w:jc w:val="both"/>
        <w:rPr>
          <w:color w:val="000000"/>
          <w:sz w:val="24"/>
          <w:szCs w:val="24"/>
          <w:lang w:val="bg-BG"/>
        </w:rPr>
      </w:pPr>
      <w:r>
        <w:rPr>
          <w:color w:val="000000"/>
          <w:sz w:val="24"/>
          <w:szCs w:val="24"/>
          <w:lang w:val="bg-BG"/>
        </w:rPr>
      </w:r>
    </w:p>
    <w:p>
      <w:pPr>
        <w:pStyle w:val="Normal"/>
        <w:ind w:start="567" w:end="0"/>
        <w:jc w:val="both"/>
        <w:rPr>
          <w:color w:val="000000"/>
          <w:sz w:val="24"/>
          <w:szCs w:val="24"/>
          <w:lang w:val="bg-BG"/>
        </w:rPr>
      </w:pPr>
      <w:r>
        <w:rPr>
          <w:color w:val="000000"/>
          <w:sz w:val="24"/>
          <w:szCs w:val="24"/>
          <w:lang w:val="bg-BG"/>
        </w:rPr>
        <w:t xml:space="preserve">Площадката на  </w:t>
      </w:r>
      <w:r>
        <w:rPr>
          <w:b/>
          <w:color w:val="000000"/>
          <w:sz w:val="24"/>
          <w:szCs w:val="24"/>
          <w:lang w:val="bg-BG"/>
        </w:rPr>
        <w:t xml:space="preserve">„ЕКОБУЛ ПАРТНЕР“ ООД </w:t>
      </w:r>
      <w:r>
        <w:rPr>
          <w:color w:val="000000"/>
          <w:sz w:val="24"/>
          <w:szCs w:val="24"/>
          <w:lang w:val="bg-BG"/>
        </w:rPr>
        <w:t>за съхраняване на отпадъците</w:t>
      </w:r>
      <w:r>
        <w:rPr>
          <w:b/>
          <w:color w:val="000000"/>
          <w:sz w:val="24"/>
          <w:szCs w:val="24"/>
          <w:lang w:val="bg-BG"/>
        </w:rPr>
        <w:t xml:space="preserve"> </w:t>
      </w:r>
      <w:r>
        <w:rPr>
          <w:color w:val="000000"/>
          <w:sz w:val="24"/>
          <w:szCs w:val="24"/>
          <w:lang w:val="bg-BG"/>
        </w:rPr>
        <w:t>отговаря на изискванията за това тя да бъде оградена, охраняема, с осигурени комуникации и изградена инфраструктура. Приетите отпадъци се съхраняват в обособени зони обозначени и маркирани със стикер  със съответния код на отпадъка.</w:t>
      </w:r>
    </w:p>
    <w:p>
      <w:pPr>
        <w:pStyle w:val="Normal"/>
        <w:ind w:start="567" w:end="0"/>
        <w:jc w:val="both"/>
        <w:rPr>
          <w:color w:val="000000"/>
          <w:sz w:val="24"/>
          <w:szCs w:val="24"/>
          <w:lang w:val="bg-BG"/>
        </w:rPr>
      </w:pPr>
      <w:r>
        <w:rPr>
          <w:color w:val="000000"/>
          <w:sz w:val="24"/>
          <w:szCs w:val="24"/>
          <w:lang w:val="bg-BG"/>
        </w:rPr>
      </w:r>
    </w:p>
    <w:p>
      <w:pPr>
        <w:pStyle w:val="Normal"/>
        <w:ind w:start="567" w:end="0"/>
        <w:jc w:val="both"/>
        <w:rPr>
          <w:color w:val="000000"/>
          <w:sz w:val="24"/>
          <w:szCs w:val="24"/>
          <w:lang w:val="bg-BG"/>
        </w:rPr>
      </w:pPr>
      <w:r>
        <w:rPr>
          <w:color w:val="000000"/>
          <w:sz w:val="24"/>
          <w:szCs w:val="24"/>
          <w:lang w:val="bg-BG"/>
        </w:rPr>
        <w:t xml:space="preserve">Площадката на  </w:t>
      </w:r>
      <w:r>
        <w:rPr>
          <w:b/>
          <w:color w:val="000000"/>
          <w:sz w:val="24"/>
          <w:szCs w:val="24"/>
          <w:lang w:val="bg-BG"/>
        </w:rPr>
        <w:t xml:space="preserve">„ЕКОБУЛ ПАРТНЕР“ ООД </w:t>
      </w:r>
      <w:r>
        <w:rPr>
          <w:color w:val="000000"/>
          <w:sz w:val="24"/>
          <w:szCs w:val="24"/>
          <w:lang w:val="bg-BG"/>
        </w:rPr>
        <w:t xml:space="preserve">за третиране на отпадъци отговарят на изискванията за това тя да е закрита с непропускливо покритие и е оборудвана със съоръжение за събиране на разливи, утаители и съоръжения за обезмасляване. Има навес за опасните вещества за предварително третиране в затворени контейнери. Има везни за измерване на теглото на приеманото и предаваното ИУЕЕО, както и веществата от предварителното третиране, със затворени съдове за съхранение на батерии и акумулатори, кондензатори. </w:t>
      </w:r>
    </w:p>
    <w:p>
      <w:pPr>
        <w:pStyle w:val="Normal"/>
        <w:jc w:val="both"/>
        <w:rPr>
          <w:color w:val="000000"/>
          <w:sz w:val="24"/>
          <w:szCs w:val="24"/>
          <w:lang w:val="bg-BG"/>
        </w:rPr>
      </w:pPr>
      <w:r>
        <w:rPr>
          <w:color w:val="000000"/>
          <w:sz w:val="24"/>
          <w:szCs w:val="24"/>
          <w:lang w:val="bg-BG"/>
        </w:rPr>
      </w:r>
    </w:p>
    <w:p>
      <w:pPr>
        <w:pStyle w:val="Normal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</w:r>
    </w:p>
    <w:p>
      <w:pPr>
        <w:pStyle w:val="Normal"/>
        <w:jc w:val="both"/>
        <w:rPr/>
      </w:pPr>
      <w:r>
        <w:rPr>
          <w:b/>
          <w:sz w:val="24"/>
          <w:szCs w:val="24"/>
          <w:lang w:val="ru-RU"/>
        </w:rPr>
        <w:t xml:space="preserve">Мисия: </w:t>
      </w:r>
      <w:r>
        <w:rPr>
          <w:sz w:val="24"/>
          <w:szCs w:val="24"/>
          <w:lang w:val="ru-RU"/>
        </w:rPr>
        <w:t xml:space="preserve">Фирма ЕКОБУЛ ПАРТНЕР ООД е основана на 15 Февруари 2021 година с правна форма "Дружество с ограничена отговорност" или на кратко "ООД". Седалището на компанията се намира в гр. Пазарджик. </w:t>
      </w:r>
      <w:r>
        <w:rPr>
          <w:sz w:val="24"/>
          <w:szCs w:val="24"/>
          <w:lang w:val="bg-BG"/>
        </w:rPr>
        <w:t>Нашата бизнес философия е да установим дългосрочни партньорства и да удовлетворим по най-добрия възможен начин нуждите и желанията на нашите клиенти съобразно управлението на отпадъците</w:t>
      </w:r>
      <w:r>
        <w:rPr>
          <w:sz w:val="24"/>
          <w:szCs w:val="24"/>
        </w:rPr>
        <w:t>.</w:t>
      </w:r>
    </w:p>
    <w:p>
      <w:pPr>
        <w:pStyle w:val="Normal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jc w:val="both"/>
        <w:rPr/>
      </w:pPr>
      <w:r>
        <w:rPr>
          <w:sz w:val="24"/>
          <w:szCs w:val="24"/>
        </w:rPr>
        <w:t>„</w:t>
      </w:r>
      <w:r>
        <w:rPr>
          <w:sz w:val="24"/>
          <w:szCs w:val="24"/>
        </w:rPr>
        <w:t>ЕКОБУЛ ПАРТНЕР“ ООД притежава офис помещения на адрес:</w:t>
      </w:r>
    </w:p>
    <w:p>
      <w:pPr>
        <w:pStyle w:val="Normal"/>
        <w:jc w:val="both"/>
        <w:rPr/>
      </w:pPr>
      <w:r>
        <w:rPr>
          <w:sz w:val="24"/>
          <w:szCs w:val="24"/>
        </w:rPr>
        <w:t>гр. Пазарджик, област Пазарджик, община Пазарджик</w:t>
      </w:r>
      <w:r>
        <w:rPr>
          <w:sz w:val="24"/>
          <w:szCs w:val="24"/>
          <w:lang w:val="bg-BG"/>
        </w:rPr>
        <w:t xml:space="preserve"> ул Найчо Цанов №11</w:t>
      </w:r>
      <w:r>
        <w:rPr>
          <w:sz w:val="24"/>
          <w:szCs w:val="24"/>
        </w:rPr>
        <w:t>.</w:t>
      </w:r>
    </w:p>
    <w:p>
      <w:pPr>
        <w:pStyle w:val="Normal"/>
        <w:ind w:firstLine="708" w:end="0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jc w:val="both"/>
        <w:rPr/>
      </w:pPr>
      <w:r>
        <w:rPr>
          <w:b/>
          <w:sz w:val="24"/>
          <w:szCs w:val="24"/>
          <w:lang w:val="bg-BG"/>
        </w:rPr>
        <w:t xml:space="preserve">Персонал </w:t>
      </w:r>
      <w:r>
        <w:rPr>
          <w:sz w:val="24"/>
          <w:szCs w:val="24"/>
          <w:lang w:val="ru-RU"/>
        </w:rPr>
        <w:t xml:space="preserve">Най-ценните активи на компанията ни са нашите квалифицирани и лоялни служители. Специалистите ни са в състояние да ръководят изцяло процедурите </w:t>
      </w:r>
      <w:r>
        <w:rPr>
          <w:sz w:val="24"/>
          <w:szCs w:val="24"/>
          <w:lang w:val="bg-BG"/>
        </w:rPr>
        <w:t>от самото начало на обекта до неговия край.</w:t>
      </w:r>
    </w:p>
    <w:p>
      <w:pPr>
        <w:pStyle w:val="Normal"/>
        <w:ind w:firstLine="708" w:end="0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   </w:t>
      </w:r>
    </w:p>
    <w:p>
      <w:pPr>
        <w:pStyle w:val="Normal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jc w:val="both"/>
        <w:rPr>
          <w:b/>
          <w:sz w:val="24"/>
          <w:szCs w:val="24"/>
          <w:lang w:val="ru-RU"/>
        </w:rPr>
      </w:pPr>
      <w:r>
        <w:rPr>
          <w:b/>
          <w:sz w:val="24"/>
          <w:szCs w:val="24"/>
          <w:lang w:val="bg-BG"/>
        </w:rPr>
        <w:t xml:space="preserve">Адрес за кореспонденция: </w:t>
      </w:r>
    </w:p>
    <w:p>
      <w:pPr>
        <w:pStyle w:val="Normal"/>
        <w:rPr/>
      </w:pPr>
      <w:r>
        <w:rPr>
          <w:color w:val="000000"/>
          <w:sz w:val="24"/>
          <w:szCs w:val="24"/>
          <w:shd w:fill="FFFFFF" w:val="clear"/>
        </w:rPr>
        <w:t>гр. Пазарджик, област Пазарджик, община Пазарджик ул Найчо Цанов №11</w:t>
      </w:r>
      <w:r>
        <w:rPr>
          <w:color w:val="000000"/>
          <w:sz w:val="24"/>
          <w:szCs w:val="24"/>
          <w:shd w:fill="FFF0D5" w:val="clear"/>
          <w:lang w:val="bg-BG"/>
        </w:rPr>
        <w:t>,</w:t>
      </w:r>
      <w:r>
        <w:rPr>
          <w:sz w:val="24"/>
          <w:szCs w:val="24"/>
          <w:lang w:val="bg-BG"/>
        </w:rPr>
        <w:t>имейл:</w:t>
      </w:r>
      <w:r>
        <w:rPr>
          <w:color w:val="000000"/>
          <w:sz w:val="24"/>
          <w:szCs w:val="24"/>
          <w:shd w:fill="FFF0D5" w:val="clear"/>
        </w:rPr>
        <w:t> </w:t>
      </w:r>
      <w:hyperlink r:id="rId2">
        <w:r>
          <w:rPr>
            <w:rStyle w:val="Hyperlink"/>
            <w:sz w:val="24"/>
            <w:szCs w:val="24"/>
          </w:rPr>
          <w:t>office@ecobul.eu</w:t>
        </w:r>
      </w:hyperlink>
      <w:r>
        <w:rPr>
          <w:sz w:val="24"/>
          <w:szCs w:val="24"/>
          <w:lang w:val="bg-BG"/>
        </w:rPr>
        <w:t>,телефони:0897550025</w:t>
      </w:r>
      <w:r>
        <w:rPr>
          <w:color w:val="000000"/>
          <w:sz w:val="24"/>
          <w:szCs w:val="24"/>
          <w:shd w:fill="FFF0D5" w:val="clear"/>
          <w:lang w:val="bg-BG"/>
        </w:rPr>
        <w:t>,</w:t>
      </w:r>
      <w:r>
        <w:rPr>
          <w:sz w:val="24"/>
          <w:szCs w:val="24"/>
          <w:lang w:val="bg-BG"/>
        </w:rPr>
        <w:t>ЕИК:</w:t>
      </w:r>
      <w:r>
        <w:rPr>
          <w:sz w:val="24"/>
          <w:szCs w:val="24"/>
          <w:lang w:val="en-US"/>
        </w:rPr>
        <w:t>206395182</w:t>
      </w:r>
    </w:p>
    <w:sectPr>
      <w:headerReference w:type="default" r:id="rId3"/>
      <w:headerReference w:type="first" r:id="rId4"/>
      <w:type w:val="nextPage"/>
      <w:pgSz w:w="11906" w:h="16838"/>
      <w:pgMar w:left="1418" w:right="708" w:gutter="0" w:header="624" w:top="680" w:footer="0" w:bottom="851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Timok">
    <w:charset w:val="02"/>
    <w:family w:val="auto"/>
    <w:pitch w:val="variable"/>
  </w:font>
  <w:font w:name="Tahoma">
    <w:charset w:val="cc" w:characterSet="windows-1251"/>
    <w:family w:val="swiss"/>
    <w:pitch w:val="variable"/>
  </w:font>
  <w:font w:name="Liberation Sans">
    <w:altName w:val="Arial"/>
    <w:charset w:val="cc" w:characterSet="windows-1251"/>
    <w:family w:val="swiss"/>
    <w:pitch w:val="variable"/>
  </w:font>
  <w:font w:name="Futura Bk">
    <w:altName w:val="Century Gothic"/>
    <w:charset w:val="cc" w:characterSet="windows-1251"/>
    <w:family w:val="swiss"/>
    <w:pitch w:val="variable"/>
  </w:font>
  <w:font w:name="Verdana">
    <w:charset w:val="cc" w:characterSet="windows-125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06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7763"/>
      <w:gridCol w:w="970"/>
      <w:gridCol w:w="873"/>
    </w:tblGrid>
    <w:tr>
      <w:trPr>
        <w:cantSplit/>
      </w:trPr>
      <w:tc>
        <w:tcPr>
          <w:tcW w:w="7763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  <w:t>НАРЪЧНИК ПО КАЧЕСТВОТО</w:t>
          </w:r>
        </w:p>
      </w:tc>
      <w:tc>
        <w:tcPr>
          <w:tcW w:w="970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en-US"/>
            </w:rPr>
            <w:t>Версия</w:t>
          </w:r>
        </w:p>
      </w:tc>
      <w:tc>
        <w:tcPr>
          <w:tcW w:w="873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jc w:val="center"/>
            <w:rPr>
              <w:lang w:val="en-US"/>
            </w:rPr>
          </w:pPr>
          <w:r>
            <w:rPr>
              <w:lang w:val="bg-BG"/>
            </w:rPr>
            <w:t>0</w:t>
          </w:r>
          <w:r>
            <w:rPr>
              <w:lang w:val="en-US"/>
            </w:rPr>
            <w:t>3</w:t>
          </w:r>
        </w:p>
      </w:tc>
    </w:tr>
    <w:tr>
      <w:trPr>
        <w:cantSplit/>
      </w:trPr>
      <w:tc>
        <w:tcPr>
          <w:tcW w:w="7763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  <w:t>Раздел 2</w:t>
          </w:r>
        </w:p>
        <w:p>
          <w:pPr>
            <w:pStyle w:val="BodyText"/>
            <w:widowControl w:val="false"/>
            <w:spacing w:lineRule="auto" w:line="240"/>
            <w:jc w:val="center"/>
            <w:rPr>
              <w:b/>
              <w:sz w:val="20"/>
            </w:rPr>
          </w:pPr>
          <w:r>
            <w:rPr>
              <w:b/>
              <w:sz w:val="20"/>
            </w:rPr>
            <w:t>ПРЕДСТАВЯНЕ НА ФИРМАТА</w:t>
          </w:r>
        </w:p>
      </w:tc>
      <w:tc>
        <w:tcPr>
          <w:tcW w:w="970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rPr>
              <w:b/>
              <w:lang w:val="bg-BG"/>
            </w:rPr>
          </w:pPr>
          <w:r>
            <w:rPr>
              <w:b/>
              <w:lang w:val="bg-BG"/>
            </w:rPr>
            <w:t>Стр.</w:t>
          </w:r>
        </w:p>
      </w:tc>
      <w:tc>
        <w:tcPr>
          <w:tcW w:w="873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0</w:t>
          </w:r>
          <w:r>
            <w:rPr>
              <w:rStyle w:val="PageNumber"/>
            </w:rPr>
            <w:fldChar w:fldCharType="end"/>
          </w:r>
          <w:r>
            <w:rPr>
              <w:lang w:val="bg-BG"/>
            </w:rPr>
            <w:t>/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\* ARABIC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1</w:t>
          </w:r>
          <w:r>
            <w:rPr>
              <w:rStyle w:val="PageNumber"/>
            </w:rPr>
            <w:fldChar w:fldCharType="end"/>
          </w:r>
        </w:p>
      </w:tc>
    </w:tr>
  </w:tbl>
  <w:p>
    <w:pPr>
      <w:pStyle w:val="Header"/>
      <w:rPr>
        <w:lang w:val="bg-BG"/>
      </w:rPr>
    </w:pPr>
    <w:r>
      <w:rPr>
        <w:lang w:val="bg-BG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47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943"/>
      <w:gridCol w:w="4536"/>
      <w:gridCol w:w="993"/>
      <w:gridCol w:w="1275"/>
    </w:tblGrid>
    <w:tr>
      <w:trPr>
        <w:cantSplit/>
      </w:trPr>
      <w:tc>
        <w:tcPr>
          <w:tcW w:w="2943" w:type="dxa"/>
          <w:vMerge w:val="restart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jc w:val="center"/>
            <w:rPr>
              <w:b/>
              <w:lang w:val="en-US"/>
            </w:rPr>
          </w:pPr>
          <w:r>
            <w:rPr>
              <w:rFonts w:cs="Arial" w:ascii="Arial" w:hAnsi="Arial"/>
            </w:rPr>
            <w:t>"ЕКОБУЛ ПАРТНЕР" ООД</w:t>
          </w:r>
        </w:p>
      </w:tc>
      <w:tc>
        <w:tcPr>
          <w:tcW w:w="4536" w:type="dxa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Normal"/>
            <w:jc w:val="center"/>
            <w:rPr>
              <w:b/>
            </w:rPr>
          </w:pPr>
          <w:r>
            <w:rPr>
              <w:b/>
            </w:rPr>
            <w:t>НАРЪЧНИК</w:t>
          </w:r>
        </w:p>
        <w:p>
          <w:pPr>
            <w:pStyle w:val="Normal"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  <w:t>на</w:t>
          </w:r>
          <w:r>
            <w:rPr>
              <w:b/>
            </w:rPr>
            <w:t xml:space="preserve"> </w:t>
          </w:r>
          <w:r>
            <w:rPr>
              <w:b/>
              <w:lang w:val="bg-BG"/>
            </w:rPr>
            <w:t>Интегрирана система за управление</w:t>
          </w:r>
        </w:p>
      </w:tc>
      <w:tc>
        <w:tcPr>
          <w:tcW w:w="993" w:type="dxa"/>
          <w:vMerge w:val="restart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jc w:val="end"/>
            <w:rPr>
              <w:lang w:val="bg-BG"/>
            </w:rPr>
          </w:pPr>
          <w:r>
            <w:rPr>
              <w:lang w:val="bg-BG"/>
            </w:rPr>
            <w:t>Версия</w:t>
          </w:r>
        </w:p>
      </w:tc>
      <w:tc>
        <w:tcPr>
          <w:tcW w:w="1275" w:type="dxa"/>
          <w:vMerge w:val="restart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jc w:val="center"/>
            <w:rPr>
              <w:lang w:val="en-US"/>
            </w:rPr>
          </w:pPr>
          <w:r>
            <w:rPr>
              <w:lang w:val="bg-BG"/>
            </w:rPr>
            <w:t>0</w:t>
          </w:r>
          <w:r>
            <w:rPr>
              <w:lang w:val="en-US"/>
            </w:rPr>
            <w:t>1</w:t>
          </w:r>
        </w:p>
      </w:tc>
    </w:tr>
    <w:tr>
      <w:trPr>
        <w:cantSplit/>
      </w:trPr>
      <w:tc>
        <w:tcPr>
          <w:tcW w:w="2943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lang w:val="en-US"/>
            </w:rPr>
          </w:pPr>
          <w:r>
            <w:rPr>
              <w:lang w:val="en-US"/>
            </w:rPr>
          </w:r>
        </w:p>
      </w:tc>
      <w:tc>
        <w:tcPr>
          <w:tcW w:w="4536" w:type="dxa"/>
          <w:tcBorders>
            <w:top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"/>
            <w:jc w:val="center"/>
            <w:rPr>
              <w:lang w:val="en-US"/>
            </w:rPr>
          </w:pPr>
          <w:r>
            <w:rPr/>
            <w:t>ISO 9001, ISO 14001</w:t>
          </w:r>
          <w:r>
            <w:rPr>
              <w:lang w:val="bg-BG"/>
            </w:rPr>
            <w:t xml:space="preserve">, </w:t>
          </w:r>
          <w:r>
            <w:rPr>
              <w:lang w:val="en-US"/>
            </w:rPr>
            <w:t>ISO 45001</w:t>
          </w:r>
        </w:p>
      </w:tc>
      <w:tc>
        <w:tcPr>
          <w:tcW w:w="993" w:type="dxa"/>
          <w:vMerge w:val="continue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widowControl/>
            <w:snapToGrid w:val="false"/>
            <w:jc w:val="end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1275" w:type="dxa"/>
          <w:vMerge w:val="continue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</w:tr>
    <w:tr>
      <w:trPr>
        <w:trHeight w:val="465" w:hRule="atLeast"/>
        <w:cantSplit/>
      </w:trPr>
      <w:tc>
        <w:tcPr>
          <w:tcW w:w="2943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4536" w:type="dxa"/>
          <w:vMerge w:val="restart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jc w:val="center"/>
            <w:rPr>
              <w:b/>
              <w:lang w:val="en-US"/>
            </w:rPr>
          </w:pPr>
          <w:r>
            <w:rPr>
              <w:b/>
              <w:lang w:val="bg-BG"/>
            </w:rPr>
            <w:t>Раздел 2</w:t>
          </w:r>
        </w:p>
        <w:p>
          <w:pPr>
            <w:pStyle w:val="BodyText"/>
            <w:widowControl w:val="false"/>
            <w:spacing w:lineRule="auto" w:line="240"/>
            <w:jc w:val="center"/>
            <w:rPr>
              <w:sz w:val="20"/>
            </w:rPr>
          </w:pPr>
          <w:r>
            <w:rPr>
              <w:b/>
              <w:sz w:val="20"/>
            </w:rPr>
            <w:t>ПРЕДСТАВЯНЕ НА ФИРМАТА</w:t>
          </w:r>
        </w:p>
        <w:p>
          <w:pPr>
            <w:pStyle w:val="Header"/>
            <w:widowControl/>
            <w:jc w:val="center"/>
            <w:rPr>
              <w:b/>
              <w:sz w:val="20"/>
              <w:lang w:val="en-US"/>
            </w:rPr>
          </w:pPr>
          <w:r>
            <w:rPr>
              <w:b/>
              <w:sz w:val="20"/>
              <w:lang w:val="en-US"/>
            </w:rPr>
          </w:r>
        </w:p>
      </w:tc>
      <w:tc>
        <w:tcPr>
          <w:tcW w:w="993" w:type="dxa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widowControl/>
            <w:jc w:val="end"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1275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lang w:val="en-US"/>
            </w:rPr>
            <w:t>1/1</w:t>
          </w:r>
        </w:p>
      </w:tc>
    </w:tr>
    <w:tr>
      <w:trPr>
        <w:trHeight w:val="465" w:hRule="atLeast"/>
        <w:cantSplit/>
      </w:trPr>
      <w:tc>
        <w:tcPr>
          <w:tcW w:w="2943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snapToGrid w:val="false"/>
            <w:jc w:val="center"/>
            <w:rPr>
              <w:b/>
              <w:i/>
              <w:color w:val="008080"/>
              <w:lang w:val="en-US"/>
            </w:rPr>
          </w:pPr>
          <w:r>
            <w:rPr>
              <w:b/>
              <w:i/>
              <w:color w:val="008080"/>
              <w:lang w:val="en-US"/>
            </w:rPr>
          </w:r>
        </w:p>
      </w:tc>
      <w:tc>
        <w:tcPr>
          <w:tcW w:w="4536" w:type="dxa"/>
          <w:vMerge w:val="continue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snapToGrid w:val="false"/>
            <w:jc w:val="center"/>
            <w:rPr>
              <w:b/>
              <w:i/>
              <w:color w:val="008080"/>
              <w:lang w:val="bg-BG"/>
            </w:rPr>
          </w:pPr>
          <w:r>
            <w:rPr>
              <w:b/>
              <w:i/>
              <w:color w:val="008080"/>
              <w:lang w:val="bg-BG"/>
            </w:rPr>
          </w:r>
        </w:p>
      </w:tc>
      <w:tc>
        <w:tcPr>
          <w:tcW w:w="993" w:type="dxa"/>
          <w:tcBorders>
            <w:top w:val="single" w:sz="6" w:space="0" w:color="000000"/>
            <w:bottom w:val="single" w:sz="12" w:space="0" w:color="000000"/>
            <w:end w:val="single" w:sz="6" w:space="0" w:color="000000"/>
          </w:tcBorders>
          <w:vAlign w:val="center"/>
        </w:tcPr>
        <w:p>
          <w:pPr>
            <w:pStyle w:val="Header"/>
            <w:widowControl/>
            <w:jc w:val="end"/>
            <w:rPr>
              <w:lang w:val="bg-BG"/>
            </w:rPr>
          </w:pPr>
          <w:r>
            <w:rPr>
              <w:lang w:val="bg-BG"/>
            </w:rPr>
            <w:t>Дата на изд./изм.</w:t>
          </w:r>
        </w:p>
      </w:tc>
      <w:tc>
        <w:tcPr>
          <w:tcW w:w="1275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lang w:val="en-US"/>
            </w:rPr>
            <w:t>03.07.</w:t>
          </w:r>
          <w:r>
            <w:rPr>
              <w:lang w:val="bg-BG"/>
            </w:rPr>
            <w:t>21</w:t>
          </w:r>
        </w:p>
      </w:tc>
    </w:tr>
  </w:tbl>
  <w:p>
    <w:pPr>
      <w:pStyle w:val="Normal"/>
      <w:widowControl/>
      <w:tabs>
        <w:tab w:val="clear" w:pos="720"/>
        <w:tab w:val="left" w:pos="820" w:leader="none"/>
      </w:tabs>
      <w:ind w:end="113"/>
      <w:jc w:val="both"/>
      <w:rPr>
        <w:lang w:val="bg-BG"/>
      </w:rPr>
    </w:pPr>
    <w:r>
      <w:rPr>
        <w:lang w:val="bg-BG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3"/>
      <w:numFmt w:val="bullet"/>
      <w:lvlText w:val="-"/>
      <w:lvlJc w:val="start"/>
      <w:pPr>
        <w:tabs>
          <w:tab w:val="num" w:pos="0"/>
        </w:tabs>
        <w:ind w:start="927" w:hanging="360"/>
      </w:pPr>
      <w:rPr>
        <w:rFonts w:ascii="Times New Roman" w:hAnsi="Times New Roman" w:cs="Times New Roman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GB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widowControl/>
      <w:numPr>
        <w:ilvl w:val="0"/>
        <w:numId w:val="1"/>
      </w:numPr>
      <w:outlineLvl w:val="0"/>
    </w:pPr>
    <w:rPr>
      <w:rFonts w:ascii="Arial" w:hAnsi="Arial" w:cs="Arial"/>
      <w:b/>
      <w:lang w:val="bg-BG"/>
    </w:rPr>
  </w:style>
  <w:style w:type="paragraph" w:styleId="Heading2">
    <w:name w:val="heading 2"/>
    <w:basedOn w:val="Normal"/>
    <w:next w:val="Normal"/>
    <w:qFormat/>
    <w:pPr>
      <w:keepNext w:val="true"/>
      <w:widowControl/>
      <w:numPr>
        <w:ilvl w:val="1"/>
        <w:numId w:val="1"/>
      </w:numPr>
      <w:jc w:val="both"/>
      <w:outlineLvl w:val="1"/>
    </w:pPr>
    <w:rPr>
      <w:sz w:val="24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b/>
    </w:rPr>
  </w:style>
  <w:style w:type="character" w:styleId="WW8Num4z1">
    <w:name w:val="WW8Num4z1"/>
    <w:qFormat/>
    <w:rPr>
      <w:rFonts w:ascii="Times New Roman" w:hAnsi="Times New Roman" w:eastAsia="Times New Roman" w:cs="Times New Roman"/>
      <w:b/>
    </w:rPr>
  </w:style>
  <w:style w:type="character" w:styleId="WW8Num5z0">
    <w:name w:val="WW8Num5z0"/>
    <w:qFormat/>
    <w:rPr>
      <w:rFonts w:ascii="Times New Roman" w:hAnsi="Times New Roman" w:eastAsia="Times New Roman" w:cs="Times New Roman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/>
  </w:style>
  <w:style w:type="character" w:styleId="WW8Num7z0">
    <w:name w:val="WW8Num7z0"/>
    <w:qFormat/>
    <w:rPr>
      <w:rFonts w:ascii="Symbol" w:hAnsi="Symbol" w:cs="Symbol"/>
    </w:rPr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>
      <w:rFonts w:ascii="Symbol" w:hAnsi="Symbol" w:cs="Symbol"/>
    </w:rPr>
  </w:style>
  <w:style w:type="character" w:styleId="WW8Num13z0">
    <w:name w:val="WW8Num13z0"/>
    <w:qFormat/>
    <w:rPr>
      <w:rFonts w:ascii="Times New Roman" w:hAnsi="Times New Roman" w:eastAsia="Times New Roman" w:cs="Times New Roman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3z3">
    <w:name w:val="WW8Num13z3"/>
    <w:qFormat/>
    <w:rPr>
      <w:rFonts w:ascii="Symbol" w:hAnsi="Symbol" w:cs="Symbol"/>
    </w:rPr>
  </w:style>
  <w:style w:type="character" w:styleId="WW8Num14z0">
    <w:name w:val="WW8Num14z0"/>
    <w:qFormat/>
    <w:rPr>
      <w:rFonts w:ascii="Times New Roman" w:hAnsi="Times New Roman" w:eastAsia="Times New Roman" w:cs="Times New Roman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4z3">
    <w:name w:val="WW8Num14z3"/>
    <w:qFormat/>
    <w:rPr>
      <w:rFonts w:ascii="Symbol" w:hAnsi="Symbol" w:cs="Symbol"/>
    </w:rPr>
  </w:style>
  <w:style w:type="character" w:styleId="WW8Num15z0">
    <w:name w:val="WW8Num15z0"/>
    <w:qFormat/>
    <w:rPr>
      <w:b/>
    </w:rPr>
  </w:style>
  <w:style w:type="character" w:styleId="WW8Num17z0">
    <w:name w:val="WW8Num17z0"/>
    <w:qFormat/>
    <w:rPr>
      <w:rFonts w:ascii="Symbol" w:hAnsi="Symbol" w:cs="Symbol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2">
    <w:name w:val="WW8Num17z2"/>
    <w:qFormat/>
    <w:rPr>
      <w:rFonts w:ascii="Wingdings" w:hAnsi="Wingdings" w:cs="Wingdings"/>
    </w:rPr>
  </w:style>
  <w:style w:type="character" w:styleId="WW8Num18z0">
    <w:name w:val="WW8Num18z0"/>
    <w:qFormat/>
    <w:rPr>
      <w:rFonts w:ascii="Symbol" w:hAnsi="Symbol" w:cs="Symbol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2">
    <w:name w:val="WW8Num18z2"/>
    <w:qFormat/>
    <w:rPr>
      <w:rFonts w:ascii="Wingdings" w:hAnsi="Wingdings" w:cs="Wingdings"/>
    </w:rPr>
  </w:style>
  <w:style w:type="character" w:styleId="WW8Num19z0">
    <w:name w:val="WW8Num19z0"/>
    <w:qFormat/>
    <w:rPr>
      <w:rFonts w:ascii="Times New Roman" w:hAnsi="Times New Roman" w:eastAsia="Times New Roman" w:cs="Times New Roman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19z3">
    <w:name w:val="WW8Num19z3"/>
    <w:qFormat/>
    <w:rPr>
      <w:rFonts w:ascii="Symbol" w:hAnsi="Symbol" w:cs="Symbol"/>
    </w:rPr>
  </w:style>
  <w:style w:type="character" w:styleId="WW8Num20z0">
    <w:name w:val="WW8Num20z0"/>
    <w:qFormat/>
    <w:rPr>
      <w:b/>
    </w:rPr>
  </w:style>
  <w:style w:type="character" w:styleId="WW8Num21z0">
    <w:name w:val="WW8Num21z0"/>
    <w:qFormat/>
    <w:rPr>
      <w:rFonts w:ascii="Symbol" w:hAnsi="Symbol" w:cs="Symbol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2">
    <w:name w:val="WW8Num21z2"/>
    <w:qFormat/>
    <w:rPr>
      <w:rFonts w:ascii="Wingdings" w:hAnsi="Wingdings" w:cs="Wingdings"/>
    </w:rPr>
  </w:style>
  <w:style w:type="character" w:styleId="WW8Num22z0">
    <w:name w:val="WW8Num22z0"/>
    <w:qFormat/>
    <w:rPr>
      <w:rFonts w:ascii="Times New Roman" w:hAnsi="Times New Roman" w:eastAsia="Times New Roman" w:cs="Times New Roman"/>
    </w:rPr>
  </w:style>
  <w:style w:type="character" w:styleId="WW8Num22z1">
    <w:name w:val="WW8Num22z1"/>
    <w:qFormat/>
    <w:rPr>
      <w:rFonts w:ascii="Courier New" w:hAnsi="Courier New" w:cs="Courier New"/>
    </w:rPr>
  </w:style>
  <w:style w:type="character" w:styleId="WW8Num22z2">
    <w:name w:val="WW8Num22z2"/>
    <w:qFormat/>
    <w:rPr>
      <w:rFonts w:ascii="Wingdings" w:hAnsi="Wingdings" w:cs="Wingdings"/>
    </w:rPr>
  </w:style>
  <w:style w:type="character" w:styleId="WW8Num22z3">
    <w:name w:val="WW8Num22z3"/>
    <w:qFormat/>
    <w:rPr>
      <w:rFonts w:ascii="Symbol" w:hAnsi="Symbol" w:cs="Symbol"/>
    </w:rPr>
  </w:style>
  <w:style w:type="character" w:styleId="WW8Num23z0">
    <w:name w:val="WW8Num23z0"/>
    <w:qFormat/>
    <w:rPr>
      <w:rFonts w:ascii="Timok" w:hAnsi="Timok" w:cs="Timok"/>
      <w:b w:val="false"/>
      <w:i w:val="false"/>
      <w:sz w:val="24"/>
    </w:rPr>
  </w:style>
  <w:style w:type="character" w:styleId="WW8Num24z0">
    <w:name w:val="WW8Num24z0"/>
    <w:qFormat/>
    <w:rPr/>
  </w:style>
  <w:style w:type="character" w:styleId="WW8Num25z0">
    <w:name w:val="WW8Num25z0"/>
    <w:qFormat/>
    <w:rPr>
      <w:rFonts w:ascii="Symbol" w:hAnsi="Symbol" w:cs="Symbol"/>
    </w:rPr>
  </w:style>
  <w:style w:type="character" w:styleId="WW8Num26z0">
    <w:name w:val="WW8Num26z0"/>
    <w:qFormat/>
    <w:rPr>
      <w:rFonts w:ascii="Symbol" w:hAnsi="Symbol" w:cs="Symbol"/>
    </w:rPr>
  </w:style>
  <w:style w:type="character" w:styleId="WW8Num27z0">
    <w:name w:val="WW8Num27z0"/>
    <w:qFormat/>
    <w:rPr>
      <w:rFonts w:ascii="Times New Roman" w:hAnsi="Times New Roman" w:eastAsia="Times New Roman" w:cs="Times New Roman"/>
    </w:rPr>
  </w:style>
  <w:style w:type="character" w:styleId="WW8Num27z1">
    <w:name w:val="WW8Num27z1"/>
    <w:qFormat/>
    <w:rPr>
      <w:rFonts w:ascii="Courier New" w:hAnsi="Courier New" w:cs="Courier New"/>
    </w:rPr>
  </w:style>
  <w:style w:type="character" w:styleId="WW8Num27z2">
    <w:name w:val="WW8Num27z2"/>
    <w:qFormat/>
    <w:rPr>
      <w:rFonts w:ascii="Wingdings" w:hAnsi="Wingdings" w:cs="Wingdings"/>
    </w:rPr>
  </w:style>
  <w:style w:type="character" w:styleId="WW8Num27z3">
    <w:name w:val="WW8Num27z3"/>
    <w:qFormat/>
    <w:rPr>
      <w:rFonts w:ascii="Symbol" w:hAnsi="Symbol" w:cs="Symbol"/>
    </w:rPr>
  </w:style>
  <w:style w:type="character" w:styleId="WW8Num28z0">
    <w:name w:val="WW8Num28z0"/>
    <w:qFormat/>
    <w:rPr/>
  </w:style>
  <w:style w:type="character" w:styleId="WW8Num29z0">
    <w:name w:val="WW8Num29z0"/>
    <w:qFormat/>
    <w:rPr/>
  </w:style>
  <w:style w:type="character" w:styleId="WW8Num30z0">
    <w:name w:val="WW8Num30z0"/>
    <w:qFormat/>
    <w:rPr>
      <w:rFonts w:ascii="Symbol" w:hAnsi="Symbol" w:cs="Symbol"/>
    </w:rPr>
  </w:style>
  <w:style w:type="character" w:styleId="WW8Num30z1">
    <w:name w:val="WW8Num30z1"/>
    <w:qFormat/>
    <w:rPr>
      <w:rFonts w:ascii="Courier New" w:hAnsi="Courier New" w:cs="Courier New"/>
    </w:rPr>
  </w:style>
  <w:style w:type="character" w:styleId="WW8Num30z2">
    <w:name w:val="WW8Num30z2"/>
    <w:qFormat/>
    <w:rPr>
      <w:rFonts w:ascii="Wingdings" w:hAnsi="Wingdings" w:cs="Wingdings"/>
    </w:rPr>
  </w:style>
  <w:style w:type="character" w:styleId="WW8Num31z0">
    <w:name w:val="WW8Num31z0"/>
    <w:qFormat/>
    <w:rPr>
      <w:rFonts w:ascii="Symbol" w:hAnsi="Symbol" w:cs="Symbol"/>
    </w:rPr>
  </w:style>
  <w:style w:type="character" w:styleId="WW8NumSt1z0">
    <w:name w:val="WW8NumSt1z0"/>
    <w:qFormat/>
    <w:rPr>
      <w:rFonts w:ascii="Symbol" w:hAnsi="Symbol" w:cs="Symbol"/>
    </w:rPr>
  </w:style>
  <w:style w:type="character" w:styleId="Style10">
    <w:name w:val="Шрифт на абзаца по подразбиране"/>
    <w:qFormat/>
    <w:rPr/>
  </w:style>
  <w:style w:type="character" w:styleId="PageNumber">
    <w:name w:val="page number"/>
    <w:rPr>
      <w:sz w:val="20"/>
    </w:rPr>
  </w:style>
  <w:style w:type="character" w:styleId="Style11">
    <w:name w:val="Препратка към коментар"/>
    <w:qFormat/>
    <w:rPr>
      <w:sz w:val="16"/>
    </w:rPr>
  </w:style>
  <w:style w:type="character" w:styleId="Hyperlink">
    <w:name w:val="Hyperlink"/>
    <w:rPr>
      <w:color w:val="0000FF"/>
      <w:u w:val="single"/>
    </w:rPr>
  </w:style>
  <w:style w:type="character" w:styleId="Style12">
    <w:name w:val="Изнесен текст Знак"/>
    <w:qFormat/>
    <w:rPr>
      <w:rFonts w:ascii="Tahoma" w:hAnsi="Tahoma" w:cs="Tahoma"/>
      <w:sz w:val="16"/>
      <w:szCs w:val="16"/>
      <w:lang w:val="en-GB"/>
    </w:rPr>
  </w:style>
  <w:style w:type="character" w:styleId="Style13">
    <w:name w:val="Горен колонтитул Знак"/>
    <w:qFormat/>
    <w:rPr>
      <w:lang w:val="en-GB"/>
    </w:rPr>
  </w:style>
  <w:style w:type="character" w:styleId="Strong">
    <w:name w:val="Strong"/>
    <w:qFormat/>
    <w:rPr>
      <w:b/>
      <w:bCs/>
    </w:rPr>
  </w:style>
  <w:style w:type="paragraph" w:styleId="Style14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widowControl/>
      <w:spacing w:lineRule="exact" w:line="240"/>
      <w:jc w:val="both"/>
    </w:pPr>
    <w:rPr>
      <w:sz w:val="24"/>
      <w:lang w:val="bg-BG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"/>
    <w:basedOn w:val="Normal"/>
    <w:qFormat/>
    <w:pPr>
      <w:suppressLineNumbers/>
    </w:pPr>
    <w:rPr>
      <w:rFonts w:cs="Arial"/>
    </w:rPr>
  </w:style>
  <w:style w:type="paragraph" w:styleId="Style16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Style17">
    <w:name w:val="Текст на коментар"/>
    <w:basedOn w:val="Normal"/>
    <w:qFormat/>
    <w:pPr/>
    <w:rPr/>
  </w:style>
  <w:style w:type="paragraph" w:styleId="2">
    <w:name w:val="Основен текст 2"/>
    <w:basedOn w:val="Normal"/>
    <w:qFormat/>
    <w:pPr>
      <w:widowControl/>
    </w:pPr>
    <w:rPr>
      <w:sz w:val="28"/>
      <w:lang w:val="bg-BG"/>
    </w:rPr>
  </w:style>
  <w:style w:type="paragraph" w:styleId="HTML">
    <w:name w:val="HTML стандартен"/>
    <w:basedOn w:val="Normal"/>
    <w:qFormat/>
    <w:pPr>
      <w:widowControl/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lang w:val="bg-BG"/>
    </w:rPr>
  </w:style>
  <w:style w:type="paragraph" w:styleId="21">
    <w:name w:val="Основен текст с отстъп 2"/>
    <w:basedOn w:val="Normal"/>
    <w:qFormat/>
    <w:pPr>
      <w:spacing w:lineRule="auto" w:line="480" w:before="0" w:after="120"/>
      <w:ind w:hanging="0" w:start="283" w:end="0"/>
    </w:pPr>
    <w:rPr/>
  </w:style>
  <w:style w:type="paragraph" w:styleId="Char">
    <w:name w:val=" Char"/>
    <w:basedOn w:val="Normal"/>
    <w:qFormat/>
    <w:pPr>
      <w:widowControl/>
      <w:tabs>
        <w:tab w:val="clear" w:pos="720"/>
        <w:tab w:val="left" w:pos="709" w:leader="none"/>
      </w:tabs>
    </w:pPr>
    <w:rPr>
      <w:rFonts w:ascii="Futura Bk;Century Gothic" w:hAnsi="Futura Bk;Century Gothic" w:cs="Futura Bk;Century Gothic"/>
      <w:szCs w:val="24"/>
      <w:lang w:val="pl-PL" w:eastAsia="bg-BG"/>
    </w:rPr>
  </w:style>
  <w:style w:type="paragraph" w:styleId="Style18">
    <w:name w:val="Изнесен текст"/>
    <w:basedOn w:val="Normal"/>
    <w:qFormat/>
    <w:pPr/>
    <w:rPr>
      <w:rFonts w:ascii="Tahoma" w:hAnsi="Tahoma" w:cs="Tahoma"/>
      <w:sz w:val="16"/>
      <w:szCs w:val="16"/>
    </w:rPr>
  </w:style>
  <w:style w:type="paragraph" w:styleId="body1s1">
    <w:name w:val="body1s1"/>
    <w:basedOn w:val="Normal"/>
    <w:qFormat/>
    <w:pPr>
      <w:widowControl/>
      <w:suppressAutoHyphens w:val="true"/>
      <w:spacing w:lineRule="auto" w:line="312" w:before="6" w:after="113"/>
    </w:pPr>
    <w:rPr>
      <w:rFonts w:ascii="Verdana" w:hAnsi="Verdana" w:cs="Verdana"/>
      <w:color w:val="333333"/>
      <w:sz w:val="13"/>
      <w:szCs w:val="13"/>
      <w:lang w:val="bg-BG"/>
    </w:rPr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office@ecobul.eu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2971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2014-10-28T17:32:00Z</dcterms:created>
  <dc:creator>MT</dc:creator>
  <dc:description/>
  <cp:keywords/>
  <dc:language>bg-BG</dc:language>
  <cp:lastModifiedBy>Силвия Мирчева</cp:lastModifiedBy>
  <cp:lastPrinted>2018-12-07T12:22:00Z</cp:lastPrinted>
  <dcterms:modified xsi:type="dcterms:W3CDTF">2022-04-02T14:22:00Z</dcterms:modified>
  <cp:revision>48</cp:revision>
  <dc:subject>Наръчник по качеството</dc:subject>
  <dc:title>Представяне на организацията</dc:title>
</cp:coreProperties>
</file>