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both"/>
        <w:rPr>
          <w:b/>
          <w:sz w:val="24"/>
          <w:szCs w:val="24"/>
          <w:lang w:val="en-US"/>
        </w:rPr>
      </w:pPr>
      <w:r>
        <w:rPr>
          <w:b/>
          <w:sz w:val="24"/>
          <w:szCs w:val="24"/>
          <w:lang w:val="en-US"/>
        </w:rPr>
      </w:r>
    </w:p>
    <w:p>
      <w:pPr>
        <w:pStyle w:val="Normal"/>
        <w:widowControl/>
        <w:jc w:val="both"/>
        <w:rPr>
          <w:b/>
          <w:sz w:val="24"/>
          <w:szCs w:val="24"/>
          <w:lang w:val="bg-BG"/>
        </w:rPr>
      </w:pPr>
      <w:r>
        <w:rPr>
          <w:b/>
          <w:sz w:val="24"/>
          <w:szCs w:val="24"/>
          <w:lang w:val="bg-BG"/>
        </w:rPr>
        <w:t>1. ЦЕЛ</w:t>
      </w:r>
    </w:p>
    <w:p>
      <w:pPr>
        <w:pStyle w:val="Normal"/>
        <w:widowControl/>
        <w:jc w:val="both"/>
        <w:rPr/>
      </w:pPr>
      <w:r>
        <w:rPr>
          <w:sz w:val="24"/>
          <w:szCs w:val="24"/>
          <w:lang w:val="bg-BG"/>
        </w:rPr>
        <w:t>Тази процедура определя начина на идентифициране, оценяване на значимостта и документиране на аспектите на околната среда.</w:t>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t>2. СЪДЪРЖАНИЕ НА ПРОЦЕСА</w:t>
      </w:r>
    </w:p>
    <w:p>
      <w:pPr>
        <w:pStyle w:val="BodyText"/>
        <w:rPr>
          <w:b/>
          <w:sz w:val="24"/>
          <w:szCs w:val="24"/>
          <w:lang w:val="en-US"/>
        </w:rPr>
      </w:pPr>
      <w:r>
        <w:rPr>
          <w:b/>
          <w:sz w:val="24"/>
          <w:szCs w:val="24"/>
          <w:lang w:val="en-US"/>
        </w:rPr>
      </w:r>
    </w:p>
    <w:p>
      <w:pPr>
        <w:pStyle w:val="BodyText"/>
        <w:rPr/>
      </w:pPr>
      <w:r>
        <w:rPr>
          <w:szCs w:val="24"/>
        </w:rPr>
        <w:t>За реализирането на процесите, свързани с управление на аспектите, е необходимо да бъдат извършени следните дейности</w:t>
      </w:r>
    </w:p>
    <w:p>
      <w:pPr>
        <w:pStyle w:val="Normal"/>
        <w:widowControl/>
        <w:jc w:val="both"/>
        <w:rPr>
          <w:b/>
          <w:sz w:val="24"/>
          <w:szCs w:val="24"/>
          <w:lang w:val="bg-BG"/>
        </w:rPr>
      </w:pPr>
      <w:r>
        <w:rPr>
          <w:b/>
          <w:sz w:val="24"/>
          <w:szCs w:val="24"/>
          <w:lang w:val="bg-BG"/>
        </w:rPr>
      </w:r>
    </w:p>
    <w:p>
      <w:pPr>
        <w:pStyle w:val="Normal"/>
        <w:widowControl/>
        <w:ind w:firstLine="720" w:end="0"/>
        <w:jc w:val="both"/>
        <w:rPr>
          <w:b/>
          <w:sz w:val="24"/>
          <w:szCs w:val="24"/>
          <w:lang w:val="bg-BG"/>
        </w:rPr>
      </w:pPr>
      <w:r>
        <w:rPr>
          <w:b/>
          <w:sz w:val="24"/>
          <w:szCs w:val="24"/>
          <w:lang w:val="bg-BG"/>
        </w:rPr>
        <w:t>ВХОД</w:t>
        <w:tab/>
        <w:tab/>
        <w:tab/>
        <w:tab/>
        <w:t>ДЕЙНОСТИ</w:t>
        <w:tab/>
        <w:tab/>
        <w:tab/>
        <w:tab/>
        <w:t>ИЗХОД</w:t>
      </w:r>
    </w:p>
    <w:p>
      <w:pPr>
        <w:pStyle w:val="Normal"/>
        <w:widowControl/>
        <w:jc w:val="both"/>
        <w:rPr>
          <w:b/>
          <w:sz w:val="24"/>
          <w:szCs w:val="24"/>
          <w:lang w:val="bg-BG" w:eastAsia="bg-BG"/>
        </w:rPr>
      </w:pPr>
      <w:r>
        <w:rPr>
          <w:b/>
          <w:sz w:val="24"/>
          <w:szCs w:val="24"/>
          <w:lang w:val="bg-BG" w:eastAsia="bg-BG"/>
        </w:rPr>
        <mc:AlternateContent>
          <mc:Choice Requires="wps">
            <w:drawing>
              <wp:anchor distT="0" distB="0" distL="114935" distR="114935" simplePos="0" relativeHeight="2" behindDoc="0" locked="0" layoutInCell="1" allowOverlap="1">
                <wp:simplePos x="0" y="0"/>
                <wp:positionH relativeFrom="column">
                  <wp:posOffset>38100</wp:posOffset>
                </wp:positionH>
                <wp:positionV relativeFrom="paragraph">
                  <wp:posOffset>34925</wp:posOffset>
                </wp:positionV>
                <wp:extent cx="1689100" cy="1104900"/>
                <wp:effectExtent l="9525" t="9525" r="88900" b="86995"/>
                <wp:wrapNone/>
                <wp:docPr id="1" name=""/>
                <a:graphic xmlns:a="http://schemas.openxmlformats.org/drawingml/2006/main">
                  <a:graphicData uri="http://schemas.microsoft.com/office/word/2010/wordprocessingShape">
                    <wps:wsp>
                      <wps:cNvSpPr/>
                      <wps:spPr>
                        <a:xfrm>
                          <a:off x="0" y="0"/>
                          <a:ext cx="1689120" cy="1104840"/>
                        </a:xfrm>
                        <a:custGeom>
                          <a:avLst/>
                          <a:gdLst>
                            <a:gd name="textAreaLeft" fmla="*/ 0 w 957600"/>
                            <a:gd name="textAreaRight" fmla="*/ 957960 w 957600"/>
                            <a:gd name="textAreaTop" fmla="*/ 0 h 626400"/>
                            <a:gd name="textAreaBottom" fmla="*/ 626760 h 62640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FFFF"/>
                        </a:solidFill>
                        <a:ln w="19080">
                          <a:solidFill>
                            <a:srgbClr val="000000"/>
                          </a:solidFill>
                          <a:miter/>
                        </a:ln>
                        <a:effectLst>
                          <a:outerShdw dist="107932" dir="2700000" rotWithShape="0">
                            <a:srgbClr val="808080"/>
                          </a:outerShdw>
                        </a:effectLst>
                      </wps:spPr>
                      <wps:style>
                        <a:lnRef idx="0"/>
                        <a:fillRef idx="0"/>
                        <a:effectRef idx="0"/>
                        <a:fontRef idx="minor"/>
                      </wps:style>
                      <wps:txbx>
                        <w:txbxContent>
                          <w:p>
                            <w:pPr>
                              <w:overflowPunct w:val="false"/>
                              <w:bidi w:val="0"/>
                              <w:rPr/>
                            </w:pPr>
                            <w:r>
                              <w:rPr>
                                <w:rFonts w:ascii="Times New Roman" w:hAnsi="Times New Roman" w:eastAsia="Times New Roman" w:cs="Times New Roman"/>
                                <w:color w:val="auto"/>
                                <w:kern w:val="2"/>
                                <w:sz w:val="20"/>
                                <w:szCs w:val="20"/>
                                <w:lang w:val="bg-BG" w:bidi="ar-SA"/>
                              </w:rPr>
                              <w:t xml:space="preserve">Информация за аспектите </w:t>
                            </w:r>
                          </w:p>
                          <w:p>
                            <w:pPr>
                              <w:overflowPunct w:val="false"/>
                              <w:bidi w:val="0"/>
                              <w:rPr/>
                            </w:pPr>
                            <w:r>
                              <w:rPr>
                                <w:rFonts w:ascii="Times New Roman" w:hAnsi="Times New Roman" w:eastAsia="Times New Roman" w:cs="Times New Roman"/>
                                <w:color w:val="auto"/>
                                <w:kern w:val="2"/>
                                <w:sz w:val="20"/>
                                <w:szCs w:val="20"/>
                                <w:lang w:val="bg-BG" w:bidi="ar-SA"/>
                              </w:rPr>
                              <w:t>Нормативни изисквания за ОВОС</w:t>
                            </w:r>
                          </w:p>
                        </w:txbxContent>
                      </wps:txbx>
                      <wps:bodyPr anchor="t">
                        <a:noAutofit/>
                      </wps:bodyPr>
                    </wps:wsp>
                  </a:graphicData>
                </a:graphic>
              </wp:anchor>
            </w:drawing>
          </mc:Choice>
          <mc:Fallback>
            <w:pi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fillcolor="white" stroked="t" o:allowincell="f" style="position:absolute;margin-left:3pt;margin-top:2.75pt;width:132.95pt;height:86.95pt;mso-wrap-style:square;v-text-anchor:top" type="_x0000_t15">
                <v:textbox>
                  <w:txbxContent>
                    <w:p>
                      <w:pPr>
                        <w:overflowPunct w:val="false"/>
                        <w:bidi w:val="0"/>
                        <w:rPr/>
                      </w:pPr>
                      <w:r>
                        <w:rPr>
                          <w:rFonts w:ascii="Times New Roman" w:hAnsi="Times New Roman" w:eastAsia="Times New Roman" w:cs="Times New Roman"/>
                          <w:color w:val="auto"/>
                          <w:kern w:val="2"/>
                          <w:sz w:val="20"/>
                          <w:szCs w:val="20"/>
                          <w:lang w:val="bg-BG" w:bidi="ar-SA"/>
                        </w:rPr>
                        <w:t xml:space="preserve">Информация за аспектите </w:t>
                      </w:r>
                    </w:p>
                    <w:p>
                      <w:pPr>
                        <w:overflowPunct w:val="false"/>
                        <w:bidi w:val="0"/>
                        <w:rPr/>
                      </w:pPr>
                      <w:r>
                        <w:rPr>
                          <w:rFonts w:ascii="Times New Roman" w:hAnsi="Times New Roman" w:eastAsia="Times New Roman" w:cs="Times New Roman"/>
                          <w:color w:val="auto"/>
                          <w:kern w:val="2"/>
                          <w:sz w:val="20"/>
                          <w:szCs w:val="20"/>
                          <w:lang w:val="bg-BG" w:bidi="ar-SA"/>
                        </w:rPr>
                        <w:t>Нормативни изисквания за ОВОС</w:t>
                      </w:r>
                    </w:p>
                  </w:txbxContent>
                </v:textbox>
                <v:fill o:detectmouseclick="t" type="solid" color2="black"/>
                <v:stroke color="black" weight="19080" joinstyle="miter" endcap="flat"/>
                <v:shadow on="t" obscured="f" color="gray"/>
                <w10:wrap type="none"/>
              </v:shape>
            </w:pict>
          </mc:Fallback>
        </mc:AlternateContent>
        <mc:AlternateContent>
          <mc:Choice Requires="wps">
            <w:drawing>
              <wp:anchor distT="0" distB="0" distL="114935" distR="114935" simplePos="0" relativeHeight="4" behindDoc="0" locked="0" layoutInCell="1" allowOverlap="1">
                <wp:simplePos x="0" y="0"/>
                <wp:positionH relativeFrom="column">
                  <wp:posOffset>4435475</wp:posOffset>
                </wp:positionH>
                <wp:positionV relativeFrom="paragraph">
                  <wp:posOffset>9525</wp:posOffset>
                </wp:positionV>
                <wp:extent cx="1727200" cy="1104265"/>
                <wp:effectExtent l="10160" t="10160" r="89535" b="85725"/>
                <wp:wrapNone/>
                <wp:docPr id="2" name=""/>
                <a:graphic xmlns:a="http://schemas.openxmlformats.org/drawingml/2006/main">
                  <a:graphicData uri="http://schemas.microsoft.com/office/word/2010/wordprocessingShape">
                    <wps:wsp>
                      <wps:cNvSpPr/>
                      <wps:spPr>
                        <a:xfrm>
                          <a:off x="0" y="0"/>
                          <a:ext cx="1727280" cy="1104120"/>
                        </a:xfrm>
                        <a:custGeom>
                          <a:avLst/>
                          <a:gdLst>
                            <a:gd name="textAreaLeft" fmla="*/ 0 w 979200"/>
                            <a:gd name="textAreaRight" fmla="*/ 979560 w 979200"/>
                            <a:gd name="textAreaTop" fmla="*/ 0 h 626040"/>
                            <a:gd name="textAreaBottom" fmla="*/ 626400 h 62604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FFFF"/>
                        </a:solidFill>
                        <a:ln w="19080">
                          <a:solidFill>
                            <a:srgbClr val="000000"/>
                          </a:solidFill>
                          <a:miter/>
                        </a:ln>
                        <a:effectLst>
                          <a:outerShdw dist="107932" dir="2700000" rotWithShape="0">
                            <a:srgbClr val="808080"/>
                          </a:outerShdw>
                        </a:effectLst>
                      </wps:spPr>
                      <wps:style>
                        <a:lnRef idx="0"/>
                        <a:fillRef idx="0"/>
                        <a:effectRef idx="0"/>
                        <a:fontRef idx="minor"/>
                      </wps:style>
                      <wps:txbx>
                        <w:txbxContent>
                          <w:p>
                            <w:pPr>
                              <w:overflowPunct w:val="false"/>
                              <w:bidi w:val="0"/>
                              <w:rPr/>
                            </w:pPr>
                            <w:r>
                              <w:rPr>
                                <w:rFonts w:ascii="Times New Roman" w:hAnsi="Times New Roman" w:eastAsia="Times New Roman" w:cs="Times New Roman"/>
                                <w:color w:val="auto"/>
                                <w:kern w:val="2"/>
                                <w:sz w:val="20"/>
                                <w:szCs w:val="20"/>
                                <w:lang w:val="bg-BG" w:bidi="ar-SA"/>
                              </w:rPr>
                              <w:t>определени,  оценени и документирани аспекти на ОС</w:t>
                            </w:r>
                          </w:p>
                        </w:txbxContent>
                      </wps:txbx>
                      <wps:bodyPr anchor="t">
                        <a:noAutofit/>
                      </wps:bodyPr>
                    </wps:wsp>
                  </a:graphicData>
                </a:graphic>
              </wp:anchor>
            </w:drawing>
          </mc:Choice>
          <mc:Fallback>
            <w:pict>
              <v:shape id="shape_0" fillcolor="white" stroked="t" o:allowincell="f" style="position:absolute;margin-left:349.25pt;margin-top:0.75pt;width:135.95pt;height:86.9pt;mso-wrap-style:square;v-text-anchor:top" type="_x0000_t15">
                <v:textbox>
                  <w:txbxContent>
                    <w:p>
                      <w:pPr>
                        <w:overflowPunct w:val="false"/>
                        <w:bidi w:val="0"/>
                        <w:rPr/>
                      </w:pPr>
                      <w:r>
                        <w:rPr>
                          <w:rFonts w:ascii="Times New Roman" w:hAnsi="Times New Roman" w:eastAsia="Times New Roman" w:cs="Times New Roman"/>
                          <w:color w:val="auto"/>
                          <w:kern w:val="2"/>
                          <w:sz w:val="20"/>
                          <w:szCs w:val="20"/>
                          <w:lang w:val="bg-BG" w:bidi="ar-SA"/>
                        </w:rPr>
                        <w:t>определени,  оценени и документирани аспекти на ОС</w:t>
                      </w:r>
                    </w:p>
                  </w:txbxContent>
                </v:textbox>
                <v:fill o:detectmouseclick="t" type="solid" color2="black"/>
                <v:stroke color="black" weight="19080" joinstyle="miter" endcap="flat"/>
                <v:shadow on="t" obscured="f" color="gray"/>
                <w10:wrap type="none"/>
              </v:shape>
            </w:pict>
          </mc:Fallback>
        </mc:AlternateContent>
      </w:r>
      <w:r>
        <mc:AlternateContent>
          <mc:Choice Requires="wps">
            <w:drawing>
              <wp:anchor distT="0" distB="0" distL="114935" distR="114935" simplePos="0" relativeHeight="3" behindDoc="0" locked="0" layoutInCell="1" allowOverlap="1">
                <wp:simplePos x="0" y="0"/>
                <wp:positionH relativeFrom="column">
                  <wp:posOffset>1835150</wp:posOffset>
                </wp:positionH>
                <wp:positionV relativeFrom="paragraph">
                  <wp:posOffset>12700</wp:posOffset>
                </wp:positionV>
                <wp:extent cx="2317750" cy="1034415"/>
                <wp:effectExtent l="0" t="0" r="76200" b="76200"/>
                <wp:wrapNone/>
                <wp:docPr id="3" name="Рамка1"/>
                <a:graphic xmlns:a="http://schemas.openxmlformats.org/drawingml/2006/main">
                  <a:graphicData uri="http://schemas.microsoft.com/office/word/2010/wordprocessingShape">
                    <wps:wsp>
                      <wps:cNvSpPr txBox="1"/>
                      <wps:spPr>
                        <a:xfrm>
                          <a:off x="0" y="0"/>
                          <a:ext cx="2393950" cy="1110615"/>
                        </a:xfrm>
                        <a:prstGeom prst="rect"/>
                        <a:solidFill>
                          <a:srgbClr val="FFFFFF"/>
                        </a:solidFill>
                        <a:ln w="19050">
                          <a:solidFill>
                            <a:srgbClr val="000000"/>
                          </a:solidFill>
                        </a:ln>
                        <a:effectLst>
                          <a:outerShdw dist="107315" dir="2700000">
                            <a:srgbClr val="808080"/>
                          </a:outerShdw>
                        </a:effectLst>
                      </wps:spPr>
                      <wps:txbx>
                        <w:txbxContent>
                          <w:p>
                            <w:pPr>
                              <w:pStyle w:val="Normal"/>
                              <w:numPr>
                                <w:ilvl w:val="0"/>
                                <w:numId w:val="10"/>
                              </w:numPr>
                              <w:ind w:hanging="227" w:start="340" w:end="0"/>
                              <w:rPr/>
                            </w:pPr>
                            <w:r>
                              <w:rPr>
                                <w:lang w:val="bg-BG"/>
                              </w:rPr>
                              <w:t>определяне на документите, свързани с определяне на аспектите</w:t>
                            </w:r>
                          </w:p>
                          <w:p>
                            <w:pPr>
                              <w:pStyle w:val="Normal"/>
                              <w:numPr>
                                <w:ilvl w:val="0"/>
                                <w:numId w:val="10"/>
                              </w:numPr>
                              <w:ind w:hanging="227" w:start="340" w:end="0"/>
                              <w:rPr/>
                            </w:pPr>
                            <w:r>
                              <w:rPr>
                                <w:lang w:val="bg-BG"/>
                              </w:rPr>
                              <w:t>определяне на правила за идентификация и оценяване на аспектите;</w:t>
                            </w:r>
                          </w:p>
                          <w:p>
                            <w:pPr>
                              <w:pStyle w:val="Normal"/>
                              <w:numPr>
                                <w:ilvl w:val="0"/>
                                <w:numId w:val="10"/>
                              </w:numPr>
                              <w:ind w:hanging="227" w:start="340" w:end="0"/>
                              <w:rPr/>
                            </w:pPr>
                            <w:r>
                              <w:rPr>
                                <w:lang w:val="bg-BG"/>
                              </w:rPr>
                              <w:t>документиране;</w:t>
                            </w:r>
                          </w:p>
                        </w:txbxContent>
                      </wps:txbx>
                      <wps:bodyPr anchor="t" lIns="17780" tIns="10795" rIns="17780" bIns="10795">
                        <a:noAutofit/>
                      </wps:bodyPr>
                    </wps:wsp>
                  </a:graphicData>
                </a:graphic>
              </wp:anchor>
            </w:drawing>
          </mc:Choice>
          <mc:Fallback>
            <w:pict>
              <v:rect fillcolor="#FFFFFF" strokecolor="#000000" strokeweight="1pt" style="position:absolute;rotation:-0;width:188.5pt;height:87.45pt;mso-wrap-distance-left:9.05pt;mso-wrap-distance-right:9.05pt;mso-wrap-distance-top:0pt;mso-wrap-distance-bottom:0pt;margin-top:1pt;mso-position-vertical-relative:text;margin-left:144.5pt;mso-position-horizontal-relative:text">
                <v:shadow on="t" color="#808080" offset="6pt,6pt"/>
                <v:textbox inset="0.0194444444444444in,0.0118055555555556in,0.0194444444444444in,0.0118055555555556in">
                  <w:txbxContent>
                    <w:p>
                      <w:pPr>
                        <w:pStyle w:val="Normal"/>
                        <w:numPr>
                          <w:ilvl w:val="0"/>
                          <w:numId w:val="10"/>
                        </w:numPr>
                        <w:ind w:hanging="227" w:start="340" w:end="0"/>
                        <w:rPr/>
                      </w:pPr>
                      <w:r>
                        <w:rPr>
                          <w:lang w:val="bg-BG"/>
                        </w:rPr>
                        <w:t>определяне на документите, свързани с определяне на аспектите</w:t>
                      </w:r>
                    </w:p>
                    <w:p>
                      <w:pPr>
                        <w:pStyle w:val="Normal"/>
                        <w:numPr>
                          <w:ilvl w:val="0"/>
                          <w:numId w:val="10"/>
                        </w:numPr>
                        <w:ind w:hanging="227" w:start="340" w:end="0"/>
                        <w:rPr/>
                      </w:pPr>
                      <w:r>
                        <w:rPr>
                          <w:lang w:val="bg-BG"/>
                        </w:rPr>
                        <w:t>определяне на правила за идентификация и оценяване на аспектите;</w:t>
                      </w:r>
                    </w:p>
                    <w:p>
                      <w:pPr>
                        <w:pStyle w:val="Normal"/>
                        <w:numPr>
                          <w:ilvl w:val="0"/>
                          <w:numId w:val="10"/>
                        </w:numPr>
                        <w:ind w:hanging="227" w:start="340" w:end="0"/>
                        <w:rPr/>
                      </w:pPr>
                      <w:r>
                        <w:rPr>
                          <w:lang w:val="bg-BG"/>
                        </w:rPr>
                        <w:t>документиране;</w:t>
                      </w:r>
                    </w:p>
                  </w:txbxContent>
                </v:textbox>
                <w10:wrap type="none"/>
              </v:rect>
            </w:pict>
          </mc:Fallback>
        </mc:AlternateContent>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t xml:space="preserve">3. ОТГОВОРНОСТИ ЗА ИЗВЪРШВАНЕ НА ПРОЦЕСА  </w:t>
      </w:r>
    </w:p>
    <w:p>
      <w:pPr>
        <w:pStyle w:val="Normal"/>
        <w:widowControl/>
        <w:jc w:val="both"/>
        <w:rPr>
          <w:b/>
          <w:sz w:val="24"/>
          <w:szCs w:val="24"/>
          <w:lang w:val="bg-BG"/>
        </w:rPr>
      </w:pPr>
      <w:r>
        <w:rPr>
          <w:b/>
          <w:sz w:val="24"/>
          <w:szCs w:val="24"/>
          <w:lang w:val="bg-BG"/>
        </w:rPr>
      </w:r>
    </w:p>
    <w:p>
      <w:pPr>
        <w:pStyle w:val="Normal"/>
        <w:widowControl/>
        <w:jc w:val="both"/>
        <w:rPr/>
      </w:pPr>
      <w:r>
        <w:rPr>
          <w:sz w:val="24"/>
          <w:szCs w:val="24"/>
          <w:lang w:val="bg-BG"/>
        </w:rPr>
        <w:t xml:space="preserve">Управител: </w:t>
      </w:r>
    </w:p>
    <w:p>
      <w:pPr>
        <w:pStyle w:val="Normal"/>
        <w:widowControl/>
        <w:numPr>
          <w:ilvl w:val="0"/>
          <w:numId w:val="5"/>
        </w:numPr>
        <w:jc w:val="both"/>
        <w:rPr>
          <w:sz w:val="24"/>
          <w:szCs w:val="24"/>
          <w:lang w:val="bg-BG"/>
        </w:rPr>
      </w:pPr>
      <w:r>
        <w:rPr>
          <w:sz w:val="24"/>
          <w:szCs w:val="24"/>
          <w:lang w:val="bg-BG"/>
        </w:rPr>
        <w:t>преглежда и утвърждава списъка на аспектите.</w:t>
      </w:r>
    </w:p>
    <w:p>
      <w:pPr>
        <w:pStyle w:val="Normal"/>
        <w:widowControl/>
        <w:jc w:val="both"/>
        <w:rPr>
          <w:sz w:val="24"/>
          <w:szCs w:val="24"/>
          <w:lang w:val="bg-BG"/>
        </w:rPr>
      </w:pPr>
      <w:r>
        <w:rPr>
          <w:sz w:val="24"/>
          <w:szCs w:val="24"/>
          <w:lang w:val="bg-BG"/>
        </w:rPr>
      </w:r>
    </w:p>
    <w:p>
      <w:pPr>
        <w:pStyle w:val="Normal"/>
        <w:widowControl/>
        <w:jc w:val="both"/>
        <w:rPr/>
      </w:pPr>
      <w:r>
        <w:rPr>
          <w:sz w:val="24"/>
          <w:szCs w:val="24"/>
          <w:lang w:val="bg-BG"/>
        </w:rPr>
        <w:t>Мениджър по УОС:</w:t>
      </w:r>
    </w:p>
    <w:p>
      <w:pPr>
        <w:pStyle w:val="Normal"/>
        <w:widowControl/>
        <w:numPr>
          <w:ilvl w:val="0"/>
          <w:numId w:val="3"/>
        </w:numPr>
        <w:jc w:val="both"/>
        <w:rPr>
          <w:sz w:val="24"/>
          <w:szCs w:val="24"/>
          <w:lang w:val="bg-BG"/>
        </w:rPr>
      </w:pPr>
      <w:r>
        <w:rPr>
          <w:sz w:val="24"/>
          <w:szCs w:val="24"/>
          <w:lang w:val="bg-BG"/>
        </w:rPr>
        <w:t>подготвя документите да идентификация и оценяване на аспектите на ОС;</w:t>
      </w:r>
    </w:p>
    <w:p>
      <w:pPr>
        <w:pStyle w:val="Normal"/>
        <w:widowControl/>
        <w:numPr>
          <w:ilvl w:val="0"/>
          <w:numId w:val="3"/>
        </w:numPr>
        <w:jc w:val="both"/>
        <w:rPr>
          <w:sz w:val="24"/>
          <w:szCs w:val="24"/>
          <w:lang w:val="bg-BG"/>
        </w:rPr>
      </w:pPr>
      <w:r>
        <w:rPr>
          <w:sz w:val="24"/>
          <w:szCs w:val="24"/>
          <w:lang w:val="bg-BG"/>
        </w:rPr>
        <w:t>управлява документите, свързани с оценяване значимостта на аспектите.</w:t>
      </w:r>
    </w:p>
    <w:p>
      <w:pPr>
        <w:pStyle w:val="Normal"/>
        <w:widowControl/>
        <w:jc w:val="both"/>
        <w:rPr>
          <w:sz w:val="24"/>
          <w:szCs w:val="24"/>
          <w:lang w:val="bg-BG"/>
        </w:rPr>
      </w:pPr>
      <w:r>
        <w:rPr>
          <w:sz w:val="24"/>
          <w:szCs w:val="24"/>
          <w:lang w:val="bg-BG"/>
        </w:rPr>
      </w:r>
    </w:p>
    <w:p>
      <w:pPr>
        <w:pStyle w:val="Normal"/>
        <w:widowControl/>
        <w:jc w:val="both"/>
        <w:rPr>
          <w:b/>
          <w:sz w:val="24"/>
          <w:szCs w:val="24"/>
          <w:lang w:val="bg-BG"/>
        </w:rPr>
      </w:pPr>
      <w:r>
        <w:rPr>
          <w:b/>
          <w:sz w:val="24"/>
          <w:szCs w:val="24"/>
          <w:lang w:val="bg-BG"/>
        </w:rPr>
        <w:t xml:space="preserve">4. ПОТРЕБИТЕЛ НА ПРОЦЕСА </w:t>
      </w:r>
    </w:p>
    <w:p>
      <w:pPr>
        <w:pStyle w:val="BodyText"/>
        <w:rPr/>
      </w:pPr>
      <w:r>
        <w:rPr>
          <w:szCs w:val="24"/>
        </w:rPr>
        <w:t>Потребители на процес “Аспекти на ОС” са всички процеси на СУОС.</w:t>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t>5. КРИТЕРИИ ЗА ОЦЕНЯВАНЕ НА ПРОЦЕСА</w:t>
      </w:r>
    </w:p>
    <w:p>
      <w:pPr>
        <w:pStyle w:val="BodyText"/>
        <w:rPr>
          <w:b/>
          <w:szCs w:val="24"/>
        </w:rPr>
      </w:pPr>
      <w:r>
        <w:rPr>
          <w:szCs w:val="24"/>
        </w:rPr>
        <w:t>Основен критерий за ефективност на управлението на документите е степента, в която разработените и използвани документи спомагат за непрекъснатото подобряване на процесите.</w:t>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r>
    </w:p>
    <w:p>
      <w:pPr>
        <w:pStyle w:val="Normal"/>
        <w:widowControl/>
        <w:jc w:val="both"/>
        <w:rPr/>
      </w:pPr>
      <w:r>
        <w:rPr>
          <w:b/>
          <w:sz w:val="24"/>
          <w:szCs w:val="24"/>
          <w:lang w:val="bg-BG"/>
        </w:rPr>
        <w:t>6. ТЕРМИНИ И ОПРЕДЕЛЕНИЯ</w:t>
      </w:r>
    </w:p>
    <w:p>
      <w:pPr>
        <w:pStyle w:val="Normal"/>
        <w:widowControl/>
        <w:numPr>
          <w:ilvl w:val="0"/>
          <w:numId w:val="6"/>
        </w:numPr>
        <w:jc w:val="both"/>
        <w:rPr>
          <w:sz w:val="24"/>
          <w:szCs w:val="24"/>
          <w:lang w:val="bg-BG"/>
        </w:rPr>
      </w:pPr>
      <w:r>
        <w:rPr>
          <w:b/>
          <w:sz w:val="24"/>
          <w:szCs w:val="24"/>
          <w:lang w:val="bg-BG"/>
        </w:rPr>
        <w:t>СУОС</w:t>
      </w:r>
      <w:r>
        <w:rPr>
          <w:sz w:val="24"/>
          <w:szCs w:val="24"/>
          <w:lang w:val="bg-BG"/>
        </w:rPr>
        <w:t>- Система за управление на околната среда</w:t>
      </w:r>
    </w:p>
    <w:p>
      <w:pPr>
        <w:pStyle w:val="Normal"/>
        <w:widowControl/>
        <w:numPr>
          <w:ilvl w:val="0"/>
          <w:numId w:val="6"/>
        </w:numPr>
        <w:jc w:val="both"/>
        <w:rPr>
          <w:sz w:val="24"/>
          <w:szCs w:val="24"/>
          <w:lang w:val="ru-RU"/>
        </w:rPr>
      </w:pPr>
      <w:r>
        <w:rPr>
          <w:b/>
          <w:sz w:val="24"/>
          <w:szCs w:val="24"/>
          <w:lang w:val="bg-BG"/>
        </w:rPr>
        <w:t>Документ</w:t>
      </w:r>
      <w:r>
        <w:rPr>
          <w:sz w:val="24"/>
          <w:szCs w:val="24"/>
          <w:lang w:val="bg-BG"/>
        </w:rPr>
        <w:t xml:space="preserve"> - информация и нейният носител</w:t>
      </w:r>
    </w:p>
    <w:p>
      <w:pPr>
        <w:pStyle w:val="Normal"/>
        <w:widowControl/>
        <w:numPr>
          <w:ilvl w:val="0"/>
          <w:numId w:val="6"/>
        </w:numPr>
        <w:jc w:val="both"/>
        <w:rPr>
          <w:sz w:val="24"/>
          <w:szCs w:val="24"/>
          <w:lang w:val="bg-BG"/>
        </w:rPr>
      </w:pPr>
      <w:r>
        <w:rPr>
          <w:b/>
          <w:sz w:val="24"/>
          <w:szCs w:val="24"/>
          <w:lang w:val="bg-BG"/>
        </w:rPr>
        <w:t>Наръчник по управление</w:t>
      </w:r>
      <w:r>
        <w:rPr>
          <w:sz w:val="24"/>
          <w:szCs w:val="24"/>
          <w:lang w:val="bg-BG"/>
        </w:rPr>
        <w:t xml:space="preserve"> - документ, който описва системата за управление</w:t>
      </w:r>
    </w:p>
    <w:p>
      <w:pPr>
        <w:pStyle w:val="Normal"/>
        <w:widowControl/>
        <w:numPr>
          <w:ilvl w:val="0"/>
          <w:numId w:val="6"/>
        </w:numPr>
        <w:jc w:val="both"/>
        <w:rPr>
          <w:sz w:val="24"/>
          <w:szCs w:val="24"/>
          <w:lang w:val="bg-BG"/>
        </w:rPr>
      </w:pPr>
      <w:r>
        <w:rPr>
          <w:b/>
          <w:sz w:val="24"/>
          <w:szCs w:val="24"/>
          <w:lang w:val="bg-BG"/>
        </w:rPr>
        <w:t>Процедура</w:t>
      </w:r>
      <w:r>
        <w:rPr>
          <w:sz w:val="24"/>
          <w:szCs w:val="24"/>
          <w:lang w:val="bg-BG"/>
        </w:rPr>
        <w:t xml:space="preserve"> - определен начин или ред за изпълнение на дейност или на процес</w:t>
      </w:r>
    </w:p>
    <w:p>
      <w:pPr>
        <w:pStyle w:val="Normal"/>
        <w:widowControl/>
        <w:numPr>
          <w:ilvl w:val="0"/>
          <w:numId w:val="6"/>
        </w:numPr>
        <w:jc w:val="both"/>
        <w:rPr>
          <w:sz w:val="24"/>
          <w:szCs w:val="24"/>
          <w:lang w:val="bg-BG"/>
        </w:rPr>
      </w:pPr>
      <w:r>
        <w:rPr>
          <w:b/>
          <w:sz w:val="24"/>
          <w:szCs w:val="24"/>
          <w:lang w:val="bg-BG"/>
        </w:rPr>
        <w:t>Процедурен документ</w:t>
      </w:r>
      <w:r>
        <w:rPr>
          <w:sz w:val="24"/>
          <w:szCs w:val="24"/>
          <w:lang w:val="bg-BG"/>
        </w:rPr>
        <w:t xml:space="preserve"> - документ, който съдържа процедура</w:t>
      </w:r>
    </w:p>
    <w:p>
      <w:pPr>
        <w:pStyle w:val="Normal"/>
        <w:widowControl/>
        <w:numPr>
          <w:ilvl w:val="0"/>
          <w:numId w:val="6"/>
        </w:numPr>
        <w:jc w:val="both"/>
        <w:rPr>
          <w:sz w:val="24"/>
          <w:szCs w:val="24"/>
          <w:lang w:val="bg-BG"/>
        </w:rPr>
      </w:pPr>
      <w:r>
        <w:rPr>
          <w:b/>
          <w:sz w:val="24"/>
          <w:szCs w:val="24"/>
          <w:lang w:val="bg-BG"/>
        </w:rPr>
        <w:t>Оперативен документ</w:t>
      </w:r>
      <w:r>
        <w:rPr>
          <w:sz w:val="24"/>
          <w:szCs w:val="24"/>
          <w:lang w:val="bg-BG"/>
        </w:rPr>
        <w:t xml:space="preserve"> - документ, който носи конкретна информация за дейностите (бланка, заповед, протокол, писмо и др.).</w:t>
      </w:r>
    </w:p>
    <w:p>
      <w:pPr>
        <w:pStyle w:val="Normal"/>
        <w:widowControl/>
        <w:numPr>
          <w:ilvl w:val="0"/>
          <w:numId w:val="6"/>
        </w:numPr>
        <w:jc w:val="both"/>
        <w:rPr>
          <w:sz w:val="24"/>
          <w:szCs w:val="24"/>
          <w:lang w:val="bg-BG"/>
        </w:rPr>
      </w:pPr>
      <w:r>
        <w:rPr>
          <w:b/>
          <w:sz w:val="24"/>
          <w:szCs w:val="24"/>
          <w:lang w:val="bg-BG"/>
        </w:rPr>
        <w:t>Запис</w:t>
      </w:r>
      <w:r>
        <w:rPr>
          <w:sz w:val="24"/>
          <w:szCs w:val="24"/>
          <w:lang w:val="bg-BG"/>
        </w:rPr>
        <w:t xml:space="preserve"> - документ, който показва резултати или доказателства за извършени дейности </w:t>
      </w:r>
    </w:p>
    <w:p>
      <w:pPr>
        <w:pStyle w:val="Normal"/>
        <w:widowControl/>
        <w:jc w:val="both"/>
        <w:rPr>
          <w:b/>
          <w:sz w:val="24"/>
          <w:szCs w:val="24"/>
          <w:lang w:val="bg-BG"/>
        </w:rPr>
      </w:pPr>
      <w:r>
        <w:rPr>
          <w:b/>
          <w:sz w:val="24"/>
          <w:szCs w:val="24"/>
          <w:lang w:val="bg-BG"/>
        </w:rPr>
        <w:t>7. ПРОЦЕДУРА</w:t>
      </w:r>
    </w:p>
    <w:p>
      <w:pPr>
        <w:pStyle w:val="Normal"/>
        <w:widowControl/>
        <w:jc w:val="both"/>
        <w:rPr>
          <w:b/>
          <w:sz w:val="24"/>
          <w:szCs w:val="24"/>
          <w:lang w:val="bg-BG"/>
        </w:rPr>
      </w:pPr>
      <w:r>
        <w:rPr>
          <w:b/>
          <w:sz w:val="24"/>
          <w:szCs w:val="24"/>
          <w:lang w:val="bg-BG"/>
        </w:rPr>
      </w:r>
    </w:p>
    <w:p>
      <w:pPr>
        <w:pStyle w:val="Normal"/>
        <w:rPr>
          <w:b/>
          <w:sz w:val="24"/>
          <w:szCs w:val="24"/>
          <w:lang w:val="ru-RU"/>
        </w:rPr>
      </w:pPr>
      <w:r>
        <w:rPr>
          <w:b/>
          <w:sz w:val="24"/>
          <w:szCs w:val="24"/>
          <w:lang w:val="bg-BG"/>
        </w:rPr>
        <w:t>7.1 Общи положения</w:t>
      </w:r>
    </w:p>
    <w:p>
      <w:pPr>
        <w:pStyle w:val="Normal"/>
        <w:jc w:val="both"/>
        <w:rPr>
          <w:sz w:val="24"/>
          <w:szCs w:val="24"/>
          <w:lang w:val="bg-BG"/>
        </w:rPr>
      </w:pPr>
      <w:r>
        <w:rPr>
          <w:sz w:val="24"/>
          <w:szCs w:val="24"/>
          <w:lang w:val="bg-BG"/>
        </w:rPr>
        <w:t>В определения обхват на Системата за управление определянето на аспектите на околната среда започва с разбирането как организацията взаимодейства с околната среда - как нейните елементи на процеси, дейности, продукти и услуги взаимодействат с околната среда. Трябва да бъдат определени аспектите, които могат да бъдат управлявани, както и тези, върху които може да се влияе.</w:t>
      </w:r>
    </w:p>
    <w:p>
      <w:pPr>
        <w:pStyle w:val="Normal"/>
        <w:jc w:val="both"/>
        <w:rPr>
          <w:color w:val="000000"/>
          <w:sz w:val="24"/>
          <w:szCs w:val="24"/>
          <w:lang w:val="bg-BG"/>
        </w:rPr>
      </w:pPr>
      <w:r>
        <w:rPr>
          <w:color w:val="000000"/>
          <w:sz w:val="24"/>
          <w:szCs w:val="24"/>
          <w:lang w:val="bg-BG"/>
        </w:rPr>
      </w:r>
    </w:p>
    <w:p>
      <w:pPr>
        <w:pStyle w:val="Normal"/>
        <w:jc w:val="both"/>
        <w:rPr>
          <w:color w:val="000000"/>
          <w:sz w:val="24"/>
          <w:szCs w:val="24"/>
          <w:lang w:val="bg-BG"/>
        </w:rPr>
      </w:pPr>
      <w:r>
        <w:rPr>
          <w:color w:val="000000"/>
          <w:sz w:val="24"/>
          <w:szCs w:val="24"/>
          <w:lang w:val="bg-BG"/>
        </w:rPr>
        <w:t>Факторите, които замърсяват или увреждат околната среда, могат да бъдат: естествени и антропогенни вещества и процеси; различни видове отпадъци и техните местонахождения; рискови енергийни източници - шумове, вибрации, радиации, както и някои генетично модифицирани организми.</w:t>
      </w:r>
    </w:p>
    <w:p>
      <w:pPr>
        <w:pStyle w:val="Normal"/>
        <w:jc w:val="both"/>
        <w:rPr>
          <w:color w:val="000000"/>
          <w:sz w:val="24"/>
          <w:szCs w:val="24"/>
          <w:lang w:val="bg-BG"/>
        </w:rPr>
      </w:pPr>
      <w:r>
        <w:rPr>
          <w:color w:val="000000"/>
          <w:sz w:val="24"/>
          <w:szCs w:val="24"/>
          <w:lang w:val="bg-BG"/>
        </w:rPr>
      </w:r>
    </w:p>
    <w:p>
      <w:pPr>
        <w:pStyle w:val="Normal"/>
        <w:jc w:val="both"/>
        <w:rPr>
          <w:sz w:val="24"/>
          <w:szCs w:val="24"/>
          <w:lang w:val="bg-BG"/>
        </w:rPr>
      </w:pPr>
      <w:r>
        <w:rPr>
          <w:sz w:val="24"/>
          <w:szCs w:val="24"/>
          <w:lang w:val="bg-BG"/>
        </w:rPr>
        <w:t>Аспектите, които могат да бъдат управлявани включват дейностите на организацията, над които тя има контролиращо управление. Те могат да включват, но не са ограничени до:</w:t>
      </w:r>
    </w:p>
    <w:p>
      <w:pPr>
        <w:pStyle w:val="Normal"/>
        <w:numPr>
          <w:ilvl w:val="0"/>
          <w:numId w:val="7"/>
        </w:numPr>
        <w:rPr>
          <w:sz w:val="24"/>
          <w:szCs w:val="24"/>
          <w:lang w:val="bg-BG"/>
        </w:rPr>
      </w:pPr>
      <w:r>
        <w:rPr>
          <w:sz w:val="24"/>
          <w:szCs w:val="24"/>
          <w:lang w:val="bg-BG"/>
        </w:rPr>
        <w:t>емисии във въздуха;</w:t>
      </w:r>
    </w:p>
    <w:p>
      <w:pPr>
        <w:pStyle w:val="Normal"/>
        <w:numPr>
          <w:ilvl w:val="0"/>
          <w:numId w:val="7"/>
        </w:numPr>
        <w:rPr>
          <w:sz w:val="24"/>
          <w:szCs w:val="24"/>
          <w:lang w:val="bg-BG"/>
        </w:rPr>
      </w:pPr>
      <w:r>
        <w:rPr>
          <w:sz w:val="24"/>
          <w:szCs w:val="24"/>
          <w:lang w:val="bg-BG"/>
        </w:rPr>
        <w:t>заустване във водите;</w:t>
      </w:r>
    </w:p>
    <w:p>
      <w:pPr>
        <w:pStyle w:val="Normal"/>
        <w:numPr>
          <w:ilvl w:val="0"/>
          <w:numId w:val="7"/>
        </w:numPr>
        <w:rPr>
          <w:sz w:val="24"/>
          <w:szCs w:val="24"/>
          <w:lang w:val="bg-BG"/>
        </w:rPr>
      </w:pPr>
      <w:r>
        <w:rPr>
          <w:sz w:val="24"/>
          <w:szCs w:val="24"/>
          <w:lang w:val="bg-BG"/>
        </w:rPr>
        <w:t>използване и замърсяване на земи;</w:t>
      </w:r>
    </w:p>
    <w:p>
      <w:pPr>
        <w:pStyle w:val="Normal"/>
        <w:numPr>
          <w:ilvl w:val="0"/>
          <w:numId w:val="7"/>
        </w:numPr>
        <w:rPr>
          <w:sz w:val="24"/>
          <w:szCs w:val="24"/>
          <w:lang w:val="bg-BG"/>
        </w:rPr>
      </w:pPr>
      <w:r>
        <w:rPr>
          <w:sz w:val="24"/>
          <w:szCs w:val="24"/>
          <w:lang w:val="bg-BG"/>
        </w:rPr>
        <w:t>използване на природни ресурси и суровини (земя, вода, енергия);</w:t>
      </w:r>
    </w:p>
    <w:p>
      <w:pPr>
        <w:pStyle w:val="Normal"/>
        <w:numPr>
          <w:ilvl w:val="0"/>
          <w:numId w:val="7"/>
        </w:numPr>
        <w:rPr>
          <w:sz w:val="24"/>
          <w:szCs w:val="24"/>
          <w:lang w:val="bg-BG"/>
        </w:rPr>
      </w:pPr>
      <w:r>
        <w:rPr>
          <w:sz w:val="24"/>
          <w:szCs w:val="24"/>
          <w:lang w:val="bg-BG"/>
        </w:rPr>
        <w:t>въпроси от локално значение (шум, вибрации, миризма, прах, визуални ефекти - външен вид) и др.;</w:t>
      </w:r>
    </w:p>
    <w:p>
      <w:pPr>
        <w:pStyle w:val="Normal"/>
        <w:numPr>
          <w:ilvl w:val="0"/>
          <w:numId w:val="7"/>
        </w:numPr>
        <w:rPr>
          <w:sz w:val="24"/>
          <w:szCs w:val="24"/>
          <w:lang w:val="bg-BG"/>
        </w:rPr>
      </w:pPr>
      <w:r>
        <w:rPr>
          <w:sz w:val="24"/>
          <w:szCs w:val="24"/>
          <w:lang w:val="bg-BG"/>
        </w:rPr>
        <w:t>отпадъци и странични продукти;</w:t>
      </w:r>
    </w:p>
    <w:p>
      <w:pPr>
        <w:pStyle w:val="Normal"/>
        <w:numPr>
          <w:ilvl w:val="0"/>
          <w:numId w:val="7"/>
        </w:numPr>
        <w:rPr>
          <w:sz w:val="24"/>
          <w:szCs w:val="24"/>
          <w:lang w:val="bg-BG"/>
        </w:rPr>
      </w:pPr>
      <w:r>
        <w:rPr>
          <w:sz w:val="24"/>
          <w:szCs w:val="24"/>
          <w:lang w:val="bg-BG"/>
        </w:rPr>
        <w:t>транспорт (транспорт на стоки, транспорт като услуга, транспорт на персонал);</w:t>
      </w:r>
    </w:p>
    <w:p>
      <w:pPr>
        <w:pStyle w:val="Normal"/>
        <w:numPr>
          <w:ilvl w:val="0"/>
          <w:numId w:val="7"/>
        </w:numPr>
        <w:rPr>
          <w:sz w:val="24"/>
          <w:szCs w:val="24"/>
          <w:lang w:val="bg-BG"/>
        </w:rPr>
      </w:pPr>
      <w:r>
        <w:rPr>
          <w:sz w:val="24"/>
          <w:szCs w:val="24"/>
          <w:lang w:val="bg-BG"/>
        </w:rPr>
        <w:t>рисковете от инциденти, засягащи околната среда, възникващите или</w:t>
      </w:r>
    </w:p>
    <w:p>
      <w:pPr>
        <w:pStyle w:val="Normal"/>
        <w:numPr>
          <w:ilvl w:val="0"/>
          <w:numId w:val="7"/>
        </w:numPr>
        <w:rPr>
          <w:sz w:val="24"/>
          <w:szCs w:val="24"/>
          <w:lang w:val="bg-BG"/>
        </w:rPr>
      </w:pPr>
      <w:r>
        <w:rPr>
          <w:sz w:val="24"/>
          <w:szCs w:val="24"/>
          <w:lang w:val="bg-BG"/>
        </w:rPr>
        <w:t>възможните въздействия като последствия от тях, инцидентите и потенциалните извънредни ситуации;</w:t>
      </w:r>
    </w:p>
    <w:p>
      <w:pPr>
        <w:pStyle w:val="Normal"/>
        <w:numPr>
          <w:ilvl w:val="0"/>
          <w:numId w:val="7"/>
        </w:numPr>
        <w:rPr>
          <w:sz w:val="24"/>
          <w:szCs w:val="24"/>
          <w:lang w:val="bg-BG"/>
        </w:rPr>
      </w:pPr>
      <w:r>
        <w:rPr>
          <w:sz w:val="24"/>
          <w:szCs w:val="24"/>
          <w:lang w:val="bg-BG"/>
        </w:rPr>
        <w:t>въздействия върху биологичното разнообразие.</w:t>
      </w:r>
    </w:p>
    <w:p>
      <w:pPr>
        <w:pStyle w:val="Normal"/>
        <w:rPr>
          <w:sz w:val="24"/>
          <w:szCs w:val="24"/>
          <w:lang w:val="bg-BG"/>
        </w:rPr>
      </w:pPr>
      <w:r>
        <w:rPr>
          <w:sz w:val="24"/>
          <w:szCs w:val="24"/>
          <w:lang w:val="bg-BG"/>
        </w:rPr>
      </w:r>
    </w:p>
    <w:p>
      <w:pPr>
        <w:pStyle w:val="Normal"/>
        <w:jc w:val="both"/>
        <w:rPr>
          <w:sz w:val="24"/>
          <w:szCs w:val="24"/>
          <w:lang w:val="bg-BG"/>
        </w:rPr>
      </w:pPr>
      <w:r>
        <w:rPr>
          <w:sz w:val="24"/>
          <w:szCs w:val="24"/>
          <w:lang w:val="bg-BG"/>
        </w:rPr>
        <w:t>Аспектите, над които организацията може да няма контролиращо управление включват, но не са ограничени до:</w:t>
      </w:r>
    </w:p>
    <w:p>
      <w:pPr>
        <w:pStyle w:val="Normal"/>
        <w:numPr>
          <w:ilvl w:val="0"/>
          <w:numId w:val="9"/>
        </w:numPr>
        <w:rPr>
          <w:sz w:val="24"/>
          <w:szCs w:val="24"/>
          <w:lang w:val="bg-BG"/>
        </w:rPr>
      </w:pPr>
      <w:r>
        <w:rPr>
          <w:sz w:val="24"/>
          <w:szCs w:val="24"/>
          <w:lang w:val="bg-BG"/>
        </w:rPr>
        <w:t>продуктите, които използва или доставя (проектиране, разработване, опаковане, транспортиране, използване и оползотворяване/</w:t>
      </w:r>
      <w:r>
        <w:rPr>
          <w:sz w:val="24"/>
          <w:szCs w:val="24"/>
          <w:lang w:val="ru-RU"/>
        </w:rPr>
        <w:t xml:space="preserve"> </w:t>
      </w:r>
      <w:r>
        <w:rPr>
          <w:sz w:val="24"/>
          <w:szCs w:val="24"/>
          <w:lang w:val="bg-BG"/>
        </w:rPr>
        <w:t>обезвреждане на отпадъците);</w:t>
      </w:r>
    </w:p>
    <w:p>
      <w:pPr>
        <w:pStyle w:val="Normal"/>
        <w:numPr>
          <w:ilvl w:val="0"/>
          <w:numId w:val="9"/>
        </w:numPr>
        <w:rPr>
          <w:sz w:val="24"/>
          <w:szCs w:val="24"/>
          <w:lang w:val="bg-BG"/>
        </w:rPr>
      </w:pPr>
      <w:r>
        <w:rPr>
          <w:sz w:val="24"/>
          <w:szCs w:val="24"/>
          <w:lang w:val="bg-BG"/>
        </w:rPr>
        <w:t>нови пазари;</w:t>
      </w:r>
    </w:p>
    <w:p>
      <w:pPr>
        <w:pStyle w:val="Normal"/>
        <w:numPr>
          <w:ilvl w:val="0"/>
          <w:numId w:val="9"/>
        </w:numPr>
        <w:rPr>
          <w:sz w:val="24"/>
          <w:szCs w:val="24"/>
          <w:lang w:val="bg-BG"/>
        </w:rPr>
      </w:pPr>
      <w:r>
        <w:rPr>
          <w:sz w:val="24"/>
          <w:szCs w:val="24"/>
          <w:lang w:val="bg-BG"/>
        </w:rPr>
        <w:t>избор и вид на услугата (например транспорт);</w:t>
      </w:r>
    </w:p>
    <w:p>
      <w:pPr>
        <w:pStyle w:val="Normal"/>
        <w:numPr>
          <w:ilvl w:val="0"/>
          <w:numId w:val="9"/>
        </w:numPr>
        <w:rPr>
          <w:sz w:val="24"/>
          <w:szCs w:val="24"/>
          <w:lang w:val="bg-BG"/>
        </w:rPr>
      </w:pPr>
      <w:r>
        <w:rPr>
          <w:sz w:val="24"/>
          <w:szCs w:val="24"/>
          <w:lang w:val="bg-BG"/>
        </w:rPr>
        <w:t>структура на набора от продукти;</w:t>
      </w:r>
    </w:p>
    <w:p>
      <w:pPr>
        <w:pStyle w:val="Normal"/>
        <w:numPr>
          <w:ilvl w:val="0"/>
          <w:numId w:val="9"/>
        </w:numPr>
        <w:rPr>
          <w:sz w:val="24"/>
          <w:szCs w:val="24"/>
          <w:lang w:val="bg-BG"/>
        </w:rPr>
      </w:pPr>
      <w:r>
        <w:rPr>
          <w:sz w:val="24"/>
          <w:szCs w:val="24"/>
          <w:lang w:val="bg-BG"/>
        </w:rPr>
        <w:t>резултатността спрямо околна среда и практиките на партньорите и доставчиците.</w:t>
      </w:r>
    </w:p>
    <w:p>
      <w:pPr>
        <w:pStyle w:val="Normal"/>
        <w:rPr>
          <w:sz w:val="24"/>
          <w:szCs w:val="24"/>
          <w:lang w:val="bg-BG"/>
        </w:rPr>
      </w:pPr>
      <w:r>
        <w:rPr>
          <w:sz w:val="24"/>
          <w:szCs w:val="24"/>
          <w:lang w:val="bg-BG"/>
        </w:rPr>
      </w:r>
    </w:p>
    <w:p>
      <w:pPr>
        <w:pStyle w:val="Normal"/>
        <w:jc w:val="both"/>
        <w:rPr/>
      </w:pPr>
      <w:r>
        <w:rPr>
          <w:b/>
          <w:sz w:val="24"/>
          <w:szCs w:val="24"/>
          <w:lang w:val="bg-BG"/>
        </w:rPr>
        <w:t xml:space="preserve">7.2 Определяне на аспектите и въздействията </w:t>
      </w:r>
    </w:p>
    <w:p>
      <w:pPr>
        <w:pStyle w:val="2"/>
        <w:spacing w:lineRule="auto" w:line="240" w:before="0" w:after="0"/>
        <w:jc w:val="both"/>
        <w:rPr>
          <w:sz w:val="24"/>
          <w:szCs w:val="24"/>
          <w:lang w:val="bg-BG"/>
        </w:rPr>
      </w:pPr>
      <w:r>
        <w:rPr>
          <w:sz w:val="24"/>
          <w:szCs w:val="24"/>
          <w:lang w:val="bg-BG"/>
        </w:rPr>
        <w:t>Процесът на определяне на аспектите е свързан с дейностите в отделните функционални направления.</w:t>
      </w:r>
    </w:p>
    <w:p>
      <w:pPr>
        <w:pStyle w:val="Normal"/>
        <w:jc w:val="both"/>
        <w:rPr>
          <w:sz w:val="24"/>
          <w:szCs w:val="24"/>
          <w:lang w:val="bg-BG"/>
        </w:rPr>
      </w:pPr>
      <w:r>
        <w:rPr>
          <w:sz w:val="24"/>
          <w:szCs w:val="24"/>
          <w:lang w:val="bg-BG"/>
        </w:rPr>
      </w:r>
    </w:p>
    <w:p>
      <w:pPr>
        <w:pStyle w:val="Normal"/>
        <w:jc w:val="both"/>
        <w:rPr>
          <w:sz w:val="24"/>
          <w:szCs w:val="24"/>
          <w:lang w:val="bg-BG"/>
        </w:rPr>
      </w:pPr>
      <w:r>
        <w:rPr>
          <w:sz w:val="24"/>
          <w:szCs w:val="24"/>
          <w:lang w:val="bg-BG"/>
        </w:rPr>
        <w:t>При определяне на аспектите се вземат предвид:</w:t>
      </w:r>
    </w:p>
    <w:p>
      <w:pPr>
        <w:pStyle w:val="Normal"/>
        <w:numPr>
          <w:ilvl w:val="0"/>
          <w:numId w:val="4"/>
        </w:numPr>
        <w:jc w:val="both"/>
        <w:rPr>
          <w:sz w:val="24"/>
          <w:szCs w:val="24"/>
          <w:lang w:val="bg-BG"/>
        </w:rPr>
      </w:pPr>
      <w:r>
        <w:rPr>
          <w:sz w:val="24"/>
          <w:szCs w:val="24"/>
          <w:lang w:val="bg-BG"/>
        </w:rPr>
        <w:t>нормалните и ненормални условия на работа;</w:t>
      </w:r>
    </w:p>
    <w:p>
      <w:pPr>
        <w:pStyle w:val="Normal"/>
        <w:numPr>
          <w:ilvl w:val="0"/>
          <w:numId w:val="4"/>
        </w:numPr>
        <w:jc w:val="both"/>
        <w:rPr>
          <w:sz w:val="24"/>
          <w:szCs w:val="24"/>
          <w:lang w:val="bg-BG"/>
        </w:rPr>
      </w:pPr>
      <w:r>
        <w:rPr>
          <w:sz w:val="24"/>
          <w:szCs w:val="24"/>
          <w:lang w:val="bg-BG"/>
        </w:rPr>
        <w:t>режимите на пускане и спиране;</w:t>
      </w:r>
    </w:p>
    <w:p>
      <w:pPr>
        <w:pStyle w:val="Normal"/>
        <w:numPr>
          <w:ilvl w:val="0"/>
          <w:numId w:val="4"/>
        </w:numPr>
        <w:jc w:val="both"/>
        <w:rPr>
          <w:sz w:val="24"/>
          <w:szCs w:val="24"/>
          <w:lang w:val="bg-BG"/>
        </w:rPr>
      </w:pPr>
      <w:r>
        <w:rPr>
          <w:sz w:val="24"/>
          <w:szCs w:val="24"/>
          <w:lang w:val="bg-BG"/>
        </w:rPr>
        <w:t>инциденти и аварии;</w:t>
      </w:r>
    </w:p>
    <w:p>
      <w:pPr>
        <w:pStyle w:val="Normal"/>
        <w:numPr>
          <w:ilvl w:val="0"/>
          <w:numId w:val="4"/>
        </w:numPr>
        <w:jc w:val="both"/>
        <w:rPr>
          <w:sz w:val="24"/>
          <w:szCs w:val="24"/>
          <w:lang w:val="bg-BG"/>
        </w:rPr>
      </w:pPr>
      <w:r>
        <w:rPr>
          <w:sz w:val="24"/>
          <w:szCs w:val="24"/>
          <w:lang w:val="bg-BG"/>
        </w:rPr>
        <w:t>минали, текущи и планирани за в бъдеще дейности.</w:t>
      </w:r>
    </w:p>
    <w:p>
      <w:pPr>
        <w:pStyle w:val="Normal"/>
        <w:jc w:val="both"/>
        <w:rPr>
          <w:sz w:val="24"/>
          <w:szCs w:val="24"/>
          <w:lang w:val="bg-BG"/>
        </w:rPr>
      </w:pPr>
      <w:r>
        <w:rPr>
          <w:sz w:val="24"/>
          <w:szCs w:val="24"/>
          <w:lang w:val="bg-BG"/>
        </w:rPr>
      </w:r>
    </w:p>
    <w:p>
      <w:pPr>
        <w:pStyle w:val="Normal"/>
        <w:jc w:val="both"/>
        <w:rPr>
          <w:sz w:val="24"/>
          <w:szCs w:val="24"/>
          <w:lang w:val="bg-BG"/>
        </w:rPr>
      </w:pPr>
      <w:r>
        <w:rPr>
          <w:sz w:val="24"/>
          <w:szCs w:val="24"/>
          <w:lang w:val="bg-BG"/>
        </w:rPr>
        <w:t>Определянето на аспектите на околната среда се извършва при:</w:t>
      </w:r>
    </w:p>
    <w:p>
      <w:pPr>
        <w:pStyle w:val="Normal"/>
        <w:numPr>
          <w:ilvl w:val="0"/>
          <w:numId w:val="11"/>
        </w:numPr>
        <w:jc w:val="both"/>
        <w:rPr>
          <w:sz w:val="24"/>
          <w:szCs w:val="24"/>
          <w:lang w:val="bg-BG"/>
        </w:rPr>
      </w:pPr>
      <w:r>
        <w:rPr>
          <w:sz w:val="24"/>
          <w:szCs w:val="24"/>
          <w:lang w:val="bg-BG"/>
        </w:rPr>
        <w:t>първоначално планиране на Система за управление;</w:t>
      </w:r>
    </w:p>
    <w:p>
      <w:pPr>
        <w:pStyle w:val="Normal"/>
        <w:numPr>
          <w:ilvl w:val="0"/>
          <w:numId w:val="11"/>
        </w:numPr>
        <w:jc w:val="both"/>
        <w:rPr>
          <w:sz w:val="24"/>
          <w:szCs w:val="24"/>
          <w:lang w:val="bg-BG"/>
        </w:rPr>
      </w:pPr>
      <w:r>
        <w:rPr>
          <w:sz w:val="24"/>
          <w:szCs w:val="24"/>
          <w:lang w:val="bg-BG"/>
        </w:rPr>
        <w:t>планирани нови разработки;</w:t>
      </w:r>
    </w:p>
    <w:p>
      <w:pPr>
        <w:pStyle w:val="Normal"/>
        <w:numPr>
          <w:ilvl w:val="0"/>
          <w:numId w:val="11"/>
        </w:numPr>
        <w:jc w:val="both"/>
        <w:rPr>
          <w:sz w:val="24"/>
          <w:szCs w:val="24"/>
          <w:lang w:val="bg-BG"/>
        </w:rPr>
      </w:pPr>
      <w:r>
        <w:rPr>
          <w:sz w:val="24"/>
          <w:szCs w:val="24"/>
          <w:lang w:val="bg-BG"/>
        </w:rPr>
        <w:t>нововъведени или модифицирани дейности, продукти и услуги.</w:t>
      </w:r>
    </w:p>
    <w:p>
      <w:pPr>
        <w:pStyle w:val="Normal"/>
        <w:jc w:val="both"/>
        <w:rPr>
          <w:sz w:val="24"/>
          <w:szCs w:val="24"/>
          <w:lang w:val="bg-BG"/>
        </w:rPr>
      </w:pPr>
      <w:r>
        <w:rPr>
          <w:sz w:val="24"/>
          <w:szCs w:val="24"/>
          <w:lang w:val="bg-BG"/>
        </w:rPr>
      </w:r>
    </w:p>
    <w:p>
      <w:pPr>
        <w:pStyle w:val="Normal"/>
        <w:jc w:val="both"/>
        <w:rPr/>
      </w:pPr>
      <w:r>
        <w:rPr>
          <w:sz w:val="24"/>
          <w:szCs w:val="24"/>
          <w:lang w:val="bg-BG"/>
        </w:rPr>
        <w:t>Определянето на аспектите на околната среда става от определената от ИД работна група с участието и методическото ръководство на Мениджъра по управление.</w:t>
      </w:r>
    </w:p>
    <w:p>
      <w:pPr>
        <w:pStyle w:val="Normal"/>
        <w:jc w:val="both"/>
        <w:rPr>
          <w:sz w:val="24"/>
          <w:szCs w:val="24"/>
          <w:lang w:val="bg-BG"/>
        </w:rPr>
      </w:pPr>
      <w:r>
        <w:rPr>
          <w:sz w:val="24"/>
          <w:szCs w:val="24"/>
          <w:lang w:val="bg-BG"/>
        </w:rPr>
      </w:r>
    </w:p>
    <w:p>
      <w:pPr>
        <w:pStyle w:val="Normal"/>
        <w:widowControl/>
        <w:jc w:val="both"/>
        <w:rPr/>
      </w:pPr>
      <w:r>
        <w:rPr>
          <w:sz w:val="24"/>
          <w:szCs w:val="24"/>
          <w:lang w:val="bg-BG"/>
        </w:rPr>
        <w:t>В резултат на преглед на текущото състояние по отношение на околната среда</w:t>
      </w:r>
      <w:r>
        <w:rPr>
          <w:color w:val="000000"/>
          <w:sz w:val="24"/>
          <w:szCs w:val="24"/>
          <w:lang w:val="bg-BG"/>
        </w:rPr>
        <w:t xml:space="preserve">, работната група съставя </w:t>
      </w:r>
      <w:r>
        <w:rPr>
          <w:color w:val="000000"/>
          <w:sz w:val="24"/>
          <w:szCs w:val="24"/>
          <w:lang w:val="en-US"/>
        </w:rPr>
        <w:t>OD</w:t>
      </w:r>
      <w:r>
        <w:rPr>
          <w:color w:val="000000"/>
          <w:sz w:val="24"/>
          <w:szCs w:val="24"/>
          <w:lang w:val="bg-BG"/>
        </w:rPr>
        <w:t xml:space="preserve"> 06.01.00-</w:t>
      </w:r>
      <w:r>
        <w:rPr>
          <w:color w:val="000000"/>
          <w:sz w:val="24"/>
          <w:szCs w:val="24"/>
          <w:lang w:val="ru-RU"/>
        </w:rPr>
        <w:t>1</w:t>
      </w:r>
      <w:r>
        <w:rPr>
          <w:bCs/>
          <w:sz w:val="24"/>
          <w:szCs w:val="24"/>
          <w:lang w:val="bg-BG"/>
        </w:rPr>
        <w:t xml:space="preserve"> „Оценяване на аспектите". В документа </w:t>
      </w:r>
      <w:r>
        <w:rPr>
          <w:color w:val="000000"/>
          <w:sz w:val="24"/>
          <w:szCs w:val="24"/>
          <w:lang w:val="bg-BG"/>
        </w:rPr>
        <w:t>се определя кои</w:t>
      </w:r>
      <w:r>
        <w:rPr>
          <w:sz w:val="24"/>
          <w:szCs w:val="24"/>
          <w:lang w:val="bg-BG"/>
        </w:rPr>
        <w:t xml:space="preserve"> елементи на процеси, дейности, продукти и услуги взаимодействат с околната среда, какво въздействие оказват и какъв е потенциалният риск.</w:t>
      </w:r>
    </w:p>
    <w:p>
      <w:pPr>
        <w:pStyle w:val="Normal"/>
        <w:jc w:val="both"/>
        <w:rPr>
          <w:sz w:val="24"/>
          <w:szCs w:val="24"/>
          <w:lang w:val="bg-BG"/>
        </w:rPr>
      </w:pPr>
      <w:r>
        <w:rPr>
          <w:sz w:val="24"/>
          <w:szCs w:val="24"/>
          <w:lang w:val="bg-BG"/>
        </w:rPr>
      </w:r>
    </w:p>
    <w:p>
      <w:pPr>
        <w:pStyle w:val="Normal"/>
        <w:jc w:val="both"/>
        <w:rPr>
          <w:sz w:val="24"/>
          <w:szCs w:val="24"/>
          <w:lang w:val="bg-BG"/>
        </w:rPr>
      </w:pPr>
      <w:r>
        <w:rPr>
          <w:sz w:val="24"/>
          <w:szCs w:val="24"/>
          <w:lang w:val="bg-BG"/>
        </w:rPr>
        <w:t>При определяне на въздействията и рисковете върху околната среда трябва да бъдат разпознати:</w:t>
      </w:r>
    </w:p>
    <w:p>
      <w:pPr>
        <w:pStyle w:val="Normal"/>
        <w:numPr>
          <w:ilvl w:val="0"/>
          <w:numId w:val="2"/>
        </w:numPr>
        <w:jc w:val="both"/>
        <w:rPr>
          <w:sz w:val="24"/>
          <w:szCs w:val="24"/>
          <w:lang w:val="bg-BG"/>
        </w:rPr>
      </w:pPr>
      <w:r>
        <w:rPr>
          <w:sz w:val="24"/>
          <w:szCs w:val="24"/>
          <w:lang w:val="bg-BG"/>
        </w:rPr>
        <w:t>положителните (полезните) и отрицателните (неблагоприятни) въздействия върху околната среда;</w:t>
      </w:r>
    </w:p>
    <w:p>
      <w:pPr>
        <w:pStyle w:val="Normal"/>
        <w:numPr>
          <w:ilvl w:val="0"/>
          <w:numId w:val="2"/>
        </w:numPr>
        <w:jc w:val="both"/>
        <w:rPr>
          <w:color w:val="000000"/>
          <w:sz w:val="24"/>
          <w:szCs w:val="24"/>
          <w:lang w:val="bg-BG"/>
        </w:rPr>
      </w:pPr>
      <w:r>
        <w:rPr>
          <w:sz w:val="24"/>
          <w:szCs w:val="24"/>
          <w:lang w:val="bg-BG"/>
        </w:rPr>
        <w:t>действителните и възможни въздействия върху околната среда;</w:t>
      </w:r>
    </w:p>
    <w:p>
      <w:pPr>
        <w:pStyle w:val="Normal"/>
        <w:numPr>
          <w:ilvl w:val="0"/>
          <w:numId w:val="2"/>
        </w:numPr>
        <w:jc w:val="both"/>
        <w:rPr>
          <w:color w:val="000000"/>
          <w:sz w:val="24"/>
          <w:szCs w:val="24"/>
          <w:lang w:val="bg-BG"/>
        </w:rPr>
      </w:pPr>
      <w:r>
        <w:rPr>
          <w:sz w:val="24"/>
          <w:szCs w:val="24"/>
          <w:lang w:val="bg-BG"/>
        </w:rPr>
        <w:t>компон</w:t>
      </w:r>
      <w:r>
        <w:rPr>
          <w:color w:val="000000"/>
          <w:sz w:val="24"/>
          <w:szCs w:val="24"/>
          <w:lang w:val="bg-BG"/>
        </w:rPr>
        <w:t>ентите на околната среда, които могат да бъдат засегнати: въздух, вода, почва, земни недра, ландшафт, природни обекти, културно наследство, минерално разнообразие, биологично разнообразие и неговите елементи.</w:t>
      </w:r>
    </w:p>
    <w:p>
      <w:pPr>
        <w:pStyle w:val="Normal"/>
        <w:numPr>
          <w:ilvl w:val="0"/>
          <w:numId w:val="2"/>
        </w:numPr>
        <w:jc w:val="both"/>
        <w:rPr>
          <w:sz w:val="24"/>
          <w:szCs w:val="24"/>
          <w:lang w:val="bg-BG"/>
        </w:rPr>
      </w:pPr>
      <w:r>
        <w:rPr>
          <w:sz w:val="24"/>
          <w:szCs w:val="24"/>
          <w:lang w:val="bg-BG"/>
        </w:rPr>
        <w:t>характеристики на мястото, които могат да влияят върху въздействието - местни метеорологични условия, височина на водното ниво, видове почви и др.;</w:t>
      </w:r>
    </w:p>
    <w:p>
      <w:pPr>
        <w:pStyle w:val="Normal"/>
        <w:numPr>
          <w:ilvl w:val="0"/>
          <w:numId w:val="2"/>
        </w:numPr>
        <w:jc w:val="both"/>
        <w:rPr>
          <w:sz w:val="24"/>
          <w:szCs w:val="24"/>
          <w:lang w:val="bg-BG"/>
        </w:rPr>
      </w:pPr>
      <w:r>
        <w:rPr>
          <w:sz w:val="24"/>
          <w:szCs w:val="24"/>
          <w:lang w:val="bg-BG"/>
        </w:rPr>
        <w:t>характера на изменението на околната среда (глобални и местни въпроси, продължителност на времето, през което настъпва въздействието, възможността въздействието да увеличава силата си във времето).</w:t>
      </w:r>
    </w:p>
    <w:p>
      <w:pPr>
        <w:pStyle w:val="Normal"/>
        <w:jc w:val="both"/>
        <w:rPr>
          <w:sz w:val="24"/>
          <w:szCs w:val="24"/>
          <w:lang w:val="bg-BG"/>
        </w:rPr>
      </w:pPr>
      <w:r>
        <w:rPr>
          <w:sz w:val="24"/>
          <w:szCs w:val="24"/>
          <w:lang w:val="bg-BG"/>
        </w:rPr>
      </w:r>
    </w:p>
    <w:p>
      <w:pPr>
        <w:pStyle w:val="Normal"/>
        <w:rPr/>
      </w:pPr>
      <w:r>
        <w:rPr>
          <w:b/>
          <w:sz w:val="24"/>
          <w:szCs w:val="24"/>
          <w:lang w:val="bg-BG"/>
        </w:rPr>
        <w:t>7.3 Оценка на аспектите и определяне на значимите аспекти</w:t>
      </w:r>
    </w:p>
    <w:p>
      <w:pPr>
        <w:pStyle w:val="Normal"/>
        <w:jc w:val="center"/>
        <w:rPr>
          <w:b/>
          <w:bCs/>
          <w:sz w:val="24"/>
          <w:szCs w:val="24"/>
          <w:lang w:val="ru-RU"/>
        </w:rPr>
      </w:pPr>
      <w:r>
        <w:rPr>
          <w:b/>
          <w:bCs/>
          <w:sz w:val="24"/>
          <w:szCs w:val="24"/>
          <w:lang w:val="ru-RU"/>
        </w:rPr>
      </w:r>
    </w:p>
    <w:p>
      <w:pPr>
        <w:pStyle w:val="Normal"/>
        <w:rPr>
          <w:sz w:val="24"/>
          <w:szCs w:val="24"/>
          <w:lang w:val="ru-RU"/>
        </w:rPr>
      </w:pPr>
      <w:r>
        <w:rPr>
          <w:sz w:val="24"/>
          <w:szCs w:val="24"/>
          <w:lang w:val="ru-RU"/>
        </w:rPr>
        <w:t xml:space="preserve">Преди да се определи значимостта на аспектите на околната среда се изготвя списък с аспектите на ОС. След определянето на аспектите се избират критерии за определяне на значимостта на аспектите. Самите критерии за значимост са приоритизирани по важност. На всеки критерии е даден коефициент на тежест (тегло). За всеки критерии за значимост с уточнен коефициент на тежест се предлага оценка от 1 до 3, когато същия се прилага към съответния аспект на околната среда. </w:t>
      </w:r>
    </w:p>
    <w:p>
      <w:pPr>
        <w:pStyle w:val="Normal"/>
        <w:rPr>
          <w:sz w:val="24"/>
          <w:szCs w:val="24"/>
          <w:lang w:val="ru-RU"/>
        </w:rPr>
      </w:pPr>
      <w:r>
        <w:rPr>
          <w:sz w:val="24"/>
          <w:szCs w:val="24"/>
          <w:lang w:val="ru-RU"/>
        </w:rPr>
      </w:r>
    </w:p>
    <w:p>
      <w:pPr>
        <w:pStyle w:val="Normal"/>
        <w:rPr/>
      </w:pPr>
      <w:r>
        <w:rPr>
          <w:sz w:val="24"/>
          <w:szCs w:val="24"/>
          <w:lang w:val="ru-RU"/>
        </w:rPr>
        <w:t>За определените 5 критерии за значимост, със свои коефициент на тежест приложен към аспекта на околната среда, който се оценява, се дава опредена оценка. Всяка от оценките, умножена по съответното тегло на критерия дава резултат, а този резултат се сумира за всеки един от аспектите и се получава общ сбор от оценки спрямо петте критерия. Така оценените аспекти получават един краен резултат за своята значимост на въздействие. Фирмата приема, че значими са онези аспекти, които имат краен резултат над 30, а под него аспектите са несъществени.</w:t>
      </w:r>
    </w:p>
    <w:p>
      <w:pPr>
        <w:pStyle w:val="Normal"/>
        <w:rPr>
          <w:sz w:val="24"/>
          <w:szCs w:val="24"/>
          <w:lang w:val="ru-RU"/>
        </w:rPr>
      </w:pPr>
      <w:r>
        <w:rPr>
          <w:sz w:val="24"/>
          <w:szCs w:val="24"/>
          <w:lang w:val="ru-RU"/>
        </w:rPr>
      </w:r>
    </w:p>
    <w:p>
      <w:pPr>
        <w:pStyle w:val="Normal"/>
        <w:rPr>
          <w:sz w:val="24"/>
          <w:szCs w:val="24"/>
          <w:lang w:val="ru-RU"/>
        </w:rPr>
      </w:pPr>
      <w:r>
        <w:rPr>
          <w:sz w:val="24"/>
          <w:szCs w:val="24"/>
          <w:lang w:val="ru-RU"/>
        </w:rPr>
      </w:r>
    </w:p>
    <w:tbl>
      <w:tblPr>
        <w:tblW w:w="9356" w:type="dxa"/>
        <w:jc w:val="start"/>
        <w:tblInd w:w="250" w:type="dxa"/>
        <w:tblLayout w:type="fixed"/>
        <w:tblCellMar>
          <w:top w:w="0" w:type="dxa"/>
          <w:start w:w="108" w:type="dxa"/>
          <w:bottom w:w="0" w:type="dxa"/>
          <w:end w:w="108" w:type="dxa"/>
        </w:tblCellMar>
      </w:tblPr>
      <w:tblGrid>
        <w:gridCol w:w="2454"/>
        <w:gridCol w:w="2444"/>
        <w:gridCol w:w="4458"/>
      </w:tblGrid>
      <w:tr>
        <w:trPr>
          <w:trHeight w:val="360" w:hRule="atLeast"/>
        </w:trPr>
        <w:tc>
          <w:tcPr>
            <w:tcW w:w="2454" w:type="dxa"/>
            <w:tcBorders>
              <w:top w:val="single" w:sz="4" w:space="0" w:color="000000"/>
              <w:start w:val="single" w:sz="4" w:space="0" w:color="000000"/>
              <w:bottom w:val="single" w:sz="4" w:space="0" w:color="000000"/>
              <w:end w:val="single" w:sz="4" w:space="0" w:color="000000"/>
            </w:tcBorders>
          </w:tcPr>
          <w:p>
            <w:pPr>
              <w:pStyle w:val="Normal"/>
              <w:rPr>
                <w:lang w:val="ru-RU"/>
              </w:rPr>
            </w:pPr>
            <w:r>
              <w:rPr>
                <w:lang w:val="ru-RU"/>
              </w:rPr>
              <w:t xml:space="preserve">Критерии за оценяване на значимостта </w:t>
            </w:r>
          </w:p>
        </w:tc>
        <w:tc>
          <w:tcPr>
            <w:tcW w:w="2444" w:type="dxa"/>
            <w:tcBorders>
              <w:top w:val="single" w:sz="4" w:space="0" w:color="000000"/>
              <w:start w:val="single" w:sz="4" w:space="0" w:color="000000"/>
              <w:bottom w:val="single" w:sz="4" w:space="0" w:color="000000"/>
              <w:end w:val="single" w:sz="4" w:space="0" w:color="000000"/>
            </w:tcBorders>
          </w:tcPr>
          <w:p>
            <w:pPr>
              <w:pStyle w:val="Normal"/>
              <w:rPr>
                <w:lang w:val="ru-RU"/>
              </w:rPr>
            </w:pPr>
            <w:r>
              <w:rPr>
                <w:lang w:val="ru-RU"/>
              </w:rPr>
              <w:t>Коефициент на тежест на критерия</w:t>
            </w:r>
          </w:p>
        </w:tc>
        <w:tc>
          <w:tcPr>
            <w:tcW w:w="4458" w:type="dxa"/>
            <w:tcBorders>
              <w:top w:val="single" w:sz="4" w:space="0" w:color="000000"/>
              <w:start w:val="single" w:sz="4" w:space="0" w:color="000000"/>
              <w:bottom w:val="single" w:sz="4" w:space="0" w:color="000000"/>
              <w:end w:val="single" w:sz="4" w:space="0" w:color="000000"/>
            </w:tcBorders>
          </w:tcPr>
          <w:p>
            <w:pPr>
              <w:pStyle w:val="Normal"/>
              <w:rPr>
                <w:lang w:val="ru-RU"/>
              </w:rPr>
            </w:pPr>
            <w:r>
              <w:rPr>
                <w:lang w:val="ru-RU"/>
              </w:rPr>
              <w:t>Оценка, която да се приложи при оценяването на аспекта</w:t>
            </w:r>
          </w:p>
        </w:tc>
      </w:tr>
      <w:tr>
        <w:trPr>
          <w:trHeight w:val="360" w:hRule="atLeast"/>
        </w:trPr>
        <w:tc>
          <w:tcPr>
            <w:tcW w:w="2454" w:type="dxa"/>
            <w:tcBorders>
              <w:top w:val="single" w:sz="4" w:space="0" w:color="000000"/>
              <w:start w:val="single" w:sz="4" w:space="0" w:color="000000"/>
              <w:bottom w:val="single" w:sz="4" w:space="0" w:color="000000"/>
              <w:end w:val="single" w:sz="4" w:space="0" w:color="000000"/>
            </w:tcBorders>
          </w:tcPr>
          <w:p>
            <w:pPr>
              <w:pStyle w:val="Normal"/>
              <w:rPr>
                <w:lang w:val="ru-RU"/>
              </w:rPr>
            </w:pPr>
            <w:r>
              <w:rPr>
                <w:lang w:val="ru-RU"/>
              </w:rPr>
              <w:t>Риск за здравето на населението</w:t>
            </w:r>
          </w:p>
        </w:tc>
        <w:tc>
          <w:tcPr>
            <w:tcW w:w="2444" w:type="dxa"/>
            <w:tcBorders>
              <w:top w:val="single" w:sz="4" w:space="0" w:color="000000"/>
              <w:start w:val="single" w:sz="4" w:space="0" w:color="000000"/>
              <w:bottom w:val="single" w:sz="4" w:space="0" w:color="000000"/>
              <w:end w:val="single" w:sz="4" w:space="0" w:color="000000"/>
            </w:tcBorders>
          </w:tcPr>
          <w:p>
            <w:pPr>
              <w:pStyle w:val="Normal"/>
              <w:rPr/>
            </w:pPr>
            <w:r>
              <w:rPr/>
              <w:t>5</w:t>
            </w:r>
          </w:p>
        </w:tc>
        <w:tc>
          <w:tcPr>
            <w:tcW w:w="4458" w:type="dxa"/>
            <w:tcBorders>
              <w:top w:val="single" w:sz="4" w:space="0" w:color="000000"/>
              <w:start w:val="single" w:sz="4" w:space="0" w:color="000000"/>
              <w:bottom w:val="single" w:sz="4" w:space="0" w:color="000000"/>
              <w:end w:val="single" w:sz="4" w:space="0" w:color="000000"/>
            </w:tcBorders>
          </w:tcPr>
          <w:p>
            <w:pPr>
              <w:pStyle w:val="Normal"/>
              <w:rPr/>
            </w:pPr>
            <w:r>
              <w:rPr/>
              <w:t>1-нисък, 2-среден, 3-висок</w:t>
            </w:r>
          </w:p>
        </w:tc>
      </w:tr>
      <w:tr>
        <w:trPr>
          <w:trHeight w:val="240" w:hRule="atLeast"/>
        </w:trPr>
        <w:tc>
          <w:tcPr>
            <w:tcW w:w="2454" w:type="dxa"/>
            <w:tcBorders>
              <w:top w:val="single" w:sz="4" w:space="0" w:color="000000"/>
              <w:start w:val="single" w:sz="4" w:space="0" w:color="000000"/>
              <w:bottom w:val="single" w:sz="4" w:space="0" w:color="000000"/>
              <w:end w:val="single" w:sz="4" w:space="0" w:color="000000"/>
            </w:tcBorders>
          </w:tcPr>
          <w:p>
            <w:pPr>
              <w:pStyle w:val="Normal"/>
              <w:rPr/>
            </w:pPr>
            <w:r>
              <w:rPr/>
              <w:t>Сила на въздействието</w:t>
            </w:r>
          </w:p>
        </w:tc>
        <w:tc>
          <w:tcPr>
            <w:tcW w:w="2444" w:type="dxa"/>
            <w:tcBorders>
              <w:top w:val="single" w:sz="4" w:space="0" w:color="000000"/>
              <w:start w:val="single" w:sz="4" w:space="0" w:color="000000"/>
              <w:bottom w:val="single" w:sz="4" w:space="0" w:color="000000"/>
              <w:end w:val="single" w:sz="4" w:space="0" w:color="000000"/>
            </w:tcBorders>
          </w:tcPr>
          <w:p>
            <w:pPr>
              <w:pStyle w:val="Normal"/>
              <w:rPr/>
            </w:pPr>
            <w:r>
              <w:rPr/>
              <w:t>4</w:t>
            </w:r>
          </w:p>
        </w:tc>
        <w:tc>
          <w:tcPr>
            <w:tcW w:w="4458" w:type="dxa"/>
            <w:tcBorders>
              <w:top w:val="single" w:sz="4" w:space="0" w:color="000000"/>
              <w:start w:val="single" w:sz="4" w:space="0" w:color="000000"/>
              <w:bottom w:val="single" w:sz="4" w:space="0" w:color="000000"/>
              <w:end w:val="single" w:sz="4" w:space="0" w:color="000000"/>
            </w:tcBorders>
          </w:tcPr>
          <w:p>
            <w:pPr>
              <w:pStyle w:val="Normal"/>
              <w:rPr/>
            </w:pPr>
            <w:r>
              <w:rPr/>
              <w:t>1 – ниска, 2 – средна, 3- висока</w:t>
            </w:r>
          </w:p>
        </w:tc>
      </w:tr>
      <w:tr>
        <w:trPr>
          <w:trHeight w:val="360" w:hRule="atLeast"/>
        </w:trPr>
        <w:tc>
          <w:tcPr>
            <w:tcW w:w="2454" w:type="dxa"/>
            <w:tcBorders>
              <w:top w:val="single" w:sz="4" w:space="0" w:color="000000"/>
              <w:start w:val="single" w:sz="4" w:space="0" w:color="000000"/>
              <w:bottom w:val="single" w:sz="4" w:space="0" w:color="000000"/>
              <w:end w:val="single" w:sz="4" w:space="0" w:color="000000"/>
            </w:tcBorders>
          </w:tcPr>
          <w:p>
            <w:pPr>
              <w:pStyle w:val="Normal"/>
              <w:rPr>
                <w:lang w:val="ru-RU"/>
              </w:rPr>
            </w:pPr>
            <w:r>
              <w:rPr>
                <w:lang w:val="ru-RU"/>
              </w:rPr>
              <w:t>Степен на риск за околната среда</w:t>
            </w:r>
          </w:p>
        </w:tc>
        <w:tc>
          <w:tcPr>
            <w:tcW w:w="2444" w:type="dxa"/>
            <w:tcBorders>
              <w:top w:val="single" w:sz="4" w:space="0" w:color="000000"/>
              <w:start w:val="single" w:sz="4" w:space="0" w:color="000000"/>
              <w:bottom w:val="single" w:sz="4" w:space="0" w:color="000000"/>
              <w:end w:val="single" w:sz="4" w:space="0" w:color="000000"/>
            </w:tcBorders>
          </w:tcPr>
          <w:p>
            <w:pPr>
              <w:pStyle w:val="Normal"/>
              <w:rPr/>
            </w:pPr>
            <w:r>
              <w:rPr/>
              <w:t>4</w:t>
            </w:r>
          </w:p>
        </w:tc>
        <w:tc>
          <w:tcPr>
            <w:tcW w:w="4458" w:type="dxa"/>
            <w:tcBorders>
              <w:top w:val="single" w:sz="4" w:space="0" w:color="000000"/>
              <w:start w:val="single" w:sz="4" w:space="0" w:color="000000"/>
              <w:bottom w:val="single" w:sz="4" w:space="0" w:color="000000"/>
              <w:end w:val="single" w:sz="4" w:space="0" w:color="000000"/>
            </w:tcBorders>
          </w:tcPr>
          <w:p>
            <w:pPr>
              <w:pStyle w:val="Normal"/>
              <w:rPr/>
            </w:pPr>
            <w:r>
              <w:rPr/>
              <w:t>1-ниска, 2-средна, 3- висока</w:t>
            </w:r>
          </w:p>
        </w:tc>
      </w:tr>
      <w:tr>
        <w:trPr>
          <w:trHeight w:val="420" w:hRule="atLeast"/>
        </w:trPr>
        <w:tc>
          <w:tcPr>
            <w:tcW w:w="2454" w:type="dxa"/>
            <w:tcBorders>
              <w:top w:val="single" w:sz="4" w:space="0" w:color="000000"/>
              <w:start w:val="single" w:sz="4" w:space="0" w:color="000000"/>
              <w:bottom w:val="single" w:sz="4" w:space="0" w:color="000000"/>
              <w:end w:val="single" w:sz="4" w:space="0" w:color="000000"/>
            </w:tcBorders>
          </w:tcPr>
          <w:p>
            <w:pPr>
              <w:pStyle w:val="Normal"/>
              <w:rPr>
                <w:lang w:val="ru-RU"/>
              </w:rPr>
            </w:pPr>
            <w:r>
              <w:rPr>
                <w:lang w:val="ru-RU"/>
              </w:rPr>
              <w:t>Степен на разпространение на аспекта</w:t>
            </w:r>
          </w:p>
        </w:tc>
        <w:tc>
          <w:tcPr>
            <w:tcW w:w="2444" w:type="dxa"/>
            <w:tcBorders>
              <w:top w:val="single" w:sz="4" w:space="0" w:color="000000"/>
              <w:start w:val="single" w:sz="4" w:space="0" w:color="000000"/>
              <w:bottom w:val="single" w:sz="4" w:space="0" w:color="000000"/>
              <w:end w:val="single" w:sz="4" w:space="0" w:color="000000"/>
            </w:tcBorders>
          </w:tcPr>
          <w:p>
            <w:pPr>
              <w:pStyle w:val="Normal"/>
              <w:rPr/>
            </w:pPr>
            <w:r>
              <w:rPr/>
              <w:t>3</w:t>
            </w:r>
          </w:p>
        </w:tc>
        <w:tc>
          <w:tcPr>
            <w:tcW w:w="4458" w:type="dxa"/>
            <w:tcBorders>
              <w:top w:val="single" w:sz="4" w:space="0" w:color="000000"/>
              <w:start w:val="single" w:sz="4" w:space="0" w:color="000000"/>
              <w:bottom w:val="single" w:sz="4" w:space="0" w:color="000000"/>
              <w:end w:val="single" w:sz="4" w:space="0" w:color="000000"/>
            </w:tcBorders>
          </w:tcPr>
          <w:p>
            <w:pPr>
              <w:pStyle w:val="Normal"/>
              <w:rPr>
                <w:lang w:val="ru-RU"/>
              </w:rPr>
            </w:pPr>
            <w:r>
              <w:rPr>
                <w:lang w:val="ru-RU"/>
              </w:rPr>
              <w:t>1 – в рамките на място и региона, 2- рамките на региона и страната, 3 – транснационално</w:t>
            </w:r>
          </w:p>
        </w:tc>
      </w:tr>
      <w:tr>
        <w:trPr>
          <w:trHeight w:val="630" w:hRule="atLeast"/>
        </w:trPr>
        <w:tc>
          <w:tcPr>
            <w:tcW w:w="2454" w:type="dxa"/>
            <w:tcBorders>
              <w:top w:val="single" w:sz="4" w:space="0" w:color="000000"/>
              <w:start w:val="single" w:sz="4" w:space="0" w:color="000000"/>
              <w:bottom w:val="single" w:sz="4" w:space="0" w:color="000000"/>
              <w:end w:val="single" w:sz="4" w:space="0" w:color="000000"/>
            </w:tcBorders>
          </w:tcPr>
          <w:p>
            <w:pPr>
              <w:pStyle w:val="Normal"/>
              <w:rPr>
                <w:lang w:val="ru-RU"/>
              </w:rPr>
            </w:pPr>
            <w:r>
              <w:rPr>
                <w:lang w:val="ru-RU"/>
              </w:rPr>
              <w:t>Потенциална честота на поява на въздействието</w:t>
            </w:r>
          </w:p>
        </w:tc>
        <w:tc>
          <w:tcPr>
            <w:tcW w:w="2444" w:type="dxa"/>
            <w:tcBorders>
              <w:top w:val="single" w:sz="4" w:space="0" w:color="000000"/>
              <w:start w:val="single" w:sz="4" w:space="0" w:color="000000"/>
              <w:bottom w:val="single" w:sz="4" w:space="0" w:color="000000"/>
              <w:end w:val="single" w:sz="4" w:space="0" w:color="000000"/>
            </w:tcBorders>
          </w:tcPr>
          <w:p>
            <w:pPr>
              <w:pStyle w:val="Normal"/>
              <w:rPr/>
            </w:pPr>
            <w:r>
              <w:rPr/>
              <w:t>2</w:t>
            </w:r>
          </w:p>
        </w:tc>
        <w:tc>
          <w:tcPr>
            <w:tcW w:w="4458" w:type="dxa"/>
            <w:tcBorders>
              <w:top w:val="single" w:sz="4" w:space="0" w:color="000000"/>
              <w:start w:val="single" w:sz="4" w:space="0" w:color="000000"/>
              <w:bottom w:val="single" w:sz="4" w:space="0" w:color="000000"/>
              <w:end w:val="single" w:sz="4" w:space="0" w:color="000000"/>
            </w:tcBorders>
          </w:tcPr>
          <w:p>
            <w:pPr>
              <w:pStyle w:val="Normal"/>
              <w:rPr/>
            </w:pPr>
            <w:r>
              <w:rPr/>
              <w:t>1 –р</w:t>
            </w:r>
            <w:r>
              <w:rPr>
                <w:lang w:val="bg-BG"/>
              </w:rPr>
              <w:t>е</w:t>
            </w:r>
            <w:r>
              <w:rPr/>
              <w:t>дк</w:t>
            </w:r>
            <w:r>
              <w:rPr>
                <w:lang w:val="bg-BG"/>
              </w:rPr>
              <w:t>о</w:t>
            </w:r>
            <w:r>
              <w:rPr/>
              <w:t>, 2 – средн</w:t>
            </w:r>
            <w:r>
              <w:rPr>
                <w:lang w:val="bg-BG"/>
              </w:rPr>
              <w:t>о</w:t>
            </w:r>
            <w:r>
              <w:rPr/>
              <w:t>, 3 чест</w:t>
            </w:r>
            <w:r>
              <w:rPr>
                <w:lang w:val="bg-BG"/>
              </w:rPr>
              <w:t>о</w:t>
            </w:r>
            <w:r>
              <w:rPr/>
              <w:t xml:space="preserve">; </w:t>
            </w:r>
          </w:p>
          <w:p>
            <w:pPr>
              <w:pStyle w:val="Normal"/>
              <w:rPr/>
            </w:pPr>
            <w:r>
              <w:rPr/>
            </w:r>
          </w:p>
        </w:tc>
      </w:tr>
    </w:tbl>
    <w:p>
      <w:pPr>
        <w:pStyle w:val="Normal"/>
        <w:rPr/>
      </w:pPr>
      <w:r>
        <w:rPr/>
      </w:r>
    </w:p>
    <w:p>
      <w:pPr>
        <w:pStyle w:val="Normal"/>
        <w:widowControl/>
        <w:jc w:val="both"/>
        <w:rPr>
          <w:sz w:val="24"/>
          <w:szCs w:val="24"/>
          <w:lang w:val="bg-BG"/>
        </w:rPr>
      </w:pPr>
      <w:r>
        <w:rPr>
          <w:sz w:val="24"/>
          <w:szCs w:val="24"/>
          <w:lang w:val="bg-BG"/>
        </w:rPr>
        <w:t>Аспектите, определени като “значими” се вземат предвид при определянето на общите и конкретни цели на фирмата по управление на околната среда. Същите се включват в „Съществени аспекти" (</w:t>
      </w:r>
      <w:r>
        <w:rPr>
          <w:sz w:val="24"/>
          <w:szCs w:val="24"/>
          <w:lang w:val="en-US"/>
        </w:rPr>
        <w:t>OD</w:t>
      </w:r>
      <w:r>
        <w:rPr>
          <w:sz w:val="24"/>
          <w:szCs w:val="24"/>
          <w:lang w:val="bg-BG"/>
        </w:rPr>
        <w:t xml:space="preserve"> 06.01.00-</w:t>
      </w:r>
      <w:r>
        <w:rPr>
          <w:sz w:val="24"/>
          <w:szCs w:val="24"/>
          <w:lang w:val="ru-RU"/>
        </w:rPr>
        <w:t>2</w:t>
      </w:r>
      <w:r>
        <w:rPr>
          <w:sz w:val="24"/>
          <w:szCs w:val="24"/>
          <w:lang w:val="bg-BG"/>
        </w:rPr>
        <w:t xml:space="preserve">). По този списък се определя кои  от аспектите се управляват от фирмата, съобразно политиката, общите и конкретни цели. </w:t>
      </w:r>
    </w:p>
    <w:p>
      <w:pPr>
        <w:pStyle w:val="Normal"/>
        <w:widowControl/>
        <w:jc w:val="both"/>
        <w:rPr>
          <w:bCs/>
          <w:sz w:val="24"/>
          <w:szCs w:val="24"/>
          <w:lang w:val="bg-BG"/>
        </w:rPr>
      </w:pPr>
      <w:r>
        <w:rPr>
          <w:sz w:val="24"/>
          <w:szCs w:val="24"/>
          <w:lang w:val="bg-BG"/>
        </w:rPr>
        <w:t xml:space="preserve">За постигане на целите по ОС и подобрение на дейностите се разработват конкретни програми - </w:t>
      </w:r>
      <w:r>
        <w:rPr>
          <w:color w:val="000000"/>
          <w:sz w:val="24"/>
          <w:szCs w:val="24"/>
          <w:lang w:val="en-US"/>
        </w:rPr>
        <w:t>OD</w:t>
      </w:r>
      <w:r>
        <w:rPr>
          <w:color w:val="000000"/>
          <w:sz w:val="24"/>
          <w:szCs w:val="24"/>
          <w:lang w:val="bg-BG"/>
        </w:rPr>
        <w:t xml:space="preserve"> 06.01.00-</w:t>
      </w:r>
      <w:r>
        <w:rPr>
          <w:color w:val="000000"/>
          <w:sz w:val="24"/>
          <w:szCs w:val="24"/>
          <w:lang w:val="ru-RU"/>
        </w:rPr>
        <w:t>3</w:t>
      </w:r>
      <w:r>
        <w:rPr>
          <w:bCs/>
          <w:sz w:val="24"/>
          <w:szCs w:val="24"/>
          <w:lang w:val="bg-BG"/>
        </w:rPr>
        <w:t xml:space="preserve"> „Съществени аспекти</w:t>
      </w:r>
      <w:r>
        <w:rPr>
          <w:bCs/>
          <w:sz w:val="24"/>
          <w:szCs w:val="24"/>
          <w:lang w:val="ru-RU"/>
        </w:rPr>
        <w:t xml:space="preserve"> – </w:t>
      </w:r>
      <w:r>
        <w:rPr>
          <w:bCs/>
          <w:sz w:val="24"/>
          <w:szCs w:val="24"/>
          <w:lang w:val="bg-BG"/>
        </w:rPr>
        <w:t>програма за подобрение".</w:t>
      </w:r>
    </w:p>
    <w:p>
      <w:pPr>
        <w:pStyle w:val="Normal"/>
        <w:widowControl/>
        <w:jc w:val="both"/>
        <w:rPr>
          <w:bCs/>
          <w:sz w:val="24"/>
          <w:szCs w:val="24"/>
          <w:lang w:val="bg-BG"/>
        </w:rPr>
      </w:pPr>
      <w:r>
        <w:rPr>
          <w:bCs/>
          <w:sz w:val="24"/>
          <w:szCs w:val="24"/>
          <w:lang w:val="bg-BG"/>
        </w:rPr>
      </w:r>
    </w:p>
    <w:p>
      <w:pPr>
        <w:pStyle w:val="BodyText"/>
        <w:tabs>
          <w:tab w:val="clear" w:pos="720"/>
          <w:tab w:val="left" w:pos="-720" w:leader="none"/>
        </w:tabs>
        <w:rPr>
          <w:szCs w:val="24"/>
        </w:rPr>
      </w:pPr>
      <w:r>
        <w:rPr>
          <w:szCs w:val="24"/>
        </w:rPr>
        <w:t>Актуализацията на списъците се извършва в случай, че са настъпили изменения на правни и други доброволно приети изисквания, промяна на процеси, поява на нови дейности или продукти, или възникване на нови взаимодействия на съществуващи дейности и/или условията на производство.</w:t>
      </w:r>
    </w:p>
    <w:p>
      <w:pPr>
        <w:pStyle w:val="BodyText"/>
        <w:rPr>
          <w:szCs w:val="24"/>
        </w:rPr>
      </w:pPr>
      <w:r>
        <w:rPr>
          <w:szCs w:val="24"/>
        </w:rPr>
      </w:r>
    </w:p>
    <w:p>
      <w:pPr>
        <w:pStyle w:val="Normal"/>
        <w:jc w:val="both"/>
        <w:rPr>
          <w:sz w:val="24"/>
          <w:szCs w:val="24"/>
          <w:lang w:val="ru-RU"/>
        </w:rPr>
      </w:pPr>
      <w:r>
        <w:rPr>
          <w:sz w:val="24"/>
          <w:szCs w:val="24"/>
          <w:lang w:val="ru-RU"/>
        </w:rPr>
        <w:t>Резултатите от идентифицирането на аспектите и влиянията им върху околната среда са  важна информация при провеждането на прегледа от ръководството. На този преглед се определя необходимостта от актуализиране на оценките в зависимост от настъпили промените и внедряване на нови продукти и процеси.</w:t>
      </w:r>
    </w:p>
    <w:p>
      <w:pPr>
        <w:pStyle w:val="Normal"/>
        <w:jc w:val="both"/>
        <w:rPr>
          <w:sz w:val="24"/>
          <w:szCs w:val="24"/>
          <w:lang w:val="ru-RU"/>
        </w:rPr>
      </w:pPr>
      <w:r>
        <w:rPr>
          <w:sz w:val="24"/>
          <w:szCs w:val="24"/>
          <w:lang w:val="ru-RU"/>
        </w:rPr>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t>8. СЪПЪТСТВАЩИ ДОКУМЕНТИ</w:t>
      </w:r>
    </w:p>
    <w:p>
      <w:pPr>
        <w:pStyle w:val="Normal"/>
        <w:widowControl/>
        <w:jc w:val="both"/>
        <w:rPr>
          <w:b/>
          <w:sz w:val="24"/>
          <w:szCs w:val="24"/>
          <w:lang w:val="bg-BG"/>
        </w:rPr>
      </w:pPr>
      <w:r>
        <w:rPr>
          <w:b/>
          <w:sz w:val="24"/>
          <w:szCs w:val="24"/>
          <w:lang w:val="bg-BG"/>
        </w:rPr>
      </w:r>
    </w:p>
    <w:p>
      <w:pPr>
        <w:pStyle w:val="Normal"/>
        <w:widowControl/>
        <w:numPr>
          <w:ilvl w:val="0"/>
          <w:numId w:val="8"/>
        </w:numPr>
        <w:jc w:val="both"/>
        <w:rPr>
          <w:bCs/>
          <w:sz w:val="24"/>
          <w:szCs w:val="24"/>
          <w:lang w:val="bg-BG"/>
        </w:rPr>
      </w:pPr>
      <w:r>
        <w:rPr>
          <w:color w:val="000000"/>
          <w:sz w:val="24"/>
          <w:szCs w:val="24"/>
          <w:lang w:val="en-US"/>
        </w:rPr>
        <w:t>OD</w:t>
      </w:r>
      <w:r>
        <w:rPr>
          <w:color w:val="000000"/>
          <w:sz w:val="24"/>
          <w:szCs w:val="24"/>
          <w:lang w:val="bg-BG"/>
        </w:rPr>
        <w:t xml:space="preserve"> 06.01.00-</w:t>
      </w:r>
      <w:r>
        <w:rPr>
          <w:color w:val="000000"/>
          <w:sz w:val="24"/>
          <w:szCs w:val="24"/>
          <w:lang w:val="en-US"/>
        </w:rPr>
        <w:t>1</w:t>
      </w:r>
      <w:r>
        <w:rPr>
          <w:bCs/>
          <w:sz w:val="24"/>
          <w:szCs w:val="24"/>
          <w:lang w:val="bg-BG"/>
        </w:rPr>
        <w:t xml:space="preserve"> „Оценяване на аспектите"</w:t>
      </w:r>
    </w:p>
    <w:p>
      <w:pPr>
        <w:pStyle w:val="Normal"/>
        <w:widowControl/>
        <w:numPr>
          <w:ilvl w:val="0"/>
          <w:numId w:val="8"/>
        </w:numPr>
        <w:jc w:val="both"/>
        <w:rPr>
          <w:bCs/>
          <w:sz w:val="24"/>
          <w:szCs w:val="24"/>
          <w:lang w:val="bg-BG"/>
        </w:rPr>
      </w:pPr>
      <w:r>
        <w:rPr>
          <w:color w:val="000000"/>
          <w:sz w:val="24"/>
          <w:szCs w:val="24"/>
          <w:lang w:val="en-US"/>
        </w:rPr>
        <w:t>OD</w:t>
      </w:r>
      <w:r>
        <w:rPr>
          <w:color w:val="000000"/>
          <w:sz w:val="24"/>
          <w:szCs w:val="24"/>
          <w:lang w:val="bg-BG"/>
        </w:rPr>
        <w:t xml:space="preserve"> 06.01.00-</w:t>
      </w:r>
      <w:r>
        <w:rPr>
          <w:color w:val="000000"/>
          <w:sz w:val="24"/>
          <w:szCs w:val="24"/>
          <w:lang w:val="ru-RU"/>
        </w:rPr>
        <w:t>2</w:t>
      </w:r>
      <w:r>
        <w:rPr>
          <w:bCs/>
          <w:sz w:val="24"/>
          <w:szCs w:val="24"/>
          <w:lang w:val="bg-BG"/>
        </w:rPr>
        <w:t xml:space="preserve"> „Съществени аспекти"</w:t>
      </w:r>
    </w:p>
    <w:p>
      <w:pPr>
        <w:pStyle w:val="Normal"/>
        <w:widowControl/>
        <w:numPr>
          <w:ilvl w:val="0"/>
          <w:numId w:val="8"/>
        </w:numPr>
        <w:jc w:val="both"/>
        <w:rPr>
          <w:bCs/>
          <w:sz w:val="24"/>
          <w:szCs w:val="24"/>
          <w:lang w:val="bg-BG"/>
        </w:rPr>
      </w:pPr>
      <w:r>
        <w:rPr>
          <w:color w:val="000000"/>
          <w:sz w:val="24"/>
          <w:szCs w:val="24"/>
          <w:lang w:val="en-US"/>
        </w:rPr>
        <w:t>OD</w:t>
      </w:r>
      <w:r>
        <w:rPr>
          <w:color w:val="000000"/>
          <w:sz w:val="24"/>
          <w:szCs w:val="24"/>
          <w:lang w:val="bg-BG"/>
        </w:rPr>
        <w:t xml:space="preserve"> 06.01.00-</w:t>
      </w:r>
      <w:r>
        <w:rPr>
          <w:color w:val="000000"/>
          <w:sz w:val="24"/>
          <w:szCs w:val="24"/>
          <w:lang w:val="ru-RU"/>
        </w:rPr>
        <w:t>3</w:t>
      </w:r>
      <w:r>
        <w:rPr>
          <w:bCs/>
          <w:sz w:val="24"/>
          <w:szCs w:val="24"/>
          <w:lang w:val="bg-BG"/>
        </w:rPr>
        <w:t xml:space="preserve"> „Съществени аспекти</w:t>
      </w:r>
      <w:r>
        <w:rPr>
          <w:bCs/>
          <w:sz w:val="24"/>
          <w:szCs w:val="24"/>
          <w:lang w:val="ru-RU"/>
        </w:rPr>
        <w:t xml:space="preserve"> – </w:t>
      </w:r>
      <w:r>
        <w:rPr>
          <w:bCs/>
          <w:sz w:val="24"/>
          <w:szCs w:val="24"/>
          <w:lang w:val="bg-BG"/>
        </w:rPr>
        <w:t>програма за подобрение"</w:t>
      </w:r>
    </w:p>
    <w:p>
      <w:pPr>
        <w:pStyle w:val="Normal"/>
        <w:widowControl/>
        <w:jc w:val="both"/>
        <w:rPr>
          <w:b/>
          <w:bCs/>
          <w:sz w:val="24"/>
          <w:szCs w:val="24"/>
          <w:lang w:val="bg-BG"/>
        </w:rPr>
      </w:pPr>
      <w:r>
        <w:rPr>
          <w:b/>
          <w:bCs/>
          <w:sz w:val="24"/>
          <w:szCs w:val="24"/>
          <w:lang w:val="bg-BG"/>
        </w:rPr>
      </w:r>
    </w:p>
    <w:p>
      <w:pPr>
        <w:pStyle w:val="Normal"/>
        <w:widowControl/>
        <w:jc w:val="both"/>
        <w:rPr>
          <w:b/>
          <w:sz w:val="24"/>
          <w:szCs w:val="24"/>
          <w:lang w:val="bg-BG"/>
        </w:rPr>
      </w:pPr>
      <w:r>
        <w:rPr>
          <w:b/>
          <w:sz w:val="24"/>
          <w:szCs w:val="24"/>
          <w:lang w:val="bg-BG"/>
        </w:rPr>
      </w:r>
    </w:p>
    <w:sectPr>
      <w:headerReference w:type="default" r:id="rId2"/>
      <w:headerReference w:type="first" r:id="rId3"/>
      <w:type w:val="nextPage"/>
      <w:pgSz w:w="11906" w:h="16838"/>
      <w:pgMar w:left="1418" w:right="708" w:gutter="0" w:header="567" w:top="851" w:footer="0"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Liberation Sans">
    <w:altName w:val="Arial"/>
    <w:charset w:val="cc" w:characterSet="windows-1251"/>
    <w:family w:val="swiss"/>
    <w:pitch w:val="variable"/>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31" w:type="dxa"/>
      <w:jc w:val="start"/>
      <w:tblInd w:w="0" w:type="dxa"/>
      <w:tblLayout w:type="fixed"/>
      <w:tblCellMar>
        <w:top w:w="0" w:type="dxa"/>
        <w:start w:w="108" w:type="dxa"/>
        <w:bottom w:w="0" w:type="dxa"/>
        <w:end w:w="108" w:type="dxa"/>
      </w:tblCellMar>
    </w:tblPr>
    <w:tblGrid>
      <w:gridCol w:w="7905"/>
      <w:gridCol w:w="1134"/>
      <w:gridCol w:w="992"/>
    </w:tblGrid>
    <w:tr>
      <w:trPr>
        <w:cantSplit/>
      </w:trPr>
      <w:tc>
        <w:tcPr>
          <w:tcW w:w="7905" w:type="dxa"/>
          <w:tcBorders>
            <w:top w:val="single" w:sz="12" w:space="0" w:color="000000"/>
            <w:start w:val="single" w:sz="12" w:space="0" w:color="000000"/>
            <w:bottom w:val="single" w:sz="6" w:space="0" w:color="000000"/>
            <w:end w:val="single" w:sz="12" w:space="0" w:color="000000"/>
          </w:tcBorders>
        </w:tcPr>
        <w:p>
          <w:pPr>
            <w:pStyle w:val="Header"/>
            <w:widowControl/>
            <w:rPr>
              <w:lang w:val="bg-BG"/>
            </w:rPr>
          </w:pPr>
          <w:r>
            <w:rPr>
              <w:b/>
              <w:lang w:val="en-US"/>
            </w:rPr>
            <w:t>POS</w:t>
          </w:r>
          <w:r>
            <w:rPr>
              <w:b/>
              <w:lang w:val="ru-RU"/>
            </w:rPr>
            <w:t xml:space="preserve"> 06</w:t>
          </w:r>
          <w:r>
            <w:rPr>
              <w:b/>
              <w:lang w:val="bg-BG"/>
            </w:rPr>
            <w:t>.01.00</w:t>
          </w:r>
        </w:p>
      </w:tc>
      <w:tc>
        <w:tcPr>
          <w:tcW w:w="1134" w:type="dxa"/>
          <w:tcBorders>
            <w:top w:val="single" w:sz="12" w:space="0" w:color="000000"/>
            <w:bottom w:val="single" w:sz="6" w:space="0" w:color="000000"/>
            <w:end w:val="single" w:sz="6" w:space="0" w:color="000000"/>
          </w:tcBorders>
        </w:tcPr>
        <w:p>
          <w:pPr>
            <w:pStyle w:val="Header"/>
            <w:widowControl/>
            <w:rPr>
              <w:lang w:val="bg-BG"/>
            </w:rPr>
          </w:pPr>
          <w:r>
            <w:rPr>
              <w:lang w:val="ru-RU"/>
            </w:rPr>
            <w:t>Версия</w:t>
          </w:r>
        </w:p>
      </w:tc>
      <w:tc>
        <w:tcPr>
          <w:tcW w:w="992" w:type="dxa"/>
          <w:tcBorders>
            <w:top w:val="single" w:sz="12" w:space="0" w:color="000000"/>
            <w:start w:val="single" w:sz="6" w:space="0" w:color="000000"/>
            <w:bottom w:val="single" w:sz="6" w:space="0" w:color="000000"/>
            <w:end w:val="single" w:sz="12" w:space="0" w:color="000000"/>
          </w:tcBorders>
        </w:tcPr>
        <w:p>
          <w:pPr>
            <w:pStyle w:val="Header"/>
            <w:widowControl/>
            <w:jc w:val="center"/>
            <w:rPr>
              <w:lang w:val="bg-BG"/>
            </w:rPr>
          </w:pPr>
          <w:r>
            <w:rPr>
              <w:lang w:val="bg-BG"/>
            </w:rPr>
            <w:t>01</w:t>
          </w:r>
        </w:p>
      </w:tc>
    </w:tr>
    <w:tr>
      <w:trPr>
        <w:cantSplit/>
      </w:trPr>
      <w:tc>
        <w:tcPr>
          <w:tcW w:w="7905" w:type="dxa"/>
          <w:tcBorders>
            <w:top w:val="single" w:sz="6" w:space="0" w:color="000000"/>
            <w:start w:val="single" w:sz="12" w:space="0" w:color="000000"/>
            <w:bottom w:val="single" w:sz="12" w:space="0" w:color="000000"/>
            <w:end w:val="single" w:sz="12" w:space="0" w:color="000000"/>
          </w:tcBorders>
        </w:tcPr>
        <w:p>
          <w:pPr>
            <w:pStyle w:val="Header"/>
            <w:widowControl/>
            <w:rPr>
              <w:lang w:val="bg-BG"/>
            </w:rPr>
          </w:pPr>
          <w:r>
            <w:rPr>
              <w:lang w:val="en-US"/>
            </w:rPr>
            <w:t>ISO</w:t>
          </w:r>
          <w:r>
            <w:rPr>
              <w:lang w:val="bg-BG"/>
            </w:rPr>
            <w:t xml:space="preserve"> 14001:2015</w:t>
          </w:r>
        </w:p>
      </w:tc>
      <w:tc>
        <w:tcPr>
          <w:tcW w:w="1134" w:type="dxa"/>
          <w:tcBorders>
            <w:top w:val="single" w:sz="6" w:space="0" w:color="000000"/>
            <w:bottom w:val="single" w:sz="12" w:space="0" w:color="000000"/>
            <w:end w:val="single" w:sz="6" w:space="0" w:color="000000"/>
          </w:tcBorders>
        </w:tcPr>
        <w:p>
          <w:pPr>
            <w:pStyle w:val="Header"/>
            <w:widowControl/>
            <w:rPr>
              <w:lang w:val="bg-BG"/>
            </w:rPr>
          </w:pPr>
          <w:r>
            <w:rPr>
              <w:lang w:val="bg-BG"/>
            </w:rPr>
            <w:t>Стр.</w:t>
          </w:r>
        </w:p>
      </w:tc>
      <w:tc>
        <w:tcPr>
          <w:tcW w:w="992" w:type="dxa"/>
          <w:tcBorders>
            <w:top w:val="single" w:sz="6" w:space="0" w:color="000000"/>
            <w:start w:val="single" w:sz="6" w:space="0" w:color="000000"/>
            <w:bottom w:val="single" w:sz="12" w:space="0" w:color="000000"/>
            <w:end w:val="single" w:sz="12" w:space="0" w:color="000000"/>
          </w:tcBorders>
        </w:tcPr>
        <w:p>
          <w:pPr>
            <w:pStyle w:val="Header"/>
            <w:widowControl/>
            <w:jc w:val="center"/>
            <w:rPr>
              <w:lang w:val="bg-BG"/>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r>
            <w:rPr>
              <w:lang w:val="bg-BG"/>
            </w:rPr>
            <w:t>/</w:t>
          </w:r>
          <w:r>
            <w:rPr>
              <w:lang w:val="en-US"/>
            </w:rPr>
            <w:t>4</w:t>
          </w:r>
        </w:p>
      </w:tc>
    </w:tr>
    <w:tr>
      <w:trPr>
        <w:cantSplit/>
      </w:trPr>
      <w:tc>
        <w:tcPr>
          <w:tcW w:w="10031" w:type="dxa"/>
          <w:gridSpan w:val="3"/>
          <w:tcBorders>
            <w:top w:val="single" w:sz="12" w:space="0" w:color="000000"/>
            <w:start w:val="single" w:sz="12" w:space="0" w:color="000000"/>
            <w:bottom w:val="single" w:sz="12" w:space="0" w:color="000000"/>
            <w:end w:val="single" w:sz="12" w:space="0" w:color="000000"/>
          </w:tcBorders>
        </w:tcPr>
        <w:p>
          <w:pPr>
            <w:pStyle w:val="Header"/>
            <w:widowControl/>
            <w:jc w:val="center"/>
            <w:rPr>
              <w:b/>
              <w:lang w:val="bg-BG"/>
            </w:rPr>
          </w:pPr>
          <w:r>
            <w:rPr>
              <w:b/>
              <w:lang w:val="bg-BG"/>
            </w:rPr>
            <w:t>АСПЕКТИ НА ОКОЛНАТА СРЕДА</w:t>
          </w:r>
        </w:p>
      </w:tc>
    </w:tr>
  </w:tbl>
  <w:p>
    <w:pPr>
      <w:pStyle w:val="Header"/>
      <w:rPr>
        <w:lang w:val="ru-RU"/>
      </w:rPr>
    </w:pPr>
    <w:r>
      <w:rPr>
        <w:lang w:val="ru-RU"/>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2" w:type="dxa"/>
      <w:jc w:val="start"/>
      <w:tblInd w:w="-34" w:type="dxa"/>
      <w:tblLayout w:type="fixed"/>
      <w:tblCellMar>
        <w:top w:w="0" w:type="dxa"/>
        <w:start w:w="108" w:type="dxa"/>
        <w:bottom w:w="0" w:type="dxa"/>
        <w:end w:w="108" w:type="dxa"/>
      </w:tblCellMar>
    </w:tblPr>
    <w:tblGrid>
      <w:gridCol w:w="3119"/>
      <w:gridCol w:w="4403"/>
      <w:gridCol w:w="1260"/>
      <w:gridCol w:w="1260"/>
    </w:tblGrid>
    <w:tr>
      <w:trPr>
        <w:cantSplit/>
      </w:trPr>
      <w:tc>
        <w:tcPr>
          <w:tcW w:w="3119" w:type="dxa"/>
          <w:vMerge w:val="restart"/>
          <w:tcBorders>
            <w:top w:val="single" w:sz="12" w:space="0" w:color="000000"/>
            <w:start w:val="single" w:sz="12" w:space="0" w:color="000000"/>
            <w:end w:val="single" w:sz="12" w:space="0" w:color="000000"/>
          </w:tcBorders>
          <w:vAlign w:val="center"/>
        </w:tcPr>
        <w:p>
          <w:pPr>
            <w:pStyle w:val="Normal"/>
            <w:jc w:val="center"/>
            <w:rPr>
              <w:lang w:val="en-US"/>
            </w:rPr>
          </w:pPr>
          <w:r>
            <w:rPr>
              <w:rFonts w:cs="Arial" w:ascii="Arial" w:hAnsi="Arial"/>
            </w:rPr>
            <w:t>"ЕКОБУЛ ПАРТНЕР" ООД</w:t>
          </w:r>
        </w:p>
      </w:tc>
      <w:tc>
        <w:tcPr>
          <w:tcW w:w="4403" w:type="dxa"/>
          <w:tcBorders>
            <w:top w:val="single" w:sz="12" w:space="0" w:color="000000"/>
            <w:bottom w:val="single" w:sz="6" w:space="0" w:color="000000"/>
            <w:end w:val="single" w:sz="12" w:space="0" w:color="000000"/>
          </w:tcBorders>
        </w:tcPr>
        <w:p>
          <w:pPr>
            <w:pStyle w:val="Header"/>
            <w:widowControl/>
            <w:rPr>
              <w:lang w:val="bg-BG"/>
            </w:rPr>
          </w:pPr>
          <w:r>
            <w:rPr>
              <w:b/>
              <w:lang w:val="en-US"/>
            </w:rPr>
            <w:t>IP 0</w:t>
          </w:r>
          <w:r>
            <w:rPr>
              <w:b/>
              <w:lang w:val="bg-BG"/>
            </w:rPr>
            <w:t>6</w:t>
          </w:r>
          <w:r>
            <w:rPr>
              <w:b/>
              <w:lang w:val="en-US"/>
            </w:rPr>
            <w:t>.0</w:t>
          </w:r>
          <w:r>
            <w:rPr>
              <w:b/>
              <w:lang w:val="bg-BG"/>
            </w:rPr>
            <w:t>1.</w:t>
          </w:r>
          <w:r>
            <w:rPr>
              <w:b/>
              <w:lang w:val="en-US"/>
            </w:rPr>
            <w:t>0</w:t>
          </w:r>
          <w:r>
            <w:rPr>
              <w:b/>
              <w:lang w:val="bg-BG"/>
            </w:rPr>
            <w:t>2</w:t>
          </w:r>
        </w:p>
      </w:tc>
      <w:tc>
        <w:tcPr>
          <w:tcW w:w="1260" w:type="dxa"/>
          <w:tcBorders>
            <w:top w:val="single" w:sz="12" w:space="0" w:color="000000"/>
            <w:bottom w:val="single" w:sz="6" w:space="0" w:color="000000"/>
            <w:end w:val="single" w:sz="6" w:space="0" w:color="000000"/>
          </w:tcBorders>
        </w:tcPr>
        <w:p>
          <w:pPr>
            <w:pStyle w:val="Header"/>
            <w:widowControl/>
            <w:rPr>
              <w:lang w:val="bg-BG"/>
            </w:rPr>
          </w:pPr>
          <w:r>
            <w:rPr>
              <w:lang w:val="en-US"/>
            </w:rPr>
            <w:t>Версия</w:t>
          </w:r>
        </w:p>
      </w:tc>
      <w:tc>
        <w:tcPr>
          <w:tcW w:w="1260" w:type="dxa"/>
          <w:tcBorders>
            <w:top w:val="single" w:sz="12" w:space="0" w:color="000000"/>
            <w:start w:val="single" w:sz="6" w:space="0" w:color="000000"/>
            <w:bottom w:val="single" w:sz="6" w:space="0" w:color="000000"/>
            <w:end w:val="single" w:sz="12" w:space="0" w:color="000000"/>
          </w:tcBorders>
        </w:tcPr>
        <w:p>
          <w:pPr>
            <w:pStyle w:val="Header"/>
            <w:widowControl/>
            <w:jc w:val="center"/>
            <w:rPr>
              <w:lang w:val="bg-BG"/>
            </w:rPr>
          </w:pPr>
          <w:r>
            <w:rPr>
              <w:lang w:val="bg-BG"/>
            </w:rPr>
            <w:t>01</w:t>
          </w:r>
        </w:p>
      </w:tc>
    </w:tr>
    <w:tr>
      <w:trPr>
        <w:cantSplit/>
      </w:trPr>
      <w:tc>
        <w:tcPr>
          <w:tcW w:w="3119" w:type="dxa"/>
          <w:vMerge w:val="continue"/>
          <w:tcBorders>
            <w:top w:val="single" w:sz="12" w:space="0" w:color="000000"/>
            <w:start w:val="single" w:sz="12" w:space="0" w:color="000000"/>
            <w:end w:val="single" w:sz="12" w:space="0" w:color="000000"/>
          </w:tcBorders>
          <w:vAlign w:val="center"/>
        </w:tcPr>
        <w:p>
          <w:pPr>
            <w:pStyle w:val="Header"/>
            <w:snapToGrid w:val="false"/>
            <w:jc w:val="center"/>
            <w:rPr>
              <w:lang w:val="en-US"/>
            </w:rPr>
          </w:pPr>
          <w:r>
            <w:rPr>
              <w:lang w:val="en-US"/>
            </w:rPr>
          </w:r>
        </w:p>
      </w:tc>
      <w:tc>
        <w:tcPr>
          <w:tcW w:w="4403" w:type="dxa"/>
          <w:tcBorders>
            <w:top w:val="single" w:sz="6" w:space="0" w:color="000000"/>
            <w:bottom w:val="single" w:sz="12" w:space="0" w:color="000000"/>
            <w:end w:val="single" w:sz="12" w:space="0" w:color="000000"/>
          </w:tcBorders>
        </w:tcPr>
        <w:p>
          <w:pPr>
            <w:pStyle w:val="Header"/>
            <w:widowControl/>
            <w:rPr>
              <w:lang w:val="bg-BG"/>
            </w:rPr>
          </w:pPr>
          <w:r>
            <w:rPr>
              <w:lang w:val="en-US"/>
            </w:rPr>
            <w:t>ISO</w:t>
          </w:r>
          <w:r>
            <w:rPr>
              <w:lang w:val="bg-BG"/>
            </w:rPr>
            <w:t xml:space="preserve"> 14001:2015</w:t>
          </w:r>
        </w:p>
      </w:tc>
      <w:tc>
        <w:tcPr>
          <w:tcW w:w="1260" w:type="dxa"/>
          <w:tcBorders>
            <w:top w:val="single" w:sz="6" w:space="0" w:color="000000"/>
            <w:bottom w:val="single" w:sz="12" w:space="0" w:color="000000"/>
            <w:end w:val="single" w:sz="6" w:space="0" w:color="000000"/>
          </w:tcBorders>
        </w:tcPr>
        <w:p>
          <w:pPr>
            <w:pStyle w:val="Header"/>
            <w:widowControl/>
            <w:rPr>
              <w:lang w:val="bg-BG"/>
            </w:rPr>
          </w:pPr>
          <w:r>
            <w:rPr>
              <w:lang w:val="bg-BG"/>
            </w:rPr>
            <w:t>Стр.</w:t>
          </w:r>
        </w:p>
      </w:tc>
      <w:tc>
        <w:tcPr>
          <w:tcW w:w="1260" w:type="dxa"/>
          <w:tcBorders>
            <w:top w:val="single" w:sz="6" w:space="0" w:color="000000"/>
            <w:start w:val="single" w:sz="6" w:space="0" w:color="000000"/>
            <w:bottom w:val="single" w:sz="12" w:space="0" w:color="000000"/>
            <w:end w:val="single" w:sz="12" w:space="0" w:color="000000"/>
          </w:tcBorders>
        </w:tcPr>
        <w:p>
          <w:pPr>
            <w:pStyle w:val="Header"/>
            <w:widowControl/>
            <w:jc w:val="center"/>
            <w:rPr>
              <w:lang w:val="bg-BG"/>
            </w:rPr>
          </w:pPr>
          <w:r>
            <w:rPr>
              <w:lang w:val="bg-BG"/>
            </w:rPr>
            <w:t>1/4</w:t>
          </w:r>
        </w:p>
      </w:tc>
    </w:tr>
    <w:tr>
      <w:trPr>
        <w:trHeight w:val="833" w:hRule="atLeast"/>
        <w:cantSplit/>
      </w:trPr>
      <w:tc>
        <w:tcPr>
          <w:tcW w:w="3119" w:type="dxa"/>
          <w:vMerge w:val="continue"/>
          <w:tcBorders>
            <w:top w:val="single" w:sz="12" w:space="0" w:color="000000"/>
            <w:start w:val="single" w:sz="12" w:space="0" w:color="000000"/>
            <w:end w:val="single" w:sz="12" w:space="0" w:color="000000"/>
          </w:tcBorders>
          <w:vAlign w:val="center"/>
        </w:tcPr>
        <w:p>
          <w:pPr>
            <w:pStyle w:val="Header"/>
            <w:widowControl/>
            <w:snapToGrid w:val="false"/>
            <w:jc w:val="center"/>
            <w:rPr>
              <w:lang w:val="bg-BG"/>
            </w:rPr>
          </w:pPr>
          <w:r>
            <w:rPr>
              <w:lang w:val="bg-BG"/>
            </w:rPr>
          </w:r>
        </w:p>
      </w:tc>
      <w:tc>
        <w:tcPr>
          <w:tcW w:w="4403" w:type="dxa"/>
          <w:tcBorders>
            <w:top w:val="single" w:sz="12" w:space="0" w:color="000000"/>
            <w:bottom w:val="single" w:sz="12" w:space="0" w:color="000000"/>
            <w:end w:val="single" w:sz="12" w:space="0" w:color="000000"/>
          </w:tcBorders>
          <w:vAlign w:val="center"/>
        </w:tcPr>
        <w:p>
          <w:pPr>
            <w:pStyle w:val="Header"/>
            <w:widowControl/>
            <w:jc w:val="center"/>
            <w:rPr>
              <w:lang w:val="bg-BG"/>
            </w:rPr>
          </w:pPr>
          <w:r>
            <w:rPr>
              <w:b/>
              <w:lang w:val="bg-BG"/>
            </w:rPr>
            <w:t>АСПЕКТИ НА ОКОЛНАТА СРЕДА</w:t>
          </w:r>
        </w:p>
      </w:tc>
      <w:tc>
        <w:tcPr>
          <w:tcW w:w="1260" w:type="dxa"/>
          <w:tcBorders>
            <w:top w:val="single" w:sz="12" w:space="0" w:color="000000"/>
            <w:bottom w:val="single" w:sz="12" w:space="0" w:color="000000"/>
            <w:end w:val="single" w:sz="6" w:space="0" w:color="000000"/>
          </w:tcBorders>
          <w:vAlign w:val="bottom"/>
        </w:tcPr>
        <w:p>
          <w:pPr>
            <w:pStyle w:val="Header"/>
            <w:widowControl/>
            <w:rPr>
              <w:lang w:val="bg-BG"/>
            </w:rPr>
          </w:pPr>
          <w:r>
            <w:rPr>
              <w:lang w:val="bg-BG"/>
            </w:rPr>
            <w:t>Подпис:</w:t>
          </w:r>
        </w:p>
      </w:tc>
      <w:tc>
        <w:tcPr>
          <w:tcW w:w="1260" w:type="dxa"/>
          <w:tcBorders>
            <w:top w:val="single" w:sz="12" w:space="0" w:color="000000"/>
            <w:start w:val="single" w:sz="6" w:space="0" w:color="000000"/>
            <w:bottom w:val="single" w:sz="12" w:space="0" w:color="000000"/>
            <w:end w:val="single" w:sz="12" w:space="0" w:color="000000"/>
          </w:tcBorders>
          <w:vAlign w:val="bottom"/>
        </w:tcPr>
        <w:p>
          <w:pPr>
            <w:pStyle w:val="Header"/>
            <w:widowControl/>
            <w:rPr>
              <w:lang w:val="bg-BG"/>
            </w:rPr>
          </w:pPr>
          <w:r>
            <w:rPr>
              <w:lang w:val="bg-BG"/>
            </w:rPr>
            <w:t>Дата:</w:t>
          </w:r>
        </w:p>
      </w:tc>
    </w:tr>
    <w:tr>
      <w:trPr>
        <w:cantSplit/>
      </w:trPr>
      <w:tc>
        <w:tcPr>
          <w:tcW w:w="3119" w:type="dxa"/>
          <w:tcBorders>
            <w:top w:val="single" w:sz="12" w:space="0" w:color="000000"/>
            <w:start w:val="single" w:sz="12" w:space="0" w:color="000000"/>
            <w:bottom w:val="single" w:sz="6" w:space="0" w:color="000000"/>
            <w:end w:val="single" w:sz="12" w:space="0" w:color="000000"/>
          </w:tcBorders>
        </w:tcPr>
        <w:p>
          <w:pPr>
            <w:pStyle w:val="Header"/>
            <w:widowControl/>
            <w:rPr>
              <w:lang w:val="bg-BG"/>
            </w:rPr>
          </w:pPr>
          <w:r>
            <w:rPr>
              <w:lang w:val="bg-BG"/>
            </w:rPr>
            <w:t>Разработил:</w:t>
          </w:r>
        </w:p>
      </w:tc>
      <w:tc>
        <w:tcPr>
          <w:tcW w:w="4403" w:type="dxa"/>
          <w:tcBorders>
            <w:top w:val="single" w:sz="12" w:space="0" w:color="000000"/>
            <w:start w:val="single" w:sz="12" w:space="0" w:color="000000"/>
            <w:bottom w:val="single" w:sz="6" w:space="0" w:color="000000"/>
            <w:end w:val="single" w:sz="12" w:space="0" w:color="000000"/>
          </w:tcBorders>
        </w:tcPr>
        <w:p>
          <w:pPr>
            <w:pStyle w:val="Header"/>
            <w:widowControl/>
            <w:rPr>
              <w:lang w:val="bg-BG"/>
            </w:rPr>
          </w:pPr>
          <w:r>
            <w:rPr>
              <w:lang w:val="bg-BG"/>
            </w:rPr>
            <w:t>Мениджър по управление</w:t>
          </w:r>
        </w:p>
      </w:tc>
      <w:tc>
        <w:tcPr>
          <w:tcW w:w="1260" w:type="dxa"/>
          <w:tcBorders>
            <w:top w:val="single" w:sz="12" w:space="0" w:color="000000"/>
            <w:bottom w:val="single" w:sz="6" w:space="0" w:color="000000"/>
            <w:end w:val="single" w:sz="6" w:space="0" w:color="000000"/>
          </w:tcBorders>
        </w:tcPr>
        <w:p>
          <w:pPr>
            <w:pStyle w:val="Header"/>
            <w:widowControl/>
            <w:snapToGrid w:val="false"/>
            <w:rPr>
              <w:lang w:val="bg-BG"/>
            </w:rPr>
          </w:pPr>
          <w:r>
            <w:rPr>
              <w:lang w:val="bg-BG"/>
            </w:rPr>
          </w:r>
        </w:p>
      </w:tc>
      <w:tc>
        <w:tcPr>
          <w:tcW w:w="1260" w:type="dxa"/>
          <w:tcBorders>
            <w:top w:val="single" w:sz="12" w:space="0" w:color="000000"/>
            <w:start w:val="single" w:sz="6" w:space="0" w:color="000000"/>
            <w:bottom w:val="single" w:sz="6" w:space="0" w:color="000000"/>
            <w:end w:val="single" w:sz="12" w:space="0" w:color="000000"/>
          </w:tcBorders>
        </w:tcPr>
        <w:p>
          <w:pPr>
            <w:pStyle w:val="Footer"/>
            <w:rPr>
              <w:lang w:val="en-US"/>
            </w:rPr>
          </w:pPr>
          <w:r>
            <w:rPr>
              <w:lang w:val="bg-BG"/>
            </w:rPr>
            <w:t>Дата:  03.07.21</w:t>
          </w:r>
        </w:p>
      </w:tc>
    </w:tr>
    <w:tr>
      <w:trPr>
        <w:cantSplit/>
      </w:trPr>
      <w:tc>
        <w:tcPr>
          <w:tcW w:w="3119" w:type="dxa"/>
          <w:tcBorders>
            <w:top w:val="single" w:sz="6" w:space="0" w:color="000000"/>
            <w:start w:val="single" w:sz="12" w:space="0" w:color="000000"/>
            <w:bottom w:val="single" w:sz="12" w:space="0" w:color="000000"/>
            <w:end w:val="single" w:sz="12" w:space="0" w:color="000000"/>
          </w:tcBorders>
        </w:tcPr>
        <w:p>
          <w:pPr>
            <w:pStyle w:val="Header"/>
            <w:widowControl/>
            <w:rPr/>
          </w:pPr>
          <w:r>
            <w:rPr>
              <w:lang w:val="en-US"/>
            </w:rPr>
            <w:t>Утвърдил</w:t>
          </w:r>
          <w:r>
            <w:rPr>
              <w:lang w:val="bg-BG"/>
            </w:rPr>
            <w:t>:</w:t>
          </w:r>
        </w:p>
      </w:tc>
      <w:tc>
        <w:tcPr>
          <w:tcW w:w="4403" w:type="dxa"/>
          <w:tcBorders>
            <w:top w:val="single" w:sz="6" w:space="0" w:color="000000"/>
            <w:start w:val="single" w:sz="12" w:space="0" w:color="000000"/>
            <w:bottom w:val="single" w:sz="12" w:space="0" w:color="000000"/>
            <w:end w:val="single" w:sz="12" w:space="0" w:color="000000"/>
          </w:tcBorders>
        </w:tcPr>
        <w:p>
          <w:pPr>
            <w:pStyle w:val="Header"/>
            <w:widowControl/>
            <w:rPr>
              <w:lang w:val="bg-BG"/>
            </w:rPr>
          </w:pPr>
          <w:r>
            <w:rPr>
              <w:lang w:val="bg-BG"/>
            </w:rPr>
            <w:t>Управител</w:t>
          </w:r>
        </w:p>
      </w:tc>
      <w:tc>
        <w:tcPr>
          <w:tcW w:w="1260" w:type="dxa"/>
          <w:tcBorders>
            <w:top w:val="single" w:sz="6" w:space="0" w:color="000000"/>
            <w:bottom w:val="single" w:sz="12" w:space="0" w:color="000000"/>
            <w:end w:val="single" w:sz="6" w:space="0" w:color="000000"/>
          </w:tcBorders>
        </w:tcPr>
        <w:p>
          <w:pPr>
            <w:pStyle w:val="Header"/>
            <w:widowControl/>
            <w:snapToGrid w:val="false"/>
            <w:rPr>
              <w:lang w:val="bg-BG"/>
            </w:rPr>
          </w:pPr>
          <w:r>
            <w:rPr>
              <w:lang w:val="bg-BG"/>
            </w:rPr>
          </w:r>
        </w:p>
      </w:tc>
      <w:tc>
        <w:tcPr>
          <w:tcW w:w="1260" w:type="dxa"/>
          <w:tcBorders>
            <w:top w:val="single" w:sz="6" w:space="0" w:color="000000"/>
            <w:start w:val="single" w:sz="6" w:space="0" w:color="000000"/>
            <w:bottom w:val="single" w:sz="12" w:space="0" w:color="000000"/>
            <w:end w:val="single" w:sz="12" w:space="0" w:color="000000"/>
          </w:tcBorders>
        </w:tcPr>
        <w:p>
          <w:pPr>
            <w:pStyle w:val="Footer"/>
            <w:rPr>
              <w:lang w:val="en-US"/>
            </w:rPr>
          </w:pPr>
          <w:r>
            <w:rPr>
              <w:lang w:val="bg-BG"/>
            </w:rPr>
            <w:t>Дата:  03.07.21</w:t>
          </w:r>
        </w:p>
      </w:tc>
    </w:tr>
  </w:tbl>
  <w:p>
    <w:pPr>
      <w:pStyle w:val="Header"/>
      <w:rPr>
        <w:lang w:val="bg-BG"/>
      </w:rPr>
    </w:pPr>
    <w:r>
      <w:rPr>
        <w:lang w:val="bg-BG"/>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360"/>
        </w:tabs>
        <w:ind w:start="340" w:hanging="34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360"/>
        </w:tabs>
        <w:ind w:start="0" w:hanging="0"/>
      </w:pPr>
      <w:rPr>
        <w:rFonts w:ascii="Symbol" w:hAnsi="Symbol" w:cs="Symbol" w:hint="default"/>
      </w:rPr>
    </w:lvl>
  </w:abstractNum>
  <w:abstractNum w:abstractNumId="6">
    <w:lvl w:ilvl="0">
      <w:start w:val="1"/>
      <w:numFmt w:val="bullet"/>
      <w:lvlText w:val=""/>
      <w:lvlJc w:val="start"/>
      <w:pPr>
        <w:tabs>
          <w:tab w:val="num" w:pos="360"/>
        </w:tabs>
        <w:ind w:start="0" w:hanging="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360"/>
        </w:tabs>
        <w:ind w:start="36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360"/>
        </w:tabs>
        <w:ind w:start="36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widowControl/>
      <w:numPr>
        <w:ilvl w:val="0"/>
        <w:numId w:val="1"/>
      </w:numPr>
      <w:outlineLvl w:val="0"/>
    </w:pPr>
    <w:rPr>
      <w:rFonts w:ascii="Arial" w:hAnsi="Arial" w:cs="Arial"/>
      <w:b/>
      <w:lang w:val="bg-BG"/>
    </w:rPr>
  </w:style>
  <w:style w:type="paragraph" w:styleId="Heading2">
    <w:name w:val="heading 2"/>
    <w:basedOn w:val="Normal"/>
    <w:next w:val="Normal"/>
    <w:qFormat/>
    <w:pPr>
      <w:keepNext w:val="true"/>
      <w:widowControl/>
      <w:numPr>
        <w:ilvl w:val="1"/>
        <w:numId w:val="1"/>
      </w:numPr>
      <w:jc w:val="both"/>
      <w:outlineLvl w:val="1"/>
    </w:pPr>
    <w:rPr>
      <w:bCs/>
      <w:i/>
      <w:sz w:val="24"/>
      <w:lang w:val="bg-BG"/>
    </w:rPr>
  </w:style>
  <w:style w:type="paragraph" w:styleId="Heading7">
    <w:name w:val="heading 7"/>
    <w:basedOn w:val="Normal"/>
    <w:next w:val="Normal"/>
    <w:qFormat/>
    <w:pPr>
      <w:numPr>
        <w:ilvl w:val="6"/>
        <w:numId w:val="1"/>
      </w:numPr>
      <w:spacing w:before="240" w:after="60"/>
      <w:outlineLvl w:val="6"/>
    </w:pPr>
    <w:rPr>
      <w:sz w:val="24"/>
      <w:szCs w:val="24"/>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2">
    <w:name w:val="WW8Num12z2"/>
    <w:qFormat/>
    <w:rPr>
      <w:rFonts w:ascii="Wingdings" w:hAnsi="Wingdings" w:cs="Wingdings"/>
    </w:rPr>
  </w:style>
  <w:style w:type="character" w:styleId="WW8Num12z4">
    <w:name w:val="WW8Num12z4"/>
    <w:qFormat/>
    <w:rPr>
      <w:rFonts w:ascii="Courier New" w:hAnsi="Courier New" w:cs="Courier New"/>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Style11">
    <w:name w:val="Шрифт на абзаца по подразбиране"/>
    <w:qFormat/>
    <w:rPr/>
  </w:style>
  <w:style w:type="character" w:styleId="PageNumber">
    <w:name w:val="page number"/>
    <w:rPr>
      <w:sz w:val="20"/>
    </w:rPr>
  </w:style>
  <w:style w:type="character" w:styleId="Style12">
    <w:name w:val="Препратка към коментар"/>
    <w:qFormat/>
    <w:rPr>
      <w:sz w:val="16"/>
    </w:rPr>
  </w:style>
  <w:style w:type="character" w:styleId="Style13">
    <w:name w:val="Долен колонтитул Знак"/>
    <w:qFormat/>
    <w:rPr>
      <w:lang w:val="en-GB"/>
    </w:rPr>
  </w:style>
  <w:style w:type="paragraph" w:styleId="Style14">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widowControl/>
      <w:jc w:val="both"/>
    </w:pPr>
    <w:rPr>
      <w:sz w:val="24"/>
      <w:lang w:val="bg-BG"/>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Указател"/>
    <w:basedOn w:val="Normal"/>
    <w:qFormat/>
    <w:pPr>
      <w:suppressLineNumbers/>
    </w:pPr>
    <w:rPr>
      <w:rFonts w:cs="Arial"/>
    </w:rPr>
  </w:style>
  <w:style w:type="paragraph" w:styleId="Style16">
    <w:name w:val="Колонтитули"/>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Style17">
    <w:name w:val="Текст на коментар"/>
    <w:basedOn w:val="Normal"/>
    <w:qFormat/>
    <w:pPr/>
    <w:rPr/>
  </w:style>
  <w:style w:type="paragraph" w:styleId="2">
    <w:name w:val="Основен текст 2"/>
    <w:basedOn w:val="Normal"/>
    <w:qFormat/>
    <w:pPr>
      <w:spacing w:lineRule="auto" w:line="480" w:before="0" w:after="120"/>
    </w:pPr>
    <w:rPr/>
  </w:style>
  <w:style w:type="paragraph" w:styleId="Char">
    <w:name w:val=" Char"/>
    <w:basedOn w:val="Normal"/>
    <w:qFormat/>
    <w:pPr>
      <w:widowControl/>
      <w:tabs>
        <w:tab w:val="clear" w:pos="720"/>
        <w:tab w:val="left" w:pos="709" w:leader="none"/>
      </w:tabs>
    </w:pPr>
    <w:rPr>
      <w:rFonts w:ascii="Tahoma" w:hAnsi="Tahoma" w:cs="Tahoma"/>
      <w:sz w:val="24"/>
      <w:szCs w:val="24"/>
      <w:lang w:val="pl-PL"/>
    </w:rPr>
  </w:style>
  <w:style w:type="paragraph" w:styleId="-">
    <w:name w:val="Рамка - съдържание"/>
    <w:basedOn w:val="Normal"/>
    <w:qFormat/>
    <w:pPr/>
    <w:rPr/>
  </w:style>
  <w:style w:type="paragraph" w:styleId="-1">
    <w:name w:val="Таблица - съдържание"/>
    <w:basedOn w:val="Normal"/>
    <w:qFormat/>
    <w:pPr>
      <w:widowControl w:val="false"/>
      <w:suppressLineNumbers/>
    </w:pPr>
    <w:rPr/>
  </w:style>
  <w:style w:type="paragraph" w:styleId="-2">
    <w:name w:val="Таблица - заглавие"/>
    <w:basedOn w:val="-1"/>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2016-04-03T14:20:00Z</dcterms:created>
  <dc:creator>МТ</dc:creator>
  <dc:description/>
  <cp:keywords/>
  <dc:language>bg-BG</dc:language>
  <cp:lastModifiedBy>Силвия Мирчева</cp:lastModifiedBy>
  <cp:lastPrinted>2005-02-25T08:40:00Z</cp:lastPrinted>
  <dcterms:modified xsi:type="dcterms:W3CDTF">2022-04-02T14:44:00Z</dcterms:modified>
  <cp:revision>19</cp:revision>
  <dc:subject>ПК</dc:subject>
  <dc:title>Управление на документите</dc:title>
</cp:coreProperties>
</file>