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1. ЦЕЛ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>Тази процедура определя начина на създаване, разпространение, подменяне, изменение и съхранение на документираната информация, свързани със Системата за управление и с процесите извършвани при дейността във фирмата.</w:t>
      </w:r>
    </w:p>
    <w:p>
      <w:pPr>
        <w:pStyle w:val="Normal"/>
        <w:widowControl/>
        <w:jc w:val="both"/>
        <w:rPr>
          <w:b/>
          <w:sz w:val="24"/>
          <w:lang w:val="ru-RU"/>
        </w:rPr>
      </w:pPr>
      <w:r>
        <w:rPr>
          <w:b/>
          <w:sz w:val="24"/>
          <w:lang w:val="ru-RU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2. СЪДЪРЖАНИЕ НА ПРОЦЕСА</w:t>
      </w:r>
    </w:p>
    <w:p>
      <w:pPr>
        <w:pStyle w:val="BodyText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BodyText"/>
        <w:rPr/>
      </w:pPr>
      <w:r>
        <w:rPr/>
        <w:t>За реализирането на процесите, свързани с управление на документираната информация, е необходимо да бъдат извършени следните дейности:</w:t>
      </w:r>
    </w:p>
    <w:p>
      <w:pPr>
        <w:pStyle w:val="Normal"/>
        <w:widowControl/>
        <w:ind w:firstLine="720" w:end="0"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ind w:firstLine="720" w:end="0"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ВХОД</w:t>
        <w:tab/>
        <w:tab/>
        <w:tab/>
        <w:tab/>
        <w:t>ДЕЙНОСТИ</w:t>
        <w:tab/>
        <w:tab/>
        <w:tab/>
        <w:tab/>
        <w:t>ИЗХОД</w:t>
      </w:r>
    </w:p>
    <w:p>
      <w:pPr>
        <w:pStyle w:val="Normal"/>
        <w:widowControl/>
        <w:jc w:val="both"/>
        <w:rPr>
          <w:b/>
          <w:sz w:val="24"/>
          <w:lang w:val="bg-BG" w:eastAsia="bg-BG"/>
        </w:rPr>
      </w:pPr>
      <w:r>
        <w:rPr>
          <w:b/>
          <w:sz w:val="24"/>
          <w:lang w:val="bg-BG" w:eastAsia="bg-BG"/>
        </w:rP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34925</wp:posOffset>
                </wp:positionV>
                <wp:extent cx="1689100" cy="1104900"/>
                <wp:effectExtent l="9525" t="9525" r="88900" b="86995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9120" cy="1104840"/>
                        </a:xfrm>
                        <a:custGeom>
                          <a:avLst/>
                          <a:gdLst>
                            <a:gd name="textAreaLeft" fmla="*/ 0 w 957600"/>
                            <a:gd name="textAreaRight" fmla="*/ 957960 w 957600"/>
                            <a:gd name="textAreaTop" fmla="*/ 0 h 626400"/>
                            <a:gd name="textAreaBottom" fmla="*/ 626760 h 626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16200" y="0"/>
                              </a:lnTo>
                              <a:lnTo>
                                <a:pt x="21600" y="10800"/>
                              </a:lnTo>
                              <a:lnTo>
                                <a:pt x="162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9080">
                          <a:solidFill>
                            <a:srgbClr val="000000"/>
                          </a:solidFill>
                          <a:miter/>
                        </a:ln>
                        <a:effectLst>
                          <a:outerShdw dist="107932" dir="2700000" rotWithShape="0">
                            <a:srgbClr val="808080"/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0"/>
                                <w:szCs w:val="20"/>
                                <w:lang w:val="bg-BG" w:bidi="ar-SA"/>
                              </w:rPr>
                              <w:t xml:space="preserve">Изисквания към документацията 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0"/>
                                <w:szCs w:val="20"/>
                                <w:lang w:val="bg-BG" w:bidi="ar-SA"/>
                              </w:rPr>
                              <w:t>Възприета във фирмата практика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5" coordsize="21600,21600" o:spt="15" adj="10800" path="m,l@2,l21600,10800l@2,21600l,21600xe">
                <v:stroke joinstyle="miter"/>
                <v:formulas>
                  <v:f eqn="val 21600"/>
                  <v:f eqn="val #0"/>
                  <v:f eqn="sum width 0 @1"/>
                  <v:f eqn="sum @2 width 0"/>
                  <v:f eqn="prod 1 @3 2"/>
                  <v:f eqn="prod @2 1 2"/>
                </v:formulas>
                <v:path gradientshapeok="t" o:connecttype="rect" textboxrect="0,0,@4,21600"/>
                <v:handles>
                  <v:h position="@2,0"/>
                </v:handles>
              </v:shapetype>
              <v:shape id="shape_0" fillcolor="white" stroked="t" o:allowincell="f" style="position:absolute;margin-left:3pt;margin-top:2.75pt;width:132.95pt;height:86.95pt;mso-wrap-style:square;v-text-anchor:top" type="_x0000_t15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0"/>
                          <w:szCs w:val="20"/>
                          <w:lang w:val="bg-BG" w:bidi="ar-SA"/>
                        </w:rPr>
                        <w:t xml:space="preserve">Изисквания към документацията 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0"/>
                          <w:szCs w:val="20"/>
                          <w:lang w:val="bg-BG" w:bidi="ar-SA"/>
                        </w:rPr>
                        <w:t>Възприета във фирмата практика</w:t>
                      </w:r>
                    </w:p>
                  </w:txbxContent>
                </v:textbox>
                <v:fill o:detectmouseclick="t" type="solid" color2="black"/>
                <v:stroke color="black" weight="19080" joinstyle="miter" endcap="flat"/>
                <v:shadow on="t" obscured="f" color="gray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4" behindDoc="0" locked="0" layoutInCell="1" allowOverlap="1">
                <wp:simplePos x="0" y="0"/>
                <wp:positionH relativeFrom="column">
                  <wp:posOffset>4435475</wp:posOffset>
                </wp:positionH>
                <wp:positionV relativeFrom="paragraph">
                  <wp:posOffset>9525</wp:posOffset>
                </wp:positionV>
                <wp:extent cx="1727200" cy="1332865"/>
                <wp:effectExtent l="10160" t="10160" r="88265" b="85725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80" cy="1332720"/>
                        </a:xfrm>
                        <a:custGeom>
                          <a:avLst/>
                          <a:gdLst>
                            <a:gd name="textAreaLeft" fmla="*/ 0 w 979200"/>
                            <a:gd name="textAreaRight" fmla="*/ 979560 w 979200"/>
                            <a:gd name="textAreaTop" fmla="*/ 0 h 755640"/>
                            <a:gd name="textAreaBottom" fmla="*/ 756000 h 7556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16200" y="0"/>
                              </a:lnTo>
                              <a:lnTo>
                                <a:pt x="21600" y="10800"/>
                              </a:lnTo>
                              <a:lnTo>
                                <a:pt x="162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9080">
                          <a:solidFill>
                            <a:srgbClr val="000000"/>
                          </a:solidFill>
                          <a:miter/>
                        </a:ln>
                        <a:effectLst>
                          <a:outerShdw dist="107932" dir="2700000" rotWithShape="0">
                            <a:srgbClr val="808080"/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0"/>
                                <w:szCs w:val="20"/>
                                <w:lang w:val="bg-BG" w:bidi="ar-SA"/>
                              </w:rPr>
                              <w:t>Наръчник по качеството;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0"/>
                                <w:szCs w:val="20"/>
                                <w:lang w:val="bg-BG" w:bidi="ar-SA"/>
                              </w:rPr>
                              <w:t>Процедурни документи;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0"/>
                                <w:szCs w:val="20"/>
                                <w:lang w:val="bg-BG" w:bidi="ar-SA"/>
                              </w:rPr>
                              <w:t>Работни инструкции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0"/>
                                <w:szCs w:val="20"/>
                                <w:lang w:val="bg-BG" w:bidi="ar-SA"/>
                              </w:rPr>
                              <w:t>Оперативни   документи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fillcolor="white" stroked="t" o:allowincell="f" style="position:absolute;margin-left:349.25pt;margin-top:0.75pt;width:135.95pt;height:104.9pt;mso-wrap-style:square;v-text-anchor:top" type="_x0000_t15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0"/>
                          <w:szCs w:val="20"/>
                          <w:lang w:val="bg-BG" w:bidi="ar-SA"/>
                        </w:rPr>
                        <w:t>Наръчник по качеството;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0"/>
                          <w:szCs w:val="20"/>
                          <w:lang w:val="bg-BG" w:bidi="ar-SA"/>
                        </w:rPr>
                        <w:t>Процедурни документи;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0"/>
                          <w:szCs w:val="20"/>
                          <w:lang w:val="bg-BG" w:bidi="ar-SA"/>
                        </w:rPr>
                        <w:t>Работни инструкции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0"/>
                          <w:szCs w:val="20"/>
                          <w:lang w:val="bg-BG" w:bidi="ar-SA"/>
                        </w:rPr>
                        <w:t>Оперативни   документи</w:t>
                      </w:r>
                    </w:p>
                  </w:txbxContent>
                </v:textbox>
                <v:fill o:detectmouseclick="t" type="solid" color2="black"/>
                <v:stroke color="black" weight="19080" joinstyle="miter" endcap="flat"/>
                <v:shadow on="t" obscured="f" color="gray"/>
                <w10:wrap type="none"/>
              </v:shape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3" behindDoc="0" locked="0" layoutInCell="1" allowOverlap="1">
                <wp:simplePos x="0" y="0"/>
                <wp:positionH relativeFrom="column">
                  <wp:posOffset>1835150</wp:posOffset>
                </wp:positionH>
                <wp:positionV relativeFrom="paragraph">
                  <wp:posOffset>12700</wp:posOffset>
                </wp:positionV>
                <wp:extent cx="2317750" cy="1429385"/>
                <wp:effectExtent l="0" t="0" r="76200" b="76200"/>
                <wp:wrapNone/>
                <wp:docPr id="3" name="Рамка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3950" cy="1505585"/>
                        </a:xfrm>
                        <a:prstGeom prst="rect"/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</a:ln>
                        <a:effectLst>
                          <a:outerShdw dist="107315" dir="2700000">
                            <a:srgbClr val="808080"/>
                          </a:outerShdw>
                        </a:effectLst>
                      </wps:spPr>
                      <wps:txbx>
                        <w:txbxContent>
                          <w:p>
                            <w:pPr>
                              <w:pStyle w:val="Normal"/>
                              <w:numPr>
                                <w:ilvl w:val="0"/>
                                <w:numId w:val="11"/>
                              </w:numPr>
                              <w:ind w:hanging="227" w:start="340" w:end="0"/>
                              <w:rPr/>
                            </w:pPr>
                            <w:r>
                              <w:rPr>
                                <w:lang w:val="bg-BG"/>
                              </w:rPr>
                              <w:t>определяне на документите, подлежащи на управление;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1"/>
                              </w:numPr>
                              <w:ind w:hanging="227" w:start="340" w:end="0"/>
                              <w:rPr/>
                            </w:pPr>
                            <w:r>
                              <w:rPr>
                                <w:lang w:val="bg-BG"/>
                              </w:rPr>
                              <w:t>определяне на правила за идентификация и оформяне на документите;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1"/>
                              </w:numPr>
                              <w:ind w:hanging="227" w:start="340" w:end="0"/>
                              <w:rPr/>
                            </w:pPr>
                            <w:r>
                              <w:rPr>
                                <w:lang w:val="bg-BG"/>
                              </w:rPr>
                              <w:t>издаване на документи;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1"/>
                              </w:numPr>
                              <w:ind w:hanging="227" w:start="340" w:end="0"/>
                              <w:rPr/>
                            </w:pPr>
                            <w:r>
                              <w:rPr>
                                <w:lang w:val="bg-BG"/>
                              </w:rPr>
                              <w:t>разпространение на документи;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1"/>
                              </w:numPr>
                              <w:ind w:hanging="227" w:start="340" w:end="0"/>
                              <w:rPr/>
                            </w:pPr>
                            <w:r>
                              <w:rPr>
                                <w:lang w:val="bg-BG"/>
                              </w:rPr>
                              <w:t>изменение на документи;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1"/>
                              </w:numPr>
                              <w:ind w:hanging="227" w:start="340" w:end="0"/>
                              <w:rPr/>
                            </w:pPr>
                            <w:r>
                              <w:rPr>
                                <w:lang w:val="bg-BG"/>
                              </w:rPr>
                              <w:t>съхранение на документи.</w:t>
                            </w:r>
                          </w:p>
                        </w:txbxContent>
                      </wps:txbx>
                      <wps:bodyPr anchor="t" lIns="17780" tIns="10795" rIns="17780" bIns="1079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8.5pt;height:118.55pt;mso-wrap-distance-left:9.05pt;mso-wrap-distance-right:9.05pt;mso-wrap-distance-top:0pt;mso-wrap-distance-bottom:0pt;margin-top:1pt;mso-position-vertical-relative:text;margin-left:144.5pt;mso-position-horizontal-relative:text">
                <v:shadow on="t" color="#808080" offset="6pt,6pt"/>
                <v:textbox inset="0.0194444444444444in,0.0118055555555556in,0.0194444444444444in,0.0118055555555556in">
                  <w:txbxContent>
                    <w:p>
                      <w:pPr>
                        <w:pStyle w:val="Normal"/>
                        <w:numPr>
                          <w:ilvl w:val="0"/>
                          <w:numId w:val="11"/>
                        </w:numPr>
                        <w:ind w:hanging="227" w:start="340" w:end="0"/>
                        <w:rPr/>
                      </w:pPr>
                      <w:r>
                        <w:rPr>
                          <w:lang w:val="bg-BG"/>
                        </w:rPr>
                        <w:t>определяне на документите, подлежащи на управление;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1"/>
                        </w:numPr>
                        <w:ind w:hanging="227" w:start="340" w:end="0"/>
                        <w:rPr/>
                      </w:pPr>
                      <w:r>
                        <w:rPr>
                          <w:lang w:val="bg-BG"/>
                        </w:rPr>
                        <w:t>определяне на правила за идентификация и оформяне на документите;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1"/>
                        </w:numPr>
                        <w:ind w:hanging="227" w:start="340" w:end="0"/>
                        <w:rPr/>
                      </w:pPr>
                      <w:r>
                        <w:rPr>
                          <w:lang w:val="bg-BG"/>
                        </w:rPr>
                        <w:t>издаване на документи;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1"/>
                        </w:numPr>
                        <w:ind w:hanging="227" w:start="340" w:end="0"/>
                        <w:rPr/>
                      </w:pPr>
                      <w:r>
                        <w:rPr>
                          <w:lang w:val="bg-BG"/>
                        </w:rPr>
                        <w:t>разпространение на документи;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1"/>
                        </w:numPr>
                        <w:ind w:hanging="227" w:start="340" w:end="0"/>
                        <w:rPr/>
                      </w:pPr>
                      <w:r>
                        <w:rPr>
                          <w:lang w:val="bg-BG"/>
                        </w:rPr>
                        <w:t>изменение на документи;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1"/>
                        </w:numPr>
                        <w:ind w:hanging="227" w:start="340" w:end="0"/>
                        <w:rPr/>
                      </w:pPr>
                      <w:r>
                        <w:rPr>
                          <w:lang w:val="bg-BG"/>
                        </w:rPr>
                        <w:t>съхранение на документи.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 xml:space="preserve">3. ОТГОВОРНОСТИ ЗА ИЗВЪРШВАНЕ НА ПРОЦЕСА  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en-US"/>
        </w:rPr>
      </w:pPr>
      <w:r>
        <w:rPr>
          <w:sz w:val="24"/>
          <w:lang w:val="bg-BG"/>
        </w:rPr>
        <w:t>Управител:</w:t>
      </w:r>
    </w:p>
    <w:p>
      <w:pPr>
        <w:pStyle w:val="Normal"/>
        <w:widowControl/>
        <w:numPr>
          <w:ilvl w:val="0"/>
          <w:numId w:val="5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преглежда и утвърждава документите преди издаване;</w:t>
      </w:r>
    </w:p>
    <w:p>
      <w:pPr>
        <w:pStyle w:val="Normal"/>
        <w:widowControl/>
        <w:numPr>
          <w:ilvl w:val="0"/>
          <w:numId w:val="5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преглежда и утвърждава документите при изменение.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>Мениджър на системата по качеството (МК) той и Мениджър на интегрираната система:</w:t>
      </w:r>
    </w:p>
    <w:p>
      <w:pPr>
        <w:pStyle w:val="Normal"/>
        <w:widowControl/>
        <w:numPr>
          <w:ilvl w:val="0"/>
          <w:numId w:val="4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подготвя новите издания на документите;</w:t>
      </w:r>
    </w:p>
    <w:p>
      <w:pPr>
        <w:pStyle w:val="Normal"/>
        <w:widowControl/>
        <w:numPr>
          <w:ilvl w:val="0"/>
          <w:numId w:val="4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провежда обучение за създадените документи;</w:t>
      </w:r>
    </w:p>
    <w:p>
      <w:pPr>
        <w:pStyle w:val="Normal"/>
        <w:widowControl/>
        <w:numPr>
          <w:ilvl w:val="0"/>
          <w:numId w:val="4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разяснява измененията, направени в документите;</w:t>
      </w:r>
    </w:p>
    <w:p>
      <w:pPr>
        <w:pStyle w:val="Normal"/>
        <w:widowControl/>
        <w:numPr>
          <w:ilvl w:val="0"/>
          <w:numId w:val="4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управлява документираната информация.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>Сътрудници на фирмата:</w:t>
      </w:r>
    </w:p>
    <w:p>
      <w:pPr>
        <w:pStyle w:val="Normal"/>
        <w:widowControl/>
        <w:numPr>
          <w:ilvl w:val="0"/>
          <w:numId w:val="6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съхраняват контролирани копия на документите и ги прилагат в работата си.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 xml:space="preserve">4. ПОТРЕБИТЕЛ НА ПРОЦЕСА </w:t>
      </w:r>
    </w:p>
    <w:p>
      <w:pPr>
        <w:pStyle w:val="BodyText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BodyText"/>
        <w:rPr/>
      </w:pPr>
      <w:r>
        <w:rPr/>
        <w:t>Потребители на процес „Управление на документирана информация” са всички процеси на Системата за управление на фирмата.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5. КРИТЕРИИ ЗА ОЦЕНЯВАНЕ НА ПРОЦЕСА</w:t>
        <w:tab/>
      </w:r>
    </w:p>
    <w:p>
      <w:pPr>
        <w:pStyle w:val="BodyText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BodyText"/>
        <w:rPr>
          <w:b/>
        </w:rPr>
      </w:pPr>
      <w:r>
        <w:rPr/>
        <w:t>Основен критерий за ефективност на управлението на документираната информация е степента, в която разработените и използвани документи и записи спомагат за непрекъснатото подобряване на процесите.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6. ТЕРМИНИ И ОПРЕДЕЛЕНИЯ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numPr>
          <w:ilvl w:val="0"/>
          <w:numId w:val="8"/>
        </w:numPr>
        <w:jc w:val="both"/>
        <w:rPr>
          <w:sz w:val="24"/>
          <w:lang w:val="bg-BG"/>
        </w:rPr>
      </w:pPr>
      <w:r>
        <w:rPr>
          <w:b/>
          <w:sz w:val="24"/>
          <w:lang w:val="bg-BG"/>
        </w:rPr>
        <w:t xml:space="preserve">ИСУ </w:t>
      </w:r>
      <w:r>
        <w:rPr>
          <w:sz w:val="24"/>
          <w:lang w:val="bg-BG"/>
        </w:rPr>
        <w:t>– Интегрирана Система за управление;</w:t>
      </w:r>
    </w:p>
    <w:p>
      <w:pPr>
        <w:pStyle w:val="Normal"/>
        <w:widowControl/>
        <w:numPr>
          <w:ilvl w:val="0"/>
          <w:numId w:val="8"/>
        </w:numPr>
        <w:jc w:val="both"/>
        <w:rPr>
          <w:sz w:val="24"/>
          <w:lang w:val="bg-BG"/>
        </w:rPr>
      </w:pPr>
      <w:r>
        <w:rPr>
          <w:b/>
          <w:sz w:val="24"/>
          <w:lang w:val="bg-BG"/>
        </w:rPr>
        <w:t>Документирана информация</w:t>
      </w:r>
      <w:r>
        <w:rPr>
          <w:sz w:val="24"/>
          <w:lang w:val="bg-BG"/>
        </w:rPr>
        <w:t xml:space="preserve"> – информация, за която има определено изискване да бъде контролирана и съхранявана от фирмата и носителите, на които се съхранява;</w:t>
      </w:r>
    </w:p>
    <w:p>
      <w:pPr>
        <w:pStyle w:val="Normal"/>
        <w:widowControl/>
        <w:numPr>
          <w:ilvl w:val="0"/>
          <w:numId w:val="8"/>
        </w:numPr>
        <w:jc w:val="both"/>
        <w:rPr>
          <w:sz w:val="24"/>
          <w:lang w:val="bg-BG"/>
        </w:rPr>
      </w:pPr>
      <w:r>
        <w:rPr>
          <w:b/>
          <w:sz w:val="24"/>
          <w:lang w:val="bg-BG"/>
        </w:rPr>
        <w:t>Наръчник по управление</w:t>
      </w:r>
      <w:r>
        <w:rPr>
          <w:sz w:val="24"/>
          <w:lang w:val="bg-BG"/>
        </w:rPr>
        <w:t xml:space="preserve"> - документ, който описва ИСУ; </w:t>
      </w:r>
    </w:p>
    <w:p>
      <w:pPr>
        <w:pStyle w:val="Normal"/>
        <w:widowControl/>
        <w:numPr>
          <w:ilvl w:val="0"/>
          <w:numId w:val="8"/>
        </w:numPr>
        <w:jc w:val="both"/>
        <w:rPr>
          <w:sz w:val="24"/>
          <w:lang w:val="bg-BG"/>
        </w:rPr>
      </w:pPr>
      <w:r>
        <w:rPr>
          <w:b/>
          <w:sz w:val="24"/>
          <w:lang w:val="bg-BG"/>
        </w:rPr>
        <w:t>Процедура</w:t>
      </w:r>
      <w:r>
        <w:rPr>
          <w:sz w:val="24"/>
          <w:lang w:val="bg-BG"/>
        </w:rPr>
        <w:t xml:space="preserve"> - определен начин или ред за изпълнение на дейност или на процес;</w:t>
      </w:r>
    </w:p>
    <w:p>
      <w:pPr>
        <w:pStyle w:val="Normal"/>
        <w:widowControl/>
        <w:numPr>
          <w:ilvl w:val="0"/>
          <w:numId w:val="8"/>
        </w:numPr>
        <w:jc w:val="both"/>
        <w:rPr>
          <w:sz w:val="24"/>
          <w:lang w:val="bg-BG"/>
        </w:rPr>
      </w:pPr>
      <w:r>
        <w:rPr>
          <w:b/>
          <w:sz w:val="24"/>
          <w:lang w:val="bg-BG"/>
        </w:rPr>
        <w:t>Процедурен документ</w:t>
      </w:r>
      <w:r>
        <w:rPr>
          <w:sz w:val="24"/>
          <w:lang w:val="bg-BG"/>
        </w:rPr>
        <w:t xml:space="preserve"> - документ, който съдържа процедура;</w:t>
      </w:r>
    </w:p>
    <w:p>
      <w:pPr>
        <w:pStyle w:val="Normal"/>
        <w:widowControl/>
        <w:numPr>
          <w:ilvl w:val="0"/>
          <w:numId w:val="8"/>
        </w:numPr>
        <w:jc w:val="both"/>
        <w:rPr>
          <w:sz w:val="24"/>
          <w:lang w:val="bg-BG"/>
        </w:rPr>
      </w:pPr>
      <w:r>
        <w:rPr>
          <w:b/>
          <w:sz w:val="24"/>
          <w:lang w:val="bg-BG"/>
        </w:rPr>
        <w:t>Оперативен документ</w:t>
      </w:r>
      <w:r>
        <w:rPr>
          <w:sz w:val="24"/>
          <w:lang w:val="bg-BG"/>
        </w:rPr>
        <w:t xml:space="preserve"> - документ, който носи конкретна информация за дейности; </w:t>
      </w:r>
    </w:p>
    <w:p>
      <w:pPr>
        <w:pStyle w:val="Normal"/>
        <w:widowControl/>
        <w:numPr>
          <w:ilvl w:val="0"/>
          <w:numId w:val="8"/>
        </w:numPr>
        <w:jc w:val="both"/>
        <w:rPr>
          <w:sz w:val="24"/>
          <w:lang w:val="bg-BG"/>
        </w:rPr>
      </w:pPr>
      <w:r>
        <w:rPr>
          <w:b/>
          <w:sz w:val="24"/>
          <w:lang w:val="bg-BG"/>
        </w:rPr>
        <w:t>Запис</w:t>
      </w:r>
      <w:r>
        <w:rPr>
          <w:sz w:val="24"/>
          <w:lang w:val="bg-BG"/>
        </w:rPr>
        <w:t xml:space="preserve"> - документ, който показва резултати или доказателства за извършени дейности.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7. ПРОЦЕДУРА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b/>
          <w:sz w:val="24"/>
          <w:lang w:val="bg-BG"/>
        </w:rPr>
        <w:t xml:space="preserve">7.1. Определяне на обхвата на документираната информация 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 xml:space="preserve">Документираната информация обхваща всяка информация, за която има определено изискване да бъде контролирана и съхранявана от фирмата и се използва за всички изисквания по отношение на съответните документи. В обхвата влизат и носителите, на които се съхранява тази информация. 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 xml:space="preserve">Фирмата използва обичайните термини, които са подходящи за нейните дейности, като документация, процедура, работна инструкция, запис, оперативен документ, протокол, формуляр, заповед, писмо и други, като част от тях представляват документирана информация по смисъла на стандарта. Като приложение към Наръчника на Системата за управление се изготвя „Списък на документираната информация“ - OD 07.05.00-1. 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>Системата за управление на фирмата включва:</w:t>
      </w:r>
    </w:p>
    <w:p>
      <w:pPr>
        <w:pStyle w:val="Normal"/>
        <w:widowControl/>
        <w:numPr>
          <w:ilvl w:val="0"/>
          <w:numId w:val="6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 xml:space="preserve">документирана информация, изисквана от стандартите </w:t>
      </w:r>
      <w:r>
        <w:rPr>
          <w:sz w:val="24"/>
          <w:lang w:val="en-US"/>
        </w:rPr>
        <w:t>ISO 9001:2015, ISO14001:2015, ISO 45001:2018</w:t>
      </w:r>
      <w:r>
        <w:rPr>
          <w:sz w:val="24"/>
          <w:lang w:val="bg-BG"/>
        </w:rPr>
        <w:t>;</w:t>
      </w:r>
    </w:p>
    <w:p>
      <w:pPr>
        <w:pStyle w:val="Normal"/>
        <w:widowControl/>
        <w:numPr>
          <w:ilvl w:val="0"/>
          <w:numId w:val="6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документирана информация, определена като необходима за ефикасността на системата.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>Използва се и терминът „информация” вместо „документирана информация”, когато е необходимо да се наблюдава и проверява информация, свързана с външни и вътрешни обстоятелства. В тези случаи не се изисква тази информация да бъде документирана. Фирмата може да реши дали е необходимо или подходящо да поддържа документирана информация.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7.1.1 Документи, необходими за разработване, внедряване и поддържане на Системата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 xml:space="preserve">Стандартите ISO 9001:2015, </w:t>
      </w:r>
      <w:r>
        <w:rPr>
          <w:sz w:val="24"/>
          <w:lang w:val="en-US"/>
        </w:rPr>
        <w:t>ISO</w:t>
      </w:r>
      <w:r>
        <w:rPr>
          <w:sz w:val="24"/>
          <w:lang w:val="bg-BG"/>
        </w:rPr>
        <w:t xml:space="preserve"> 14001:2015</w:t>
      </w:r>
      <w:r>
        <w:rPr>
          <w:sz w:val="24"/>
          <w:lang w:val="en-US"/>
        </w:rPr>
        <w:t>, ISO 45001:2018</w:t>
      </w:r>
      <w:r>
        <w:rPr>
          <w:sz w:val="24"/>
          <w:lang w:val="bg-BG"/>
        </w:rPr>
        <w:t xml:space="preserve"> не изисква изрично разработването на Наръчник и типова структура на документацията. Въпреки това, с цел прегледност и удобство за работа, фирмата е приела структура на Системата по управление, организирана на пет нива и съответстващата на структурата на стандартите:</w:t>
      </w:r>
    </w:p>
    <w:p>
      <w:pPr>
        <w:pStyle w:val="Normal"/>
        <w:widowControl/>
        <w:numPr>
          <w:ilvl w:val="0"/>
          <w:numId w:val="6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Политика и цели по качеството, околна среда и здраве и безопасност при работа-първо ниво;</w:t>
      </w:r>
    </w:p>
    <w:p>
      <w:pPr>
        <w:pStyle w:val="Normal"/>
        <w:widowControl/>
        <w:numPr>
          <w:ilvl w:val="0"/>
          <w:numId w:val="6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Наръчник - второ ниво;</w:t>
      </w:r>
    </w:p>
    <w:p>
      <w:pPr>
        <w:pStyle w:val="Normal"/>
        <w:widowControl/>
        <w:numPr>
          <w:ilvl w:val="0"/>
          <w:numId w:val="6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Процедури и работни инструкции (когато са необходими)- трето ниво;</w:t>
      </w:r>
    </w:p>
    <w:p>
      <w:pPr>
        <w:pStyle w:val="Normal"/>
        <w:widowControl/>
        <w:numPr>
          <w:ilvl w:val="0"/>
          <w:numId w:val="6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Оперативни документи – четвърто ниво;</w:t>
      </w:r>
    </w:p>
    <w:p>
      <w:pPr>
        <w:pStyle w:val="Normal"/>
        <w:widowControl/>
        <w:numPr>
          <w:ilvl w:val="0"/>
          <w:numId w:val="6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Външни документи.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b/>
          <w:sz w:val="24"/>
          <w:lang w:val="bg-BG"/>
        </w:rPr>
        <w:t xml:space="preserve">7.1.2 Записи 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>В стандартите не се изисква изрично управлението на записи. Терминът „записи” в се използва, за да се означат документите, необходими за предоставяне на доказателства за съответствие с изискванията, които представляват документирана информация. Отговорност на фирмата е да определи конкретния обхват на записите, представляващи документирана информация, която е необходимо да се съхранява, времето за съхранение и носителя, използван за нейното съхранение.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7.2. Оформяне на документите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>Документите от едно йерархично ниво имат едно и също оформление и съдържание като основни раздели. Всички документи съдържат антетки към първа и последващи страници.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b/>
          <w:sz w:val="24"/>
          <w:lang w:val="bg-BG"/>
        </w:rPr>
        <w:t>7.2.1. Наръчник на Системата:</w:t>
      </w:r>
    </w:p>
    <w:p>
      <w:pPr>
        <w:pStyle w:val="Normal"/>
        <w:widowControl/>
        <w:jc w:val="both"/>
        <w:rPr/>
      </w:pPr>
      <w:r>
        <w:rPr/>
        <w:t>За първа страница на раздел:</w:t>
      </w:r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35"/>
        <w:gridCol w:w="4678"/>
        <w:gridCol w:w="1276"/>
        <w:gridCol w:w="1134"/>
      </w:tblGrid>
      <w:tr>
        <w:trPr>
          <w:cantSplit/>
        </w:trPr>
        <w:tc>
          <w:tcPr>
            <w:tcW w:w="2835" w:type="dxa"/>
            <w:vMerge w:val="restart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678" w:type="dxa"/>
            <w:tcBorders>
              <w:top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Header"/>
              <w:widowControl/>
              <w:rPr>
                <w:b/>
                <w:lang w:val="bg-BG"/>
              </w:rPr>
            </w:pPr>
            <w:r>
              <w:rPr>
                <w:b/>
                <w:lang w:val="bg-BG"/>
              </w:rPr>
              <w:t>НАРЪЧНИК НА ИНТЕГРИРАНА СИСТЕМА</w:t>
            </w:r>
          </w:p>
        </w:tc>
        <w:tc>
          <w:tcPr>
            <w:tcW w:w="1276" w:type="dxa"/>
            <w:vMerge w:val="restart"/>
            <w:tcBorders>
              <w:top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er"/>
              <w:rPr>
                <w:lang w:val="bg-BG"/>
              </w:rPr>
            </w:pPr>
            <w:r>
              <w:rPr>
                <w:lang w:val="en-US"/>
              </w:rPr>
              <w:t>Версия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Header"/>
              <w:widowControl/>
              <w:jc w:val="center"/>
              <w:rPr>
                <w:i/>
                <w:lang w:val="bg-BG"/>
              </w:rPr>
            </w:pPr>
            <w:r>
              <w:rPr>
                <w:i/>
                <w:lang w:val="bg-BG"/>
              </w:rPr>
              <w:t>поредна</w:t>
            </w:r>
          </w:p>
        </w:tc>
      </w:tr>
      <w:tr>
        <w:trPr>
          <w:cantSplit/>
        </w:trPr>
        <w:tc>
          <w:tcPr>
            <w:tcW w:w="2835" w:type="dxa"/>
            <w:vMerge w:val="continue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</w:tcPr>
          <w:p>
            <w:pPr>
              <w:pStyle w:val="Header"/>
              <w:snapToGrid w:val="false"/>
              <w:jc w:val="center"/>
              <w:rPr>
                <w:i/>
                <w:lang w:val="en-US"/>
              </w:rPr>
            </w:pPr>
            <w:r>
              <w:rPr>
                <w:i/>
                <w:lang w:val="en-US"/>
              </w:rPr>
            </w:r>
          </w:p>
        </w:tc>
        <w:tc>
          <w:tcPr>
            <w:tcW w:w="4678" w:type="dxa"/>
            <w:tcBorders>
              <w:top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Header"/>
              <w:widowControl/>
              <w:rPr>
                <w:lang w:val="en-US"/>
              </w:rPr>
            </w:pPr>
            <w:r>
              <w:rPr>
                <w:lang w:val="en-US"/>
              </w:rPr>
              <w:t>ISO</w:t>
            </w:r>
            <w:r>
              <w:rPr>
                <w:lang w:val="bg-BG"/>
              </w:rPr>
              <w:t xml:space="preserve"> 9001:</w:t>
            </w:r>
            <w:r>
              <w:rPr>
                <w:lang w:val="en-US"/>
              </w:rPr>
              <w:t>2015; ISO 14001:2015; ISO 45001:2018</w:t>
            </w:r>
          </w:p>
        </w:tc>
        <w:tc>
          <w:tcPr>
            <w:tcW w:w="1276" w:type="dxa"/>
            <w:vMerge w:val="continue"/>
            <w:tcBorders>
              <w:top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er"/>
              <w:widowControl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134" w:type="dxa"/>
            <w:vMerge w:val="continue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Header"/>
              <w:widowControl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trHeight w:val="263" w:hRule="atLeast"/>
          <w:cantSplit/>
        </w:trPr>
        <w:tc>
          <w:tcPr>
            <w:tcW w:w="2835" w:type="dxa"/>
            <w:vMerge w:val="continue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</w:tcPr>
          <w:p>
            <w:pPr>
              <w:pStyle w:val="Header"/>
              <w:widowControl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678" w:type="dxa"/>
            <w:vMerge w:val="restart"/>
            <w:tcBorders>
              <w:top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Header"/>
              <w:widowControl/>
              <w:jc w:val="center"/>
              <w:rPr>
                <w:i/>
                <w:lang w:val="en-US"/>
              </w:rPr>
            </w:pPr>
            <w:r>
              <w:rPr>
                <w:i/>
                <w:lang w:val="bg-BG"/>
              </w:rPr>
              <w:t xml:space="preserve">Раздел № </w:t>
            </w:r>
          </w:p>
          <w:p>
            <w:pPr>
              <w:pStyle w:val="Header"/>
              <w:widowControl/>
              <w:jc w:val="center"/>
              <w:rPr>
                <w:b/>
                <w:i/>
                <w:lang w:val="en-US"/>
              </w:rPr>
            </w:pPr>
            <w:r>
              <w:rPr>
                <w:i/>
                <w:lang w:val="bg-BG"/>
              </w:rPr>
              <w:t>Наименование на раздела</w:t>
            </w:r>
          </w:p>
        </w:tc>
        <w:tc>
          <w:tcPr>
            <w:tcW w:w="1276" w:type="dxa"/>
            <w:tcBorders>
              <w:top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er"/>
              <w:widowControl/>
              <w:rPr>
                <w:lang w:val="bg-BG"/>
              </w:rPr>
            </w:pPr>
            <w:r>
              <w:rPr>
                <w:lang w:val="en-US"/>
              </w:rPr>
              <w:t>Стр.</w:t>
            </w:r>
          </w:p>
        </w:tc>
        <w:tc>
          <w:tcPr>
            <w:tcW w:w="1134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Header"/>
              <w:widowControl/>
              <w:jc w:val="center"/>
              <w:rPr>
                <w:i/>
                <w:lang w:val="bg-BG"/>
              </w:rPr>
            </w:pPr>
            <w:r>
              <w:rPr>
                <w:i/>
                <w:lang w:val="en-US"/>
              </w:rPr>
              <w:t>1/вс.стр.</w:t>
            </w:r>
          </w:p>
        </w:tc>
      </w:tr>
      <w:tr>
        <w:trPr>
          <w:trHeight w:val="342" w:hRule="atLeast"/>
          <w:cantSplit/>
        </w:trPr>
        <w:tc>
          <w:tcPr>
            <w:tcW w:w="2835" w:type="dxa"/>
            <w:vMerge w:val="continue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</w:tcPr>
          <w:p>
            <w:pPr>
              <w:pStyle w:val="Header"/>
              <w:widowControl/>
              <w:snapToGrid w:val="false"/>
              <w:jc w:val="center"/>
              <w:rPr>
                <w:b/>
                <w:i/>
                <w:color w:val="008080"/>
                <w:lang w:val="en-US"/>
              </w:rPr>
            </w:pPr>
            <w:r>
              <w:rPr>
                <w:b/>
                <w:i/>
                <w:color w:val="008080"/>
                <w:lang w:val="en-US"/>
              </w:rPr>
            </w:r>
          </w:p>
        </w:tc>
        <w:tc>
          <w:tcPr>
            <w:tcW w:w="4678" w:type="dxa"/>
            <w:vMerge w:val="continue"/>
            <w:tcBorders>
              <w:top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Header"/>
              <w:widowControl/>
              <w:snapToGrid w:val="false"/>
              <w:jc w:val="center"/>
              <w:rPr>
                <w:b/>
                <w:i/>
                <w:color w:val="008080"/>
                <w:lang w:val="bg-BG"/>
              </w:rPr>
            </w:pPr>
            <w:r>
              <w:rPr>
                <w:b/>
                <w:i/>
                <w:color w:val="008080"/>
                <w:lang w:val="bg-BG"/>
              </w:rPr>
            </w:r>
          </w:p>
        </w:tc>
        <w:tc>
          <w:tcPr>
            <w:tcW w:w="1276" w:type="dxa"/>
            <w:tcBorders>
              <w:top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Header"/>
              <w:widowControl/>
              <w:rPr>
                <w:lang w:val="bg-BG"/>
              </w:rPr>
            </w:pPr>
            <w:r>
              <w:rPr>
                <w:lang w:val="en-US"/>
              </w:rPr>
              <w:t>Дата на и</w:t>
            </w:r>
            <w:r>
              <w:rPr>
                <w:lang w:val="bg-BG"/>
              </w:rPr>
              <w:t>зд</w:t>
            </w:r>
            <w:r>
              <w:rPr>
                <w:lang w:val="en-US"/>
              </w:rPr>
              <w:t>./изм.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Header"/>
              <w:widowControl/>
              <w:jc w:val="center"/>
              <w:rPr>
                <w:i/>
                <w:lang w:val="bg-BG"/>
              </w:rPr>
            </w:pPr>
            <w:r>
              <w:rPr>
                <w:i/>
                <w:lang w:val="bg-BG"/>
              </w:rPr>
              <w:t xml:space="preserve">дата </w:t>
            </w:r>
          </w:p>
        </w:tc>
      </w:tr>
    </w:tbl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tabs>
          <w:tab w:val="clear" w:pos="720"/>
          <w:tab w:val="left" w:pos="7176" w:leader="none"/>
        </w:tabs>
        <w:jc w:val="both"/>
        <w:rPr>
          <w:sz w:val="24"/>
          <w:lang w:val="bg-BG"/>
        </w:rPr>
      </w:pPr>
      <w:r>
        <w:rPr>
          <w:sz w:val="24"/>
          <w:lang w:val="bg-BG"/>
        </w:rPr>
        <w:t>За втора и следващи страници:</w:t>
        <w:tab/>
      </w:r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371"/>
        <w:gridCol w:w="851"/>
        <w:gridCol w:w="1701"/>
      </w:tblGrid>
      <w:tr>
        <w:trPr>
          <w:trHeight w:val="240" w:hRule="atLeast"/>
          <w:cantSplit/>
        </w:trPr>
        <w:tc>
          <w:tcPr>
            <w:tcW w:w="9923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Header"/>
              <w:widowControl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НАРЪЧНИК НА ИНТЕГРИРАНА СИСТЕМА</w:t>
            </w:r>
          </w:p>
        </w:tc>
      </w:tr>
      <w:tr>
        <w:trPr>
          <w:trHeight w:val="240" w:hRule="atLeast"/>
          <w:cantSplit/>
        </w:trPr>
        <w:tc>
          <w:tcPr>
            <w:tcW w:w="7371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Header"/>
              <w:widowControl/>
              <w:jc w:val="center"/>
              <w:rPr>
                <w:lang w:val="bg-BG"/>
              </w:rPr>
            </w:pPr>
            <w:r>
              <w:rPr>
                <w:lang w:val="bg-BG"/>
              </w:rPr>
              <w:t>Раздел №</w:t>
            </w:r>
          </w:p>
          <w:p>
            <w:pPr>
              <w:pStyle w:val="Header"/>
              <w:widowControl/>
              <w:jc w:val="center"/>
              <w:rPr>
                <w:b/>
                <w:lang w:val="bg-BG"/>
              </w:rPr>
            </w:pPr>
            <w:r>
              <w:rPr>
                <w:lang w:val="bg-BG"/>
              </w:rPr>
              <w:t xml:space="preserve"> </w:t>
            </w:r>
            <w:r>
              <w:rPr>
                <w:i/>
                <w:lang w:val="bg-BG"/>
              </w:rPr>
              <w:t>Наименование на раздела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er"/>
              <w:widowControl/>
              <w:rPr>
                <w:lang w:val="bg-BG"/>
              </w:rPr>
            </w:pPr>
            <w:r>
              <w:rPr>
                <w:lang w:val="bg-BG"/>
              </w:rPr>
              <w:t>Версия</w:t>
            </w:r>
          </w:p>
        </w:tc>
        <w:tc>
          <w:tcPr>
            <w:tcW w:w="1701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Header"/>
              <w:widowControl/>
              <w:jc w:val="center"/>
              <w:rPr>
                <w:i/>
                <w:lang w:val="bg-BG"/>
              </w:rPr>
            </w:pPr>
            <w:r>
              <w:rPr>
                <w:i/>
                <w:lang w:val="bg-BG"/>
              </w:rPr>
              <w:t>поредна</w:t>
            </w:r>
          </w:p>
        </w:tc>
      </w:tr>
      <w:tr>
        <w:trPr>
          <w:trHeight w:val="240" w:hRule="atLeast"/>
          <w:cantSplit/>
        </w:trPr>
        <w:tc>
          <w:tcPr>
            <w:tcW w:w="7371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Header"/>
              <w:widowControl/>
              <w:snapToGrid w:val="false"/>
              <w:jc w:val="center"/>
              <w:rPr>
                <w:b/>
                <w:i/>
                <w:lang w:val="bg-BG"/>
              </w:rPr>
            </w:pPr>
            <w:r>
              <w:rPr>
                <w:b/>
                <w:i/>
                <w:lang w:val="bg-BG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Header"/>
              <w:widowControl/>
              <w:rPr>
                <w:lang w:val="bg-BG"/>
              </w:rPr>
            </w:pPr>
            <w:r>
              <w:rPr>
                <w:lang w:val="bg-BG"/>
              </w:rPr>
              <w:t>Стр.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Header"/>
              <w:widowControl/>
              <w:rPr>
                <w:rStyle w:val="PageNumber"/>
                <w:i/>
                <w:lang w:val="bg-BG"/>
              </w:rPr>
            </w:pPr>
            <w:r>
              <w:rPr>
                <w:rStyle w:val="PageNumber"/>
                <w:i/>
                <w:lang w:val="bg-BG"/>
              </w:rPr>
              <w:t>поредна</w:t>
            </w:r>
            <w:r>
              <w:rPr>
                <w:i/>
                <w:lang w:val="bg-BG"/>
              </w:rPr>
              <w:t>/вс.стр</w:t>
            </w:r>
          </w:p>
        </w:tc>
      </w:tr>
    </w:tbl>
    <w:p>
      <w:pPr>
        <w:pStyle w:val="Header"/>
        <w:rPr>
          <w:rStyle w:val="PageNumber"/>
          <w:i/>
          <w:lang w:val="bg-BG"/>
        </w:rPr>
      </w:pPr>
      <w:r>
        <w:rPr/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7.2.2. Процедурни документи и работни инструкции</w:t>
      </w:r>
    </w:p>
    <w:p>
      <w:pPr>
        <w:pStyle w:val="Normal"/>
        <w:widowControl/>
        <w:jc w:val="both"/>
        <w:rPr/>
      </w:pPr>
      <w:r>
        <w:rPr/>
        <w:t>За първа страница:</w:t>
      </w:r>
    </w:p>
    <w:tbl>
      <w:tblPr>
        <w:tblW w:w="987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76"/>
        <w:gridCol w:w="1843"/>
        <w:gridCol w:w="4536"/>
        <w:gridCol w:w="1134"/>
        <w:gridCol w:w="1083"/>
      </w:tblGrid>
      <w:tr>
        <w:trPr>
          <w:cantSplit/>
        </w:trPr>
        <w:tc>
          <w:tcPr>
            <w:tcW w:w="3119" w:type="dxa"/>
            <w:gridSpan w:val="2"/>
            <w:vMerge w:val="restart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536" w:type="dxa"/>
            <w:tcBorders>
              <w:top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Header"/>
              <w:widowControl/>
              <w:ind w:start="1168" w:end="0"/>
              <w:rPr>
                <w:lang w:val="bg-BG"/>
              </w:rPr>
            </w:pPr>
            <w:r>
              <w:rPr>
                <w:i/>
                <w:lang w:val="bg-BG"/>
              </w:rPr>
              <w:t>Идентификационен код</w:t>
            </w:r>
          </w:p>
        </w:tc>
        <w:tc>
          <w:tcPr>
            <w:tcW w:w="1134" w:type="dxa"/>
            <w:tcBorders>
              <w:top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er"/>
              <w:widowControl/>
              <w:rPr>
                <w:lang w:val="bg-BG"/>
              </w:rPr>
            </w:pPr>
            <w:r>
              <w:rPr>
                <w:lang w:val="ru-RU"/>
              </w:rPr>
              <w:t>Версия</w:t>
            </w:r>
          </w:p>
        </w:tc>
        <w:tc>
          <w:tcPr>
            <w:tcW w:w="1083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Header"/>
              <w:widowControl/>
              <w:rPr>
                <w:i/>
                <w:lang w:val="bg-BG"/>
              </w:rPr>
            </w:pPr>
            <w:r>
              <w:rPr>
                <w:i/>
                <w:lang w:val="bg-BG"/>
              </w:rPr>
              <w:t>поредна</w:t>
            </w:r>
          </w:p>
        </w:tc>
      </w:tr>
      <w:tr>
        <w:trPr>
          <w:cantSplit/>
        </w:trPr>
        <w:tc>
          <w:tcPr>
            <w:tcW w:w="3119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Header"/>
              <w:widowControl/>
              <w:snapToGrid w:val="false"/>
              <w:rPr>
                <w:i/>
                <w:lang w:val="bg-BG"/>
              </w:rPr>
            </w:pPr>
            <w:r>
              <w:rPr>
                <w:i/>
                <w:lang w:val="bg-BG"/>
              </w:rPr>
            </w:r>
          </w:p>
        </w:tc>
        <w:tc>
          <w:tcPr>
            <w:tcW w:w="4536" w:type="dxa"/>
            <w:tcBorders>
              <w:top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Header"/>
              <w:widowControl/>
              <w:rPr>
                <w:lang w:val="en-US"/>
              </w:rPr>
            </w:pPr>
            <w:r>
              <w:rPr>
                <w:lang w:val="en-US"/>
              </w:rPr>
              <w:t>ISO</w:t>
            </w:r>
            <w:r>
              <w:rPr>
                <w:lang w:val="bg-BG"/>
              </w:rPr>
              <w:t xml:space="preserve"> 9001:</w:t>
            </w:r>
            <w:r>
              <w:rPr>
                <w:lang w:val="en-US"/>
              </w:rPr>
              <w:t>2015; ISO 14001:2015; ISO 45001:2018</w:t>
            </w:r>
          </w:p>
        </w:tc>
        <w:tc>
          <w:tcPr>
            <w:tcW w:w="1134" w:type="dxa"/>
            <w:tcBorders>
              <w:top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Header"/>
              <w:widowControl/>
              <w:rPr>
                <w:lang w:val="bg-BG"/>
              </w:rPr>
            </w:pPr>
            <w:r>
              <w:rPr>
                <w:lang w:val="bg-BG"/>
              </w:rPr>
              <w:t>Стр.</w:t>
            </w:r>
          </w:p>
        </w:tc>
        <w:tc>
          <w:tcPr>
            <w:tcW w:w="1083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Header"/>
              <w:widowControl/>
              <w:rPr>
                <w:lang w:val="bg-BG"/>
              </w:rPr>
            </w:pPr>
            <w:r>
              <w:rPr>
                <w:lang w:val="bg-BG"/>
              </w:rPr>
              <w:t>1/</w:t>
            </w:r>
            <w:r>
              <w:rPr>
                <w:i/>
                <w:lang w:val="bg-BG"/>
              </w:rPr>
              <w:t>вс.стр.</w:t>
            </w:r>
          </w:p>
        </w:tc>
      </w:tr>
      <w:tr>
        <w:trPr>
          <w:cantSplit/>
        </w:trPr>
        <w:tc>
          <w:tcPr>
            <w:tcW w:w="3119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Header"/>
              <w:widowControl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536" w:type="dxa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Header"/>
              <w:widowControl/>
              <w:snapToGrid w:val="false"/>
              <w:rPr>
                <w:i/>
                <w:lang w:val="bg-BG"/>
              </w:rPr>
            </w:pPr>
            <w:r>
              <w:rPr>
                <w:i/>
                <w:lang w:val="bg-BG"/>
              </w:rPr>
            </w:r>
          </w:p>
          <w:p>
            <w:pPr>
              <w:pStyle w:val="Header"/>
              <w:widowControl/>
              <w:rPr>
                <w:i/>
                <w:lang w:val="bg-BG"/>
              </w:rPr>
            </w:pPr>
            <w:r>
              <w:rPr>
                <w:i/>
                <w:lang w:val="bg-BG"/>
              </w:rPr>
              <w:t>Наименование на документа</w:t>
            </w:r>
          </w:p>
          <w:p>
            <w:pPr>
              <w:pStyle w:val="Header"/>
              <w:widowControl/>
              <w:rPr>
                <w:i/>
                <w:lang w:val="bg-BG"/>
              </w:rPr>
            </w:pPr>
            <w:r>
              <w:rPr>
                <w:i/>
                <w:lang w:val="bg-BG"/>
              </w:rPr>
            </w:r>
          </w:p>
        </w:tc>
        <w:tc>
          <w:tcPr>
            <w:tcW w:w="1134" w:type="dxa"/>
            <w:tcBorders>
              <w:top w:val="single" w:sz="12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Header"/>
              <w:widowControl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Header"/>
              <w:widowControl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Header"/>
              <w:widowControl/>
              <w:rPr>
                <w:lang w:val="bg-BG"/>
              </w:rPr>
            </w:pPr>
            <w:r>
              <w:rPr>
                <w:lang w:val="bg-BG"/>
              </w:rPr>
              <w:t>Подпис:</w:t>
            </w:r>
          </w:p>
        </w:tc>
        <w:tc>
          <w:tcPr>
            <w:tcW w:w="1083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Header"/>
              <w:widowControl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Header"/>
              <w:widowControl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Header"/>
              <w:widowControl/>
              <w:rPr>
                <w:lang w:val="bg-BG"/>
              </w:rPr>
            </w:pPr>
            <w:r>
              <w:rPr>
                <w:lang w:val="bg-BG"/>
              </w:rPr>
              <w:t>Дата:</w:t>
            </w:r>
          </w:p>
        </w:tc>
      </w:tr>
      <w:tr>
        <w:trPr>
          <w:cantSplit/>
        </w:trPr>
        <w:tc>
          <w:tcPr>
            <w:tcW w:w="1276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er"/>
              <w:widowControl/>
              <w:rPr>
                <w:lang w:val="bg-BG"/>
              </w:rPr>
            </w:pPr>
            <w:r>
              <w:rPr>
                <w:lang w:val="bg-BG"/>
              </w:rPr>
              <w:t>Разработил:</w:t>
            </w:r>
          </w:p>
        </w:tc>
        <w:tc>
          <w:tcPr>
            <w:tcW w:w="6379" w:type="dxa"/>
            <w:gridSpan w:val="2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Header"/>
              <w:widowControl/>
              <w:rPr>
                <w:lang w:val="bg-BG"/>
              </w:rPr>
            </w:pPr>
            <w:r>
              <w:rPr>
                <w:i/>
                <w:lang w:val="bg-BG"/>
              </w:rPr>
              <w:t>Длъжностно лице, разработило документа</w:t>
            </w:r>
          </w:p>
        </w:tc>
        <w:tc>
          <w:tcPr>
            <w:tcW w:w="1134" w:type="dxa"/>
            <w:tcBorders>
              <w:top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er"/>
              <w:widowControl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083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Header"/>
              <w:widowControl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1276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Header"/>
              <w:widowControl/>
              <w:rPr>
                <w:lang w:val="bg-BG"/>
              </w:rPr>
            </w:pPr>
            <w:r>
              <w:rPr>
                <w:lang w:val="bg-BG"/>
              </w:rPr>
              <w:t>Утвърдил:</w:t>
            </w:r>
          </w:p>
        </w:tc>
        <w:tc>
          <w:tcPr>
            <w:tcW w:w="6379" w:type="dxa"/>
            <w:gridSpan w:val="2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Header"/>
              <w:widowControl/>
              <w:rPr>
                <w:lang w:val="bg-BG"/>
              </w:rPr>
            </w:pPr>
            <w:r>
              <w:rPr>
                <w:i/>
                <w:lang w:val="bg-BG"/>
              </w:rPr>
              <w:t>Длъжностно лице, одобрило документа</w:t>
            </w:r>
          </w:p>
        </w:tc>
        <w:tc>
          <w:tcPr>
            <w:tcW w:w="1134" w:type="dxa"/>
            <w:tcBorders>
              <w:top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Header"/>
              <w:widowControl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083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Header"/>
              <w:widowControl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</w:tbl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/>
      </w:pPr>
      <w:r>
        <w:rPr/>
        <w:t>За втора и следващи страници:</w:t>
      </w:r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797"/>
        <w:gridCol w:w="1134"/>
        <w:gridCol w:w="992"/>
      </w:tblGrid>
      <w:tr>
        <w:trPr>
          <w:cantSplit/>
        </w:trPr>
        <w:tc>
          <w:tcPr>
            <w:tcW w:w="7797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Header"/>
              <w:widowControl/>
              <w:rPr>
                <w:lang w:val="bg-BG"/>
              </w:rPr>
            </w:pPr>
            <w:r>
              <w:rPr>
                <w:i/>
                <w:lang w:val="bg-BG"/>
              </w:rPr>
              <w:t>Идентификационен код</w:t>
            </w:r>
          </w:p>
        </w:tc>
        <w:tc>
          <w:tcPr>
            <w:tcW w:w="1134" w:type="dxa"/>
            <w:tcBorders>
              <w:top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er"/>
              <w:widowControl/>
              <w:rPr>
                <w:lang w:val="bg-BG"/>
              </w:rPr>
            </w:pPr>
            <w:r>
              <w:rPr>
                <w:lang w:val="ru-RU"/>
              </w:rPr>
              <w:t>Версия</w:t>
            </w:r>
          </w:p>
        </w:tc>
        <w:tc>
          <w:tcPr>
            <w:tcW w:w="992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Header"/>
              <w:widowControl/>
              <w:rPr>
                <w:i/>
                <w:lang w:val="bg-BG"/>
              </w:rPr>
            </w:pPr>
            <w:r>
              <w:rPr>
                <w:i/>
                <w:lang w:val="bg-BG"/>
              </w:rPr>
              <w:t>поредна</w:t>
            </w:r>
          </w:p>
        </w:tc>
      </w:tr>
      <w:tr>
        <w:trPr>
          <w:cantSplit/>
        </w:trPr>
        <w:tc>
          <w:tcPr>
            <w:tcW w:w="7797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Header"/>
              <w:widowControl/>
              <w:rPr>
                <w:lang w:val="en-US"/>
              </w:rPr>
            </w:pPr>
            <w:r>
              <w:rPr>
                <w:lang w:val="en-US"/>
              </w:rPr>
              <w:t>ISO</w:t>
            </w:r>
            <w:r>
              <w:rPr>
                <w:lang w:val="bg-BG"/>
              </w:rPr>
              <w:t xml:space="preserve"> 9001:</w:t>
            </w:r>
            <w:r>
              <w:rPr>
                <w:lang w:val="en-US"/>
              </w:rPr>
              <w:t>2015; ISO 14001:2015; ISO 45001:2018</w:t>
            </w:r>
          </w:p>
        </w:tc>
        <w:tc>
          <w:tcPr>
            <w:tcW w:w="1134" w:type="dxa"/>
            <w:tcBorders>
              <w:top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Header"/>
              <w:widowControl/>
              <w:rPr>
                <w:lang w:val="bg-BG"/>
              </w:rPr>
            </w:pPr>
            <w:r>
              <w:rPr>
                <w:lang w:val="bg-BG"/>
              </w:rPr>
              <w:t>Стр.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Header"/>
              <w:widowControl/>
              <w:jc w:val="center"/>
              <w:rPr>
                <w:lang w:val="bg-BG"/>
              </w:rPr>
            </w:pPr>
            <w:r>
              <w:rPr>
                <w:i/>
                <w:lang w:val="bg-BG"/>
              </w:rPr>
              <w:t>пор./вс.</w:t>
            </w:r>
          </w:p>
        </w:tc>
      </w:tr>
      <w:tr>
        <w:trPr>
          <w:cantSplit/>
        </w:trPr>
        <w:tc>
          <w:tcPr>
            <w:tcW w:w="9923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Header"/>
              <w:widowControl/>
              <w:jc w:val="center"/>
              <w:rPr>
                <w:b/>
                <w:lang w:val="bg-BG"/>
              </w:rPr>
            </w:pPr>
            <w:r>
              <w:rPr>
                <w:i/>
                <w:lang w:val="bg-BG"/>
              </w:rPr>
              <w:t>Наименование на документа</w:t>
            </w:r>
          </w:p>
        </w:tc>
      </w:tr>
    </w:tbl>
    <w:p>
      <w:pPr>
        <w:pStyle w:val="Normal"/>
        <w:widowControl/>
        <w:jc w:val="both"/>
        <w:rPr>
          <w:b/>
          <w:i/>
          <w:sz w:val="24"/>
          <w:lang w:val="bg-BG"/>
        </w:rPr>
      </w:pPr>
      <w:r>
        <w:rPr>
          <w:b/>
          <w:i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7.2.3. Оперативни документи: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/>
      </w:pPr>
      <w:r>
        <w:rPr/>
        <w:t>За първа страница:</w:t>
      </w:r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044"/>
        <w:gridCol w:w="4536"/>
        <w:gridCol w:w="1134"/>
        <w:gridCol w:w="1209"/>
      </w:tblGrid>
      <w:tr>
        <w:trPr>
          <w:cantSplit/>
        </w:trPr>
        <w:tc>
          <w:tcPr>
            <w:tcW w:w="3044" w:type="dxa"/>
            <w:vMerge w:val="restart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Normal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4536" w:type="dxa"/>
            <w:tcBorders>
              <w:top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Header"/>
              <w:widowControl/>
              <w:rPr>
                <w:lang w:val="bg-BG"/>
              </w:rPr>
            </w:pPr>
            <w:r>
              <w:rPr>
                <w:i/>
                <w:lang w:val="bg-BG"/>
              </w:rPr>
              <w:t>Идентификационен код</w:t>
            </w:r>
          </w:p>
        </w:tc>
        <w:tc>
          <w:tcPr>
            <w:tcW w:w="1134" w:type="dxa"/>
            <w:tcBorders>
              <w:top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er"/>
              <w:widowControl/>
              <w:rPr>
                <w:lang w:val="bg-BG"/>
              </w:rPr>
            </w:pPr>
            <w:r>
              <w:rPr>
                <w:lang w:val="ru-RU"/>
              </w:rPr>
              <w:t>Версия</w:t>
            </w:r>
          </w:p>
        </w:tc>
        <w:tc>
          <w:tcPr>
            <w:tcW w:w="1209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Header"/>
              <w:widowControl/>
              <w:rPr>
                <w:i/>
                <w:lang w:val="bg-BG"/>
              </w:rPr>
            </w:pPr>
            <w:r>
              <w:rPr>
                <w:i/>
                <w:lang w:val="bg-BG"/>
              </w:rPr>
              <w:t>поредна</w:t>
            </w:r>
          </w:p>
        </w:tc>
      </w:tr>
      <w:tr>
        <w:trPr>
          <w:cantSplit/>
        </w:trPr>
        <w:tc>
          <w:tcPr>
            <w:tcW w:w="3044" w:type="dxa"/>
            <w:vMerge w:val="continue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</w:tcPr>
          <w:p>
            <w:pPr>
              <w:pStyle w:val="Header"/>
              <w:widowControl/>
              <w:snapToGrid w:val="false"/>
              <w:rPr>
                <w:i/>
                <w:lang w:val="bg-BG"/>
              </w:rPr>
            </w:pPr>
            <w:r>
              <w:rPr>
                <w:i/>
                <w:lang w:val="bg-BG"/>
              </w:rPr>
            </w:r>
          </w:p>
        </w:tc>
        <w:tc>
          <w:tcPr>
            <w:tcW w:w="4536" w:type="dxa"/>
            <w:tcBorders>
              <w:top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Header"/>
              <w:widowControl/>
              <w:rPr>
                <w:lang w:val="en-US"/>
              </w:rPr>
            </w:pPr>
            <w:r>
              <w:rPr>
                <w:lang w:val="en-US"/>
              </w:rPr>
              <w:t>ISO</w:t>
            </w:r>
            <w:r>
              <w:rPr>
                <w:lang w:val="bg-BG"/>
              </w:rPr>
              <w:t xml:space="preserve"> 9001:</w:t>
            </w:r>
            <w:r>
              <w:rPr>
                <w:lang w:val="en-US"/>
              </w:rPr>
              <w:t>2015; ISO 14001:2015; ISO 45001:2018</w:t>
            </w:r>
          </w:p>
        </w:tc>
        <w:tc>
          <w:tcPr>
            <w:tcW w:w="1134" w:type="dxa"/>
            <w:tcBorders>
              <w:top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Header"/>
              <w:widowControl/>
              <w:rPr>
                <w:lang w:val="bg-BG"/>
              </w:rPr>
            </w:pPr>
            <w:r>
              <w:rPr>
                <w:lang w:val="bg-BG"/>
              </w:rPr>
              <w:t>Стр.</w:t>
            </w:r>
          </w:p>
        </w:tc>
        <w:tc>
          <w:tcPr>
            <w:tcW w:w="1209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Header"/>
              <w:widowControl/>
              <w:rPr>
                <w:lang w:val="bg-BG"/>
              </w:rPr>
            </w:pPr>
            <w:r>
              <w:rPr>
                <w:lang w:val="bg-BG"/>
              </w:rPr>
              <w:t>1/</w:t>
            </w:r>
            <w:r>
              <w:rPr>
                <w:i/>
                <w:lang w:val="bg-BG"/>
              </w:rPr>
              <w:t>вс.стр.</w:t>
            </w:r>
          </w:p>
        </w:tc>
      </w:tr>
      <w:tr>
        <w:trPr>
          <w:cantSplit/>
        </w:trPr>
        <w:tc>
          <w:tcPr>
            <w:tcW w:w="3044" w:type="dxa"/>
            <w:vMerge w:val="continue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</w:tcPr>
          <w:p>
            <w:pPr>
              <w:pStyle w:val="Header"/>
              <w:widowControl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6879" w:type="dxa"/>
            <w:gridSpan w:val="3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Header"/>
              <w:widowControl/>
              <w:snapToGrid w:val="false"/>
              <w:jc w:val="center"/>
              <w:rPr>
                <w:i/>
                <w:lang w:val="en-US"/>
              </w:rPr>
            </w:pPr>
            <w:r>
              <w:rPr>
                <w:i/>
                <w:lang w:val="en-US"/>
              </w:rPr>
            </w:r>
          </w:p>
          <w:p>
            <w:pPr>
              <w:pStyle w:val="Header"/>
              <w:widowControl/>
              <w:jc w:val="center"/>
              <w:rPr>
                <w:i/>
                <w:lang w:val="bg-BG"/>
              </w:rPr>
            </w:pPr>
            <w:r>
              <w:rPr>
                <w:i/>
                <w:lang w:val="bg-BG"/>
              </w:rPr>
              <w:t>Наименование на документа</w:t>
            </w:r>
          </w:p>
          <w:p>
            <w:pPr>
              <w:pStyle w:val="Header"/>
              <w:widowControl/>
              <w:jc w:val="center"/>
              <w:rPr>
                <w:b/>
                <w:i/>
                <w:lang w:val="bg-BG"/>
              </w:rPr>
            </w:pPr>
            <w:r>
              <w:rPr>
                <w:b/>
                <w:i/>
                <w:lang w:val="bg-BG"/>
              </w:rPr>
            </w:r>
          </w:p>
        </w:tc>
      </w:tr>
    </w:tbl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>Първа страница на всеки оперативен документ трябва да съдържа в долния си край таблица, която да указва автора на документа и длъжностното лице, което го утвърждава. При използване на документа за изготвяне на записи, тази таблица се отстранява.</w:t>
      </w:r>
    </w:p>
    <w:p>
      <w:pPr>
        <w:pStyle w:val="Normal"/>
        <w:widowControl/>
        <w:jc w:val="both"/>
        <w:rPr>
          <w:sz w:val="24"/>
          <w:lang w:val="en-US"/>
        </w:rPr>
      </w:pPr>
      <w:r>
        <w:rPr>
          <w:sz w:val="24"/>
          <w:lang w:val="en-US"/>
        </w:rPr>
      </w:r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18"/>
        <w:gridCol w:w="5670"/>
        <w:gridCol w:w="1559"/>
        <w:gridCol w:w="1276"/>
      </w:tblGrid>
      <w:tr>
        <w:trPr/>
        <w:tc>
          <w:tcPr>
            <w:tcW w:w="1418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Footer"/>
              <w:rPr>
                <w:lang w:val="ru-RU"/>
              </w:rPr>
            </w:pPr>
            <w:r>
              <w:rPr>
                <w:lang w:val="bg-BG"/>
              </w:rPr>
              <w:t>Разработил:</w:t>
            </w:r>
          </w:p>
        </w:tc>
        <w:tc>
          <w:tcPr>
            <w:tcW w:w="5670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Footer"/>
              <w:rPr>
                <w:i/>
                <w:lang w:val="bg-BG"/>
              </w:rPr>
            </w:pPr>
            <w:r>
              <w:rPr>
                <w:i/>
                <w:lang w:val="bg-BG"/>
              </w:rPr>
              <w:t>Длъжностно лице, разработило документа</w:t>
            </w:r>
          </w:p>
        </w:tc>
        <w:tc>
          <w:tcPr>
            <w:tcW w:w="1559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Footer"/>
              <w:rPr>
                <w:lang w:val="ru-RU"/>
              </w:rPr>
            </w:pPr>
            <w:r>
              <w:rPr>
                <w:lang w:val="bg-BG"/>
              </w:rPr>
              <w:t>Подпис:</w:t>
            </w:r>
          </w:p>
        </w:tc>
        <w:tc>
          <w:tcPr>
            <w:tcW w:w="1276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Footer"/>
              <w:rPr>
                <w:lang w:val="ru-RU"/>
              </w:rPr>
            </w:pPr>
            <w:r>
              <w:rPr>
                <w:lang w:val="bg-BG"/>
              </w:rPr>
              <w:t>Дата:</w:t>
            </w:r>
          </w:p>
        </w:tc>
      </w:tr>
      <w:tr>
        <w:trPr/>
        <w:tc>
          <w:tcPr>
            <w:tcW w:w="1418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Footer"/>
              <w:rPr>
                <w:lang w:val="ru-RU"/>
              </w:rPr>
            </w:pPr>
            <w:r>
              <w:rPr>
                <w:lang w:val="bg-BG"/>
              </w:rPr>
              <w:t>Утвърдил:</w:t>
            </w:r>
          </w:p>
        </w:tc>
        <w:tc>
          <w:tcPr>
            <w:tcW w:w="5670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Footer"/>
              <w:rPr>
                <w:i/>
                <w:lang w:val="bg-BG"/>
              </w:rPr>
            </w:pPr>
            <w:r>
              <w:rPr>
                <w:i/>
                <w:lang w:val="bg-BG"/>
              </w:rPr>
              <w:t>Длъжностно лице, одобрило документа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Footer"/>
              <w:rPr>
                <w:lang w:val="ru-RU"/>
              </w:rPr>
            </w:pPr>
            <w:r>
              <w:rPr>
                <w:lang w:val="bg-BG"/>
              </w:rPr>
              <w:t>Подпис: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Footer"/>
              <w:rPr>
                <w:lang w:val="ru-RU"/>
              </w:rPr>
            </w:pPr>
            <w:r>
              <w:rPr>
                <w:lang w:val="bg-BG"/>
              </w:rPr>
              <w:t>Дата:</w:t>
            </w:r>
          </w:p>
        </w:tc>
      </w:tr>
    </w:tbl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>Идентификацията на документите става чрез буквено-цифров код:</w:t>
      </w:r>
    </w:p>
    <w:p>
      <w:pPr>
        <w:pStyle w:val="Normal"/>
        <w:widowControl/>
        <w:jc w:val="both"/>
        <w:rPr/>
      </w:pPr>
      <w:r>
        <w:rPr>
          <w:b/>
          <w:sz w:val="24"/>
          <w:lang w:val="bg-BG"/>
        </w:rPr>
        <w:t xml:space="preserve">ХХ АА.ВВ.СС - Е 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>където:</w:t>
      </w:r>
    </w:p>
    <w:p>
      <w:pPr>
        <w:pStyle w:val="Normal"/>
        <w:widowControl/>
        <w:jc w:val="both"/>
        <w:rPr/>
      </w:pPr>
      <w:r>
        <w:rPr>
          <w:b/>
          <w:sz w:val="24"/>
          <w:lang w:val="en-US"/>
        </w:rPr>
        <w:t>XX</w:t>
      </w:r>
      <w:r>
        <w:rPr>
          <w:sz w:val="24"/>
          <w:lang w:val="bg-BG"/>
        </w:rPr>
        <w:t xml:space="preserve"> - определя вида на документа -</w:t>
      </w:r>
    </w:p>
    <w:p>
      <w:pPr>
        <w:pStyle w:val="Normal"/>
        <w:widowControl/>
        <w:numPr>
          <w:ilvl w:val="0"/>
          <w:numId w:val="12"/>
        </w:numPr>
        <w:ind w:hanging="0" w:start="0" w:end="0"/>
        <w:jc w:val="both"/>
        <w:rPr>
          <w:sz w:val="24"/>
          <w:lang w:val="ru-RU"/>
        </w:rPr>
      </w:pPr>
      <w:r>
        <w:rPr>
          <w:sz w:val="24"/>
          <w:lang w:val="en-US"/>
        </w:rPr>
        <w:t>PK</w:t>
      </w:r>
      <w:r>
        <w:rPr>
          <w:sz w:val="24"/>
          <w:lang w:val="bg-BG"/>
        </w:rPr>
        <w:t xml:space="preserve"> – Процедура по качеството;</w:t>
      </w:r>
    </w:p>
    <w:p>
      <w:pPr>
        <w:pStyle w:val="Normal"/>
        <w:widowControl/>
        <w:numPr>
          <w:ilvl w:val="0"/>
          <w:numId w:val="12"/>
        </w:numPr>
        <w:ind w:hanging="0" w:start="0" w:end="0"/>
        <w:jc w:val="both"/>
        <w:rPr>
          <w:sz w:val="24"/>
          <w:lang w:val="ru-RU"/>
        </w:rPr>
      </w:pPr>
      <w:r>
        <w:rPr>
          <w:sz w:val="24"/>
          <w:lang w:val="en-US"/>
        </w:rPr>
        <w:t xml:space="preserve">PO – </w:t>
      </w:r>
      <w:r>
        <w:rPr>
          <w:sz w:val="24"/>
          <w:lang w:val="bg-BG"/>
        </w:rPr>
        <w:t>Процедура по околната среда</w:t>
      </w:r>
    </w:p>
    <w:p>
      <w:pPr>
        <w:pStyle w:val="Normal"/>
        <w:widowControl/>
        <w:numPr>
          <w:ilvl w:val="0"/>
          <w:numId w:val="12"/>
        </w:numPr>
        <w:ind w:hanging="0" w:start="0" w:end="0"/>
        <w:jc w:val="both"/>
        <w:rPr>
          <w:sz w:val="24"/>
          <w:lang w:val="ru-RU"/>
        </w:rPr>
      </w:pPr>
      <w:r>
        <w:rPr>
          <w:sz w:val="24"/>
          <w:lang w:val="bg-BG"/>
        </w:rPr>
        <w:t>Р</w:t>
      </w:r>
      <w:r>
        <w:rPr>
          <w:sz w:val="24"/>
          <w:lang w:val="en-US"/>
        </w:rPr>
        <w:t xml:space="preserve">ZBUT – </w:t>
      </w:r>
      <w:r>
        <w:rPr>
          <w:sz w:val="24"/>
          <w:lang w:val="bg-BG"/>
        </w:rPr>
        <w:t>процедура по здраве и безопасност</w:t>
      </w:r>
    </w:p>
    <w:p>
      <w:pPr>
        <w:pStyle w:val="Normal"/>
        <w:widowControl/>
        <w:numPr>
          <w:ilvl w:val="0"/>
          <w:numId w:val="12"/>
        </w:numPr>
        <w:ind w:hanging="0" w:start="0" w:end="0"/>
        <w:jc w:val="both"/>
        <w:rPr>
          <w:sz w:val="24"/>
          <w:lang w:val="ru-RU"/>
        </w:rPr>
      </w:pPr>
      <w:r>
        <w:rPr>
          <w:sz w:val="24"/>
          <w:lang w:val="en-US"/>
        </w:rPr>
        <w:t xml:space="preserve">RI </w:t>
      </w:r>
      <w:r>
        <w:rPr>
          <w:sz w:val="24"/>
          <w:lang w:val="bg-BG"/>
        </w:rPr>
        <w:t xml:space="preserve"> - Работна инструкция;</w:t>
      </w:r>
    </w:p>
    <w:p>
      <w:pPr>
        <w:pStyle w:val="Normal"/>
        <w:widowControl/>
        <w:numPr>
          <w:ilvl w:val="0"/>
          <w:numId w:val="12"/>
        </w:numPr>
        <w:ind w:hanging="0" w:start="0" w:end="0"/>
        <w:jc w:val="both"/>
        <w:rPr>
          <w:sz w:val="24"/>
          <w:lang w:val="ru-RU"/>
        </w:rPr>
      </w:pPr>
      <w:r>
        <w:rPr>
          <w:sz w:val="24"/>
          <w:lang w:val="en-US"/>
        </w:rPr>
        <w:t>OD</w:t>
      </w:r>
      <w:r>
        <w:rPr>
          <w:sz w:val="24"/>
          <w:lang w:val="bg-BG"/>
        </w:rPr>
        <w:t xml:space="preserve"> - Оперативен документ.</w:t>
      </w:r>
    </w:p>
    <w:p>
      <w:pPr>
        <w:pStyle w:val="Normal"/>
        <w:widowControl/>
        <w:jc w:val="both"/>
        <w:rPr/>
      </w:pPr>
      <w:r>
        <w:rPr>
          <w:b/>
          <w:sz w:val="24"/>
          <w:lang w:val="bg-BG"/>
        </w:rPr>
        <w:t>АА.ВВ.СС</w:t>
      </w:r>
      <w:r>
        <w:rPr>
          <w:sz w:val="24"/>
          <w:lang w:val="bg-BG"/>
        </w:rPr>
        <w:t xml:space="preserve"> - посочва номера на изискването, съгласно </w:t>
      </w:r>
      <w:r>
        <w:rPr>
          <w:sz w:val="24"/>
          <w:lang w:val="en-US"/>
        </w:rPr>
        <w:t>ISO</w:t>
      </w:r>
      <w:r>
        <w:rPr>
          <w:sz w:val="24"/>
          <w:lang w:val="bg-BG"/>
        </w:rPr>
        <w:t xml:space="preserve"> 9001:2015</w:t>
      </w:r>
      <w:r>
        <w:rPr>
          <w:sz w:val="24"/>
          <w:lang w:val="en-US"/>
        </w:rPr>
        <w:t>; ISO14001:2015; ISO</w:t>
      </w:r>
      <w:r>
        <w:rPr>
          <w:sz w:val="24"/>
          <w:lang w:val="bg-BG"/>
        </w:rPr>
        <w:t xml:space="preserve"> </w:t>
      </w:r>
      <w:r>
        <w:rPr>
          <w:sz w:val="24"/>
          <w:lang w:val="en-US"/>
        </w:rPr>
        <w:t>45001:2018</w:t>
      </w:r>
      <w:r>
        <w:rPr>
          <w:sz w:val="24"/>
          <w:lang w:val="bg-BG"/>
        </w:rPr>
        <w:t>.</w:t>
      </w:r>
    </w:p>
    <w:p>
      <w:pPr>
        <w:pStyle w:val="Normal"/>
        <w:widowControl/>
        <w:jc w:val="both"/>
        <w:rPr/>
      </w:pPr>
      <w:r>
        <w:rPr>
          <w:b/>
          <w:sz w:val="24"/>
          <w:lang w:val="ru-RU"/>
        </w:rPr>
        <w:t>Е</w:t>
      </w:r>
      <w:r>
        <w:rPr>
          <w:sz w:val="24"/>
          <w:lang w:val="bg-BG"/>
        </w:rPr>
        <w:t xml:space="preserve"> - показва поредния номер на оперативния документ или работна инструкция.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7.2.4. Препоръчителна структура на документите</w:t>
      </w:r>
    </w:p>
    <w:p>
      <w:pPr>
        <w:pStyle w:val="Heading2"/>
        <w:ind w:hanging="0" w:start="0"/>
        <w:rPr>
          <w:b/>
          <w:i w:val="false"/>
          <w:sz w:val="24"/>
          <w:lang w:val="bg-BG"/>
        </w:rPr>
      </w:pPr>
      <w:r>
        <w:rPr>
          <w:b/>
          <w:i w:val="false"/>
          <w:sz w:val="24"/>
          <w:lang w:val="bg-BG"/>
        </w:rPr>
      </w:r>
    </w:p>
    <w:p>
      <w:pPr>
        <w:pStyle w:val="Heading2"/>
        <w:ind w:hanging="0" w:start="0"/>
        <w:rPr>
          <w:i w:val="false"/>
        </w:rPr>
      </w:pPr>
      <w:r>
        <w:rPr>
          <w:i w:val="false"/>
        </w:rPr>
        <w:t>Процедурен документ за дейност</w:t>
      </w:r>
    </w:p>
    <w:p>
      <w:pPr>
        <w:pStyle w:val="Normal"/>
        <w:widowControl/>
        <w:numPr>
          <w:ilvl w:val="0"/>
          <w:numId w:val="12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Цел</w:t>
      </w:r>
    </w:p>
    <w:p>
      <w:pPr>
        <w:pStyle w:val="Normal"/>
        <w:widowControl/>
        <w:numPr>
          <w:ilvl w:val="0"/>
          <w:numId w:val="12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Област на приложение</w:t>
      </w:r>
    </w:p>
    <w:p>
      <w:pPr>
        <w:pStyle w:val="Normal"/>
        <w:widowControl/>
        <w:numPr>
          <w:ilvl w:val="0"/>
          <w:numId w:val="12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Отговорности</w:t>
      </w:r>
    </w:p>
    <w:p>
      <w:pPr>
        <w:pStyle w:val="Normal"/>
        <w:widowControl/>
        <w:numPr>
          <w:ilvl w:val="0"/>
          <w:numId w:val="12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Документи</w:t>
      </w:r>
    </w:p>
    <w:p>
      <w:pPr>
        <w:pStyle w:val="Normal"/>
        <w:widowControl/>
        <w:numPr>
          <w:ilvl w:val="0"/>
          <w:numId w:val="12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Практика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Heading2"/>
        <w:ind w:hanging="0" w:start="0"/>
        <w:rPr>
          <w:i w:val="false"/>
        </w:rPr>
      </w:pPr>
      <w:r>
        <w:rPr>
          <w:i w:val="false"/>
        </w:rPr>
        <w:t>Процедурен документ за процес</w:t>
      </w:r>
    </w:p>
    <w:p>
      <w:pPr>
        <w:pStyle w:val="Normal"/>
        <w:widowControl/>
        <w:numPr>
          <w:ilvl w:val="0"/>
          <w:numId w:val="12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Цел</w:t>
      </w:r>
    </w:p>
    <w:p>
      <w:pPr>
        <w:pStyle w:val="Normal"/>
        <w:widowControl/>
        <w:numPr>
          <w:ilvl w:val="0"/>
          <w:numId w:val="12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Съдържание на процеса</w:t>
      </w:r>
    </w:p>
    <w:p>
      <w:pPr>
        <w:pStyle w:val="Normal"/>
        <w:widowControl/>
        <w:numPr>
          <w:ilvl w:val="0"/>
          <w:numId w:val="12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Отговорности за извършване на процеса</w:t>
      </w:r>
    </w:p>
    <w:p>
      <w:pPr>
        <w:pStyle w:val="Normal"/>
        <w:widowControl/>
        <w:numPr>
          <w:ilvl w:val="0"/>
          <w:numId w:val="12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Потребител на процеса</w:t>
      </w:r>
    </w:p>
    <w:p>
      <w:pPr>
        <w:pStyle w:val="Normal"/>
        <w:widowControl/>
        <w:numPr>
          <w:ilvl w:val="0"/>
          <w:numId w:val="12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Критерии за оценяване на процеса</w:t>
      </w:r>
    </w:p>
    <w:p>
      <w:pPr>
        <w:pStyle w:val="Normal"/>
        <w:widowControl/>
        <w:numPr>
          <w:ilvl w:val="0"/>
          <w:numId w:val="12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Термини и определения</w:t>
      </w:r>
    </w:p>
    <w:p>
      <w:pPr>
        <w:pStyle w:val="Normal"/>
        <w:widowControl/>
        <w:numPr>
          <w:ilvl w:val="0"/>
          <w:numId w:val="3"/>
        </w:numPr>
        <w:jc w:val="both"/>
        <w:rPr>
          <w:b/>
          <w:sz w:val="24"/>
          <w:lang w:val="bg-BG"/>
        </w:rPr>
      </w:pPr>
      <w:r>
        <w:rPr>
          <w:sz w:val="24"/>
          <w:lang w:val="bg-BG"/>
        </w:rPr>
        <w:t xml:space="preserve">Процедура </w:t>
      </w:r>
    </w:p>
    <w:p>
      <w:pPr>
        <w:pStyle w:val="Normal"/>
        <w:widowControl/>
        <w:numPr>
          <w:ilvl w:val="0"/>
          <w:numId w:val="3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Свързани документи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>Структурата на работните инструкции не се регламентира.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>В раздел ЦЕЛ се посочва предназначението на документа.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>В раздел СЪДЪРЖАНИЕ НА ПРОЦЕСА се посочват вход на процеса, дейности, които трябва да бъдат извършени и изход на процеса.</w:t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>В раздел ОТГОВОРНОСТИ (ОТГОВОРНОСТИ ЗА ИЗВЪРШВАНЕ НА ПРОЦЕСА) трябва да се посочат лицата, отговорни за изпълнение на дейностите – „собствениците на процеса”.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>В раздел ПОТРЕБИТЕЛ НА ПРОЦЕСА се посочват процесите, които имат за вход изхода на описвания процес.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>В раздел КРИТЕРИИ ЗА ОЦЕНЯВАНЕ НА ПРОЦЕСА се посочват показателите, по които ще се оценява ефективното и ефикасно протичане на процеса.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>В раздел ТЕРМИНИ И ОПРЕДЕЛЕНИЯ се дефинират специфичните думи и изрази, използвани в процедурния документ. Този раздел се разработва при необходимост.</w:t>
      </w:r>
    </w:p>
    <w:p>
      <w:pPr>
        <w:pStyle w:val="Normal"/>
        <w:widowControl/>
        <w:jc w:val="both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>В раздел ПРОЦЕДУРА трябва да се даде структурата и съдържанието на процеса или процедурата, като ясно се описва последователността от действия, които трябва да бъдат предприети за извършване на дейността - какво трябва да бъде направено, от кого, кога, къде и как трябва да бъде направено, какви документи трябва да бъдат използвани, по какъв начин това трябва да бъде управлявано и записано. Описанието може да съдържа и блок-схеми, таблици и други графични средства за поясняване на информацията.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>В раздел ДОКУМЕНТИ (СВЪРЗАНИ ДОКУМЕНТИ) се посочват идентификационния номер и наименованието на стандарти, закони, правилници, наредби и процедурни документи, на които в разработвания документ е направено позоваване или са свързани с него. Като последни в списъка се посочват оперативните документи, генерирани от разработвания документ, които ще бъдат използвани за създаване на записи по качеството.</w:t>
      </w:r>
    </w:p>
    <w:p>
      <w:pPr>
        <w:pStyle w:val="Normal"/>
        <w:widowControl/>
        <w:jc w:val="both"/>
        <w:rPr>
          <w:color w:val="FF0000"/>
          <w:sz w:val="24"/>
          <w:lang w:val="bg-BG"/>
        </w:rPr>
      </w:pPr>
      <w:r>
        <w:rPr>
          <w:color w:val="FF0000"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7.3. Издаване на документи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>Мениджърът на Системата, съгласувано с Управителя и съответните сътрудници, разработва документите, като ги съобразява с:</w:t>
      </w:r>
    </w:p>
    <w:p>
      <w:pPr>
        <w:pStyle w:val="Normal"/>
        <w:widowControl/>
        <w:numPr>
          <w:ilvl w:val="0"/>
          <w:numId w:val="2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изискванията на стандартите;</w:t>
      </w:r>
    </w:p>
    <w:p>
      <w:pPr>
        <w:pStyle w:val="Normal"/>
        <w:widowControl/>
        <w:numPr>
          <w:ilvl w:val="0"/>
          <w:numId w:val="2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практиката на фирмата;</w:t>
      </w:r>
    </w:p>
    <w:p>
      <w:pPr>
        <w:pStyle w:val="Normal"/>
        <w:widowControl/>
        <w:numPr>
          <w:ilvl w:val="0"/>
          <w:numId w:val="2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изискванията на заинтересованите страни.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>За да се осигури съответствието на документите с изискванията на заинтересованите страни трябва да се имат предвид:</w:t>
      </w:r>
    </w:p>
    <w:p>
      <w:pPr>
        <w:pStyle w:val="Normal"/>
        <w:widowControl/>
        <w:numPr>
          <w:ilvl w:val="0"/>
          <w:numId w:val="9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установени взаимоотношения между фирмата и клиентите;</w:t>
      </w:r>
    </w:p>
    <w:p>
      <w:pPr>
        <w:pStyle w:val="Normal"/>
        <w:widowControl/>
        <w:numPr>
          <w:ilvl w:val="0"/>
          <w:numId w:val="9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приложими законови и други регулативни изисквания;</w:t>
      </w:r>
    </w:p>
    <w:p>
      <w:pPr>
        <w:pStyle w:val="Normal"/>
        <w:widowControl/>
        <w:numPr>
          <w:ilvl w:val="0"/>
          <w:numId w:val="9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управленски решения;</w:t>
      </w:r>
    </w:p>
    <w:p>
      <w:pPr>
        <w:pStyle w:val="Normal"/>
        <w:widowControl/>
        <w:numPr>
          <w:ilvl w:val="0"/>
          <w:numId w:val="9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външна информация за изискванията на пазара.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>Мениджърът на Системата, съвместно със сътрудници и съгласувано с Управителя, разработва новите версии на документите. МК ги редактира, оформя и ги представя на Управителя за преглед и утвърждаване. Мениджърът на системата включва всички утвърдени документи в „Списък на документираната информация”, като съхранява оригиналите. Списъкът е включен за удобство като неразделна част от Наръчника на системата, като Приложение 1.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7.4. Разпространение на документите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 xml:space="preserve">При ползване от персонала на контролирани документи на хартия МК поддържа „Списък на ползвателите“ </w:t>
      </w:r>
      <w:r>
        <w:rPr>
          <w:sz w:val="24"/>
          <w:lang w:val="en-US"/>
        </w:rPr>
        <w:t>OD</w:t>
      </w:r>
      <w:r>
        <w:rPr>
          <w:sz w:val="24"/>
          <w:lang w:val="ru-RU"/>
        </w:rPr>
        <w:t xml:space="preserve"> 07.05.00</w:t>
      </w:r>
      <w:r>
        <w:rPr>
          <w:sz w:val="24"/>
          <w:lang w:val="bg-BG"/>
        </w:rPr>
        <w:t>-2 за всички одобрени фирмени документи, в който всеки ползвател с подписа си удостоверява, че е получил съответния документ. Ползватели са всички лица, които отговарят за изпълнението или са засегнати от дейността.</w:t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>Документите, предназначени за ползване на различни работни места са:</w:t>
      </w:r>
    </w:p>
    <w:p>
      <w:pPr>
        <w:pStyle w:val="Normal"/>
        <w:widowControl/>
        <w:numPr>
          <w:ilvl w:val="0"/>
          <w:numId w:val="10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актуални;</w:t>
      </w:r>
    </w:p>
    <w:p>
      <w:pPr>
        <w:pStyle w:val="Normal"/>
        <w:widowControl/>
        <w:numPr>
          <w:ilvl w:val="0"/>
          <w:numId w:val="10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четливи и идентифицирани.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>Изградената във фирмата система за вътрешни комуникации осигурява контролируем достъп до документите на всички заинтересовани лица.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 xml:space="preserve">При разпространение на документи в електронен вид се прилагат изискванията на фирмената информационна система относно управлението на документите. </w:t>
      </w:r>
      <w:r>
        <w:rPr>
          <w:sz w:val="24"/>
          <w:lang w:val="en-US"/>
        </w:rPr>
        <w:t xml:space="preserve">До </w:t>
      </w:r>
      <w:r>
        <w:rPr>
          <w:sz w:val="24"/>
          <w:lang w:val="bg-BG"/>
        </w:rPr>
        <w:t>документите</w:t>
      </w:r>
      <w:r>
        <w:rPr>
          <w:sz w:val="24"/>
          <w:lang w:val="en-US"/>
        </w:rPr>
        <w:t xml:space="preserve"> имат контролиран достъп всички заинтересовани служители. Управителят може да разпорежда специален режим на достъп до някои </w:t>
      </w:r>
      <w:r>
        <w:rPr>
          <w:sz w:val="24"/>
          <w:lang w:val="bg-BG"/>
        </w:rPr>
        <w:t>документи</w:t>
      </w:r>
      <w:r>
        <w:rPr>
          <w:sz w:val="24"/>
          <w:lang w:val="en-US"/>
        </w:rPr>
        <w:t xml:space="preserve">, които са определени като фирмена тайна. </w:t>
      </w:r>
    </w:p>
    <w:p>
      <w:pPr>
        <w:pStyle w:val="Normal"/>
        <w:widowControl/>
        <w:jc w:val="both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7.5. Изменение на документите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 xml:space="preserve">Мениджърът на системата организира обсъждане на промяната със заинтересованите сътрудници - при постигнато съгласие подготвя нова версия на документа и го представя на Управителя за преглед и утвърждаване. Измененията в документите се внасят с промяна на версията и подмяна на целия документ. След одобрение на новата версия на документа, МК отразява промяната в „Списък на документираната информация” </w:t>
      </w:r>
      <w:r>
        <w:rPr>
          <w:sz w:val="24"/>
          <w:lang w:val="en-US"/>
        </w:rPr>
        <w:t>OD</w:t>
      </w:r>
      <w:r>
        <w:rPr>
          <w:sz w:val="24"/>
          <w:lang w:val="bg-BG"/>
        </w:rPr>
        <w:t xml:space="preserve"> 07.05.00-1, като изземва старите копия от съответните получатели. За да предотврати използването на невалидни и/или неактуални хартиени документи МК отбелязва в „Списък на ползвателите” - </w:t>
      </w:r>
      <w:r>
        <w:rPr>
          <w:sz w:val="24"/>
          <w:lang w:val="en-US"/>
        </w:rPr>
        <w:t>OD</w:t>
      </w:r>
      <w:r>
        <w:rPr>
          <w:sz w:val="24"/>
          <w:lang w:val="ru-RU"/>
        </w:rPr>
        <w:t xml:space="preserve"> 07.05.00</w:t>
      </w:r>
      <w:r>
        <w:rPr>
          <w:sz w:val="24"/>
          <w:lang w:val="bg-BG"/>
        </w:rPr>
        <w:t>-2 датата на предаване на новите документи и на изземване на старите документи.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7.6. Управление на излезли от употреба документи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>Мениджърът на системата съхранява оригиналите на хартия на всички изменени документи в архив, от който могат да бъдат проследени измененията. За запазване на информацията и проследимост, Мениджърът на системата маркира неактуалния оригинал на документа с надпис „НЕ Е ПОСЛЕДНО!". Мениджърът на системата изземва всички неактуални документи от ползвателите и ги прави невалидни посредством диагонална линия и подпис върху съдържанието.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b/>
          <w:sz w:val="24"/>
          <w:lang w:val="bg-BG"/>
        </w:rPr>
        <w:t>7.7. Управление на документи в електронен формат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 xml:space="preserve">Настоящата процедура регламентира управлението на документи на хартиен носител. Същите правила и принципи са приложими относно създаването, разпространението и управлението на документи в електронен вид. При тези документи форматът и дизайнът на документите са определени от изискванията на фирмената информационна система относно управлението на документооборота. 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en-US"/>
        </w:rPr>
      </w:pPr>
      <w:r>
        <w:rPr>
          <w:sz w:val="24"/>
          <w:lang w:val="bg-BG"/>
        </w:rPr>
        <w:t>Наръчникът на Системата е на свободен достъп във фирмената мрежа. Процедури и работни инструкции са със съответните нива на достъп, съобразен с правото на достъп на лицата, които ги прилагат. Всички документи, ползвани в електронен вид са във формат само за четене. Право за внасяне на изменения в документите има само Мениджъра на системата.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>Мениджърът на системата предава съответните процедури и други документи на съответните ползватели чрез електронна поща, като се осигурява обратна връзка за потвърждение на получаването им.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 xml:space="preserve">При архивирането на записи в електронен вид, представляващи документирана информация, се прилагат подходящи методи за съхранение върху електронни и оптични носители. При необходимост се създават дублиращи архивни копия и допълнителни мерки за опазване на информацията. При управлението на документите са приложени и изискванията на фирмената Система за информационна сигурност.  </w:t>
      </w:r>
    </w:p>
    <w:p>
      <w:pPr>
        <w:pStyle w:val="Normal"/>
        <w:widowControl/>
        <w:jc w:val="both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widowControl/>
        <w:jc w:val="both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7.8. Управление на външни документи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>За регистриране и разпространение на използваните във фирмата външни документи като закони, нормативни активи и други фирмени документи, имащи отношение към Системата за управление. отговаря Мениджъра на системата, който ги завежда в Списък на външните документи – Приложение 2 към Наръчника на Системата. Идентификацията на външните документи е чрез информацията, която носят. Прилагат се автоматизирани информационни системи за ползване на нормативни документи.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en-US"/>
        </w:rPr>
      </w:pPr>
      <w:r>
        <w:rPr>
          <w:b/>
          <w:sz w:val="24"/>
          <w:lang w:val="bg-BG"/>
        </w:rPr>
        <w:t>8. СВЪРЗАНИ ДОКУМЕНТИ</w:t>
      </w:r>
    </w:p>
    <w:p>
      <w:pPr>
        <w:pStyle w:val="Normal"/>
        <w:widowControl/>
        <w:jc w:val="both"/>
        <w:rPr>
          <w:b/>
          <w:sz w:val="24"/>
          <w:lang w:val="en-US"/>
        </w:rPr>
      </w:pPr>
      <w:r>
        <w:rPr>
          <w:b/>
          <w:sz w:val="24"/>
          <w:lang w:val="en-US"/>
        </w:rPr>
      </w:r>
    </w:p>
    <w:p>
      <w:pPr>
        <w:pStyle w:val="Normal"/>
        <w:widowControl/>
        <w:numPr>
          <w:ilvl w:val="0"/>
          <w:numId w:val="7"/>
        </w:numPr>
        <w:jc w:val="both"/>
        <w:rPr>
          <w:sz w:val="24"/>
          <w:lang w:val="ru-RU"/>
        </w:rPr>
      </w:pPr>
      <w:r>
        <w:rPr>
          <w:sz w:val="24"/>
          <w:lang w:val="bg-BG"/>
        </w:rPr>
        <w:t>Наръчник на ИС;</w:t>
      </w:r>
    </w:p>
    <w:p>
      <w:pPr>
        <w:pStyle w:val="Normal"/>
        <w:widowControl/>
        <w:numPr>
          <w:ilvl w:val="0"/>
          <w:numId w:val="7"/>
        </w:numPr>
        <w:jc w:val="both"/>
        <w:rPr>
          <w:sz w:val="24"/>
          <w:lang w:val="bg-BG"/>
        </w:rPr>
      </w:pPr>
      <w:r>
        <w:rPr>
          <w:sz w:val="24"/>
          <w:lang w:val="ru-RU"/>
        </w:rPr>
        <w:t xml:space="preserve">Процедури; </w:t>
      </w:r>
    </w:p>
    <w:p>
      <w:pPr>
        <w:pStyle w:val="Normal"/>
        <w:widowControl/>
        <w:numPr>
          <w:ilvl w:val="0"/>
          <w:numId w:val="7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Работни инструкции;</w:t>
      </w:r>
    </w:p>
    <w:p>
      <w:pPr>
        <w:pStyle w:val="Normal"/>
        <w:widowControl/>
        <w:numPr>
          <w:ilvl w:val="0"/>
          <w:numId w:val="7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О</w:t>
      </w:r>
      <w:r>
        <w:rPr>
          <w:sz w:val="24"/>
          <w:lang w:val="en-US"/>
        </w:rPr>
        <w:t>D</w:t>
      </w:r>
      <w:r>
        <w:rPr>
          <w:sz w:val="24"/>
          <w:lang w:val="bg-BG"/>
        </w:rPr>
        <w:t xml:space="preserve"> 07.05.00-1 „Списък на документирана информация”;</w:t>
      </w:r>
    </w:p>
    <w:p>
      <w:pPr>
        <w:pStyle w:val="Normal"/>
        <w:widowControl/>
        <w:numPr>
          <w:ilvl w:val="0"/>
          <w:numId w:val="7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 xml:space="preserve">OD 07.05.00-2 „Списък на ползвателите”. 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sectPr>
      <w:headerReference w:type="default" r:id="rId2"/>
      <w:headerReference w:type="first" r:id="rId3"/>
      <w:type w:val="nextPage"/>
      <w:pgSz w:w="11906" w:h="16838"/>
      <w:pgMar w:left="1418" w:right="708" w:gutter="0" w:header="567" w:top="851" w:footer="0" w:bottom="85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031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7905"/>
      <w:gridCol w:w="1134"/>
      <w:gridCol w:w="992"/>
    </w:tblGrid>
    <w:tr>
      <w:trPr>
        <w:cantSplit/>
      </w:trPr>
      <w:tc>
        <w:tcPr>
          <w:tcW w:w="7905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b/>
              <w:lang w:val="en-US"/>
            </w:rPr>
            <w:t>PK</w:t>
          </w:r>
          <w:r>
            <w:rPr>
              <w:b/>
              <w:lang w:val="ru-RU"/>
            </w:rPr>
            <w:t xml:space="preserve"> 07</w:t>
          </w:r>
          <w:r>
            <w:rPr>
              <w:b/>
              <w:lang w:val="bg-BG"/>
            </w:rPr>
            <w:t>.05.00</w:t>
          </w:r>
        </w:p>
      </w:tc>
      <w:tc>
        <w:tcPr>
          <w:tcW w:w="1134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ru-RU"/>
            </w:rPr>
            <w:t>Версия</w:t>
          </w:r>
        </w:p>
      </w:tc>
      <w:tc>
        <w:tcPr>
          <w:tcW w:w="992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bg-BG"/>
            </w:rPr>
            <w:t>01</w:t>
          </w:r>
        </w:p>
      </w:tc>
    </w:tr>
    <w:tr>
      <w:trPr>
        <w:cantSplit/>
      </w:trPr>
      <w:tc>
        <w:tcPr>
          <w:tcW w:w="7905" w:type="dxa"/>
          <w:tcBorders>
            <w:top w:val="single" w:sz="6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en-US"/>
            </w:rPr>
          </w:pPr>
          <w:r>
            <w:rPr>
              <w:lang w:val="en-US"/>
            </w:rPr>
            <w:t>ISO</w:t>
          </w:r>
          <w:r>
            <w:rPr>
              <w:lang w:val="bg-BG"/>
            </w:rPr>
            <w:t xml:space="preserve"> 9001:</w:t>
          </w:r>
          <w:r>
            <w:rPr>
              <w:lang w:val="en-US"/>
            </w:rPr>
            <w:t>2015; ISO 14001:2015; ISO 45001:2018</w:t>
          </w:r>
        </w:p>
      </w:tc>
      <w:tc>
        <w:tcPr>
          <w:tcW w:w="1134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992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jc w:val="center"/>
            <w:rPr/>
          </w:pP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7</w:t>
          </w:r>
          <w:r>
            <w:rPr>
              <w:rStyle w:val="PageNumber"/>
            </w:rPr>
            <w:fldChar w:fldCharType="end"/>
          </w:r>
          <w:r>
            <w:rPr>
              <w:lang w:val="bg-BG"/>
            </w:rPr>
            <w:t>/7</w:t>
          </w:r>
        </w:p>
      </w:tc>
    </w:tr>
    <w:tr>
      <w:trPr>
        <w:cantSplit/>
      </w:trPr>
      <w:tc>
        <w:tcPr>
          <w:tcW w:w="10031" w:type="dxa"/>
          <w:gridSpan w:val="3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>УПРАВЛЕНИЕ НА ДОКУМЕНТИРАНА ИНФОРМАЦИЯ</w:t>
          </w:r>
        </w:p>
      </w:tc>
    </w:tr>
  </w:tbl>
  <w:p>
    <w:pPr>
      <w:pStyle w:val="Header"/>
      <w:rPr>
        <w:lang w:val="ru-RU"/>
      </w:rPr>
    </w:pPr>
    <w:r>
      <w:rPr>
        <w:lang w:val="ru-RU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889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384"/>
      <w:gridCol w:w="1701"/>
      <w:gridCol w:w="4431"/>
      <w:gridCol w:w="1115"/>
      <w:gridCol w:w="1258"/>
    </w:tblGrid>
    <w:tr>
      <w:trPr>
        <w:cantSplit/>
      </w:trPr>
      <w:tc>
        <w:tcPr>
          <w:tcW w:w="3085" w:type="dxa"/>
          <w:gridSpan w:val="2"/>
          <w:vMerge w:val="restart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rPr>
              <w:lang w:val="en-US"/>
            </w:rPr>
          </w:pPr>
          <w:r>
            <w:rPr>
              <w:rFonts w:cs="Arial" w:ascii="Arial" w:hAnsi="Arial"/>
            </w:rPr>
            <w:t>"ЕКОБУЛ ПАРТНЕР" ООД</w:t>
          </w:r>
        </w:p>
      </w:tc>
      <w:tc>
        <w:tcPr>
          <w:tcW w:w="4431" w:type="dxa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b/>
              <w:lang w:val="en-US"/>
            </w:rPr>
            <w:t>IP 0</w:t>
          </w:r>
          <w:r>
            <w:rPr>
              <w:b/>
              <w:lang w:val="bg-BG"/>
            </w:rPr>
            <w:t>7</w:t>
          </w:r>
          <w:r>
            <w:rPr>
              <w:b/>
              <w:lang w:val="en-US"/>
            </w:rPr>
            <w:t>.0</w:t>
          </w:r>
          <w:r>
            <w:rPr>
              <w:b/>
              <w:lang w:val="bg-BG"/>
            </w:rPr>
            <w:t>5</w:t>
          </w:r>
          <w:r>
            <w:rPr>
              <w:b/>
              <w:lang w:val="en-US"/>
            </w:rPr>
            <w:t>.0</w:t>
          </w:r>
          <w:r>
            <w:rPr>
              <w:b/>
              <w:lang w:val="bg-BG"/>
            </w:rPr>
            <w:t>0</w:t>
          </w:r>
        </w:p>
      </w:tc>
      <w:tc>
        <w:tcPr>
          <w:tcW w:w="1115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en-US"/>
            </w:rPr>
            <w:t>Версия</w:t>
          </w:r>
        </w:p>
      </w:tc>
      <w:tc>
        <w:tcPr>
          <w:tcW w:w="1258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bg-BG"/>
            </w:rPr>
            <w:t>01</w:t>
          </w:r>
        </w:p>
      </w:tc>
    </w:tr>
    <w:tr>
      <w:trPr>
        <w:cantSplit/>
      </w:trPr>
      <w:tc>
        <w:tcPr>
          <w:tcW w:w="3085" w:type="dxa"/>
          <w:gridSpan w:val="2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en-US"/>
            </w:rPr>
          </w:pPr>
          <w:r>
            <w:rPr>
              <w:lang w:val="en-US"/>
            </w:rPr>
          </w:r>
        </w:p>
      </w:tc>
      <w:tc>
        <w:tcPr>
          <w:tcW w:w="4431" w:type="dxa"/>
          <w:tcBorders>
            <w:top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en-US"/>
            </w:rPr>
          </w:pPr>
          <w:r>
            <w:rPr>
              <w:lang w:val="en-US"/>
            </w:rPr>
            <w:t>ISO</w:t>
          </w:r>
          <w:r>
            <w:rPr>
              <w:lang w:val="bg-BG"/>
            </w:rPr>
            <w:t xml:space="preserve"> 9001:</w:t>
          </w:r>
          <w:r>
            <w:rPr>
              <w:lang w:val="en-US"/>
            </w:rPr>
            <w:t>2015; ISO 14001:2015; ISO 45001:2018</w:t>
          </w:r>
        </w:p>
      </w:tc>
      <w:tc>
        <w:tcPr>
          <w:tcW w:w="1115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1258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bg-BG"/>
            </w:rPr>
            <w:t>1/7</w:t>
          </w:r>
        </w:p>
      </w:tc>
    </w:tr>
    <w:tr>
      <w:trPr>
        <w:cantSplit/>
      </w:trPr>
      <w:tc>
        <w:tcPr>
          <w:tcW w:w="3085" w:type="dxa"/>
          <w:gridSpan w:val="2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4431" w:type="dxa"/>
          <w:tcBorders>
            <w:top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b/>
              <w:lang w:val="bg-BG"/>
            </w:rPr>
            <w:t>УПРАВЛЕНИЕ НА ДОКУМЕНТИРАНА ИНФОРМАЦИЯ</w:t>
          </w:r>
        </w:p>
      </w:tc>
      <w:tc>
        <w:tcPr>
          <w:tcW w:w="1115" w:type="dxa"/>
          <w:tcBorders>
            <w:top w:val="single" w:sz="12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Header"/>
            <w:widowControl/>
            <w:snapToGrid w:val="false"/>
            <w:rPr>
              <w:lang w:val="bg-BG"/>
            </w:rPr>
          </w:pPr>
          <w:r>
            <w:rPr>
              <w:lang w:val="bg-BG"/>
            </w:rPr>
          </w:r>
        </w:p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</w:r>
        </w:p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258" w:type="dxa"/>
          <w:tcBorders>
            <w:top w:val="single" w:sz="12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snapToGrid w:val="false"/>
            <w:rPr>
              <w:lang w:val="bg-BG"/>
            </w:rPr>
          </w:pPr>
          <w:r>
            <w:rPr>
              <w:lang w:val="bg-BG"/>
            </w:rPr>
          </w:r>
        </w:p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</w:r>
        </w:p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Дата:</w:t>
          </w:r>
        </w:p>
      </w:tc>
    </w:tr>
    <w:tr>
      <w:trPr>
        <w:cantSplit/>
      </w:trPr>
      <w:tc>
        <w:tcPr>
          <w:tcW w:w="1384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Разработил:</w:t>
          </w:r>
        </w:p>
      </w:tc>
      <w:tc>
        <w:tcPr>
          <w:tcW w:w="6132" w:type="dxa"/>
          <w:gridSpan w:val="2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Мениджър по качеството</w:t>
          </w:r>
        </w:p>
      </w:tc>
      <w:tc>
        <w:tcPr>
          <w:tcW w:w="1115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snapToGrid w:val="false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1258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Normal"/>
            <w:rPr>
              <w:lang w:val="bg-BG"/>
            </w:rPr>
          </w:pPr>
          <w:r>
            <w:rPr/>
            <w:t>03</w:t>
          </w:r>
          <w:r>
            <w:rPr>
              <w:lang w:val="bg-BG"/>
            </w:rPr>
            <w:t>.</w:t>
          </w:r>
          <w:r>
            <w:rPr/>
            <w:t>07</w:t>
          </w:r>
          <w:r>
            <w:rPr>
              <w:lang w:val="bg-BG"/>
            </w:rPr>
            <w:t>.</w:t>
          </w:r>
          <w:r>
            <w:rPr/>
            <w:t>20</w:t>
          </w:r>
          <w:r>
            <w:rPr>
              <w:lang w:val="bg-BG"/>
            </w:rPr>
            <w:t>21</w:t>
          </w:r>
        </w:p>
      </w:tc>
    </w:tr>
    <w:tr>
      <w:trPr>
        <w:cantSplit/>
      </w:trPr>
      <w:tc>
        <w:tcPr>
          <w:tcW w:w="1384" w:type="dxa"/>
          <w:tcBorders>
            <w:top w:val="single" w:sz="6" w:space="0" w:color="000000"/>
            <w:start w:val="single" w:sz="12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Header"/>
            <w:widowControl/>
            <w:rPr/>
          </w:pPr>
          <w:r>
            <w:rPr>
              <w:lang w:val="en-US"/>
            </w:rPr>
            <w:t>Утвърдил</w:t>
          </w:r>
          <w:r>
            <w:rPr>
              <w:lang w:val="bg-BG"/>
            </w:rPr>
            <w:t>:</w:t>
          </w:r>
        </w:p>
      </w:tc>
      <w:tc>
        <w:tcPr>
          <w:tcW w:w="6132" w:type="dxa"/>
          <w:gridSpan w:val="2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Управител</w:t>
          </w:r>
        </w:p>
      </w:tc>
      <w:tc>
        <w:tcPr>
          <w:tcW w:w="1115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Header"/>
            <w:widowControl/>
            <w:snapToGrid w:val="false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1258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"/>
            <w:rPr>
              <w:lang w:val="bg-BG"/>
            </w:rPr>
          </w:pPr>
          <w:r>
            <w:rPr/>
            <w:t>03</w:t>
          </w:r>
          <w:r>
            <w:rPr>
              <w:lang w:val="bg-BG"/>
            </w:rPr>
            <w:t>.</w:t>
          </w:r>
          <w:r>
            <w:rPr/>
            <w:t>07</w:t>
          </w:r>
          <w:r>
            <w:rPr>
              <w:lang w:val="bg-BG"/>
            </w:rPr>
            <w:t>.</w:t>
          </w:r>
          <w:r>
            <w:rPr/>
            <w:t>20</w:t>
          </w:r>
          <w:r>
            <w:rPr>
              <w:lang w:val="bg-BG"/>
            </w:rPr>
            <w:t>21</w:t>
          </w:r>
        </w:p>
      </w:tc>
    </w:tr>
  </w:tbl>
  <w:p>
    <w:pPr>
      <w:pStyle w:val="Header"/>
      <w:rPr>
        <w:lang w:val="en-US"/>
      </w:rPr>
    </w:pPr>
    <w:r>
      <w:rPr>
        <w:lang w:val="en-US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40" w:hanging="34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360"/>
        </w:tabs>
        <w:ind w:start="340" w:hanging="34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360"/>
        </w:tabs>
        <w:ind w:start="340" w:hanging="34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360"/>
        </w:tabs>
        <w:ind w:start="0" w:hanging="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360"/>
        </w:tabs>
        <w:ind w:start="0" w:hanging="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360"/>
        </w:tabs>
        <w:ind w:start="0" w:hanging="0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360"/>
        </w:tabs>
        <w:ind w:start="0" w:hanging="0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360"/>
        </w:tabs>
        <w:ind w:start="340" w:hanging="340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360"/>
        </w:tabs>
        <w:ind w:start="340" w:hanging="340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12">
    <w:lvl w:ilvl="0"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GB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widowControl/>
      <w:numPr>
        <w:ilvl w:val="0"/>
        <w:numId w:val="1"/>
      </w:numPr>
      <w:outlineLvl w:val="0"/>
    </w:pPr>
    <w:rPr>
      <w:rFonts w:ascii="Arial" w:hAnsi="Arial" w:cs="Arial"/>
      <w:b/>
      <w:lang w:val="bg-BG"/>
    </w:rPr>
  </w:style>
  <w:style w:type="paragraph" w:styleId="Heading2">
    <w:name w:val="heading 2"/>
    <w:basedOn w:val="Normal"/>
    <w:next w:val="Normal"/>
    <w:qFormat/>
    <w:pPr>
      <w:keepNext w:val="true"/>
      <w:widowControl/>
      <w:numPr>
        <w:ilvl w:val="1"/>
        <w:numId w:val="1"/>
      </w:numPr>
      <w:jc w:val="both"/>
      <w:outlineLvl w:val="1"/>
    </w:pPr>
    <w:rPr>
      <w:bCs/>
      <w:i/>
      <w:sz w:val="24"/>
      <w:lang w:val="bg-BG"/>
    </w:rPr>
  </w:style>
  <w:style w:type="character" w:styleId="WW8Num2z0">
    <w:name w:val="WW8Num2z0"/>
    <w:qFormat/>
    <w:rPr>
      <w:rFonts w:ascii="Symbol" w:hAnsi="Symbol" w:cs="Symbol"/>
      <w:spacing w:val="0"/>
      <w:kern w:val="2"/>
      <w:position w:val="0"/>
      <w:sz w:val="24"/>
      <w:vertAlign w:val="baseline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>
      <w:rFonts w:ascii="Symbol" w:hAnsi="Symbol" w:cs="Symbol"/>
      <w:spacing w:val="0"/>
      <w:kern w:val="2"/>
      <w:position w:val="0"/>
      <w:sz w:val="24"/>
      <w:vertAlign w:val="baseline"/>
    </w:rPr>
  </w:style>
  <w:style w:type="character" w:styleId="WW8Num8z0">
    <w:name w:val="WW8Num8z0"/>
    <w:qFormat/>
    <w:rPr>
      <w:rFonts w:ascii="Symbol" w:hAnsi="Symbol" w:cs="Symbol"/>
      <w:spacing w:val="0"/>
      <w:kern w:val="2"/>
      <w:position w:val="0"/>
      <w:sz w:val="24"/>
      <w:vertAlign w:val="baseline"/>
    </w:rPr>
  </w:style>
  <w:style w:type="character" w:styleId="WW8Num9z0">
    <w:name w:val="WW8Num9z0"/>
    <w:qFormat/>
    <w:rPr>
      <w:rFonts w:ascii="Symbol" w:hAnsi="Symbol" w:cs="Symbol"/>
      <w:spacing w:val="0"/>
      <w:kern w:val="2"/>
      <w:position w:val="0"/>
      <w:sz w:val="24"/>
      <w:vertAlign w:val="baseline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1z0">
    <w:name w:val="WW8Num11z0"/>
    <w:qFormat/>
    <w:rPr>
      <w:rFonts w:ascii="Symbol" w:hAnsi="Symbol" w:cs="Symbol"/>
    </w:rPr>
  </w:style>
  <w:style w:type="character" w:styleId="WW8Num12z0">
    <w:name w:val="WW8Num12z0"/>
    <w:qFormat/>
    <w:rPr>
      <w:rFonts w:ascii="Symbol" w:hAnsi="Symbol" w:cs="Symbol"/>
    </w:rPr>
  </w:style>
  <w:style w:type="character" w:styleId="WW8Num13z0">
    <w:name w:val="WW8Num13z0"/>
    <w:qFormat/>
    <w:rPr>
      <w:rFonts w:ascii="Symbol" w:hAnsi="Symbol" w:cs="Symbol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4z0">
    <w:name w:val="WW8Num14z0"/>
    <w:qFormat/>
    <w:rPr>
      <w:rFonts w:ascii="Symbol" w:hAnsi="Symbol" w:cs="Symbol"/>
    </w:rPr>
  </w:style>
  <w:style w:type="character" w:styleId="WW8Num15z0">
    <w:name w:val="WW8Num15z0"/>
    <w:qFormat/>
    <w:rPr>
      <w:rFonts w:ascii="Symbol" w:hAnsi="Symbol" w:cs="Symbol"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7z0">
    <w:name w:val="WW8Num17z0"/>
    <w:qFormat/>
    <w:rPr>
      <w:rFonts w:ascii="Symbol" w:hAnsi="Symbol" w:cs="Symbol"/>
    </w:rPr>
  </w:style>
  <w:style w:type="character" w:styleId="WW8Num18z0">
    <w:name w:val="WW8Num18z0"/>
    <w:qFormat/>
    <w:rPr>
      <w:rFonts w:ascii="Symbol" w:hAnsi="Symbol" w:cs="Symbol"/>
    </w:rPr>
  </w:style>
  <w:style w:type="character" w:styleId="WW8Num18z1">
    <w:name w:val="WW8Num18z1"/>
    <w:qFormat/>
    <w:rPr>
      <w:rFonts w:ascii="Times New Roman" w:hAnsi="Times New Roman" w:eastAsia="Times New Roman" w:cs="Times New Roman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8z4">
    <w:name w:val="WW8Num18z4"/>
    <w:qFormat/>
    <w:rPr>
      <w:rFonts w:ascii="Courier New" w:hAnsi="Courier New" w:cs="Courier New"/>
    </w:rPr>
  </w:style>
  <w:style w:type="character" w:styleId="WW8Num19z0">
    <w:name w:val="WW8Num19z0"/>
    <w:qFormat/>
    <w:rPr>
      <w:rFonts w:ascii="Symbol" w:hAnsi="Symbol" w:cs="Symbol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20z0">
    <w:name w:val="WW8Num20z0"/>
    <w:qFormat/>
    <w:rPr>
      <w:rFonts w:ascii="Symbol" w:hAnsi="Symbol" w:cs="Symbol"/>
      <w:spacing w:val="0"/>
      <w:kern w:val="2"/>
      <w:position w:val="0"/>
      <w:sz w:val="24"/>
      <w:vertAlign w:val="baseline"/>
    </w:rPr>
  </w:style>
  <w:style w:type="character" w:styleId="WW8Num21z0">
    <w:name w:val="WW8Num21z0"/>
    <w:qFormat/>
    <w:rPr>
      <w:rFonts w:ascii="Symbol" w:hAnsi="Symbol" w:cs="Symbol"/>
      <w:spacing w:val="0"/>
      <w:kern w:val="2"/>
      <w:position w:val="0"/>
      <w:sz w:val="24"/>
      <w:vertAlign w:val="baseline"/>
    </w:rPr>
  </w:style>
  <w:style w:type="character" w:styleId="WW8Num22z0">
    <w:name w:val="WW8Num22z0"/>
    <w:qFormat/>
    <w:rPr>
      <w:rFonts w:ascii="Symbol" w:hAnsi="Symbol" w:cs="Symbol"/>
    </w:rPr>
  </w:style>
  <w:style w:type="character" w:styleId="WW8Num22z1">
    <w:name w:val="WW8Num22z1"/>
    <w:qFormat/>
    <w:rPr>
      <w:rFonts w:ascii="Courier New" w:hAnsi="Courier New" w:cs="Courier New"/>
    </w:rPr>
  </w:style>
  <w:style w:type="character" w:styleId="WW8Num22z2">
    <w:name w:val="WW8Num22z2"/>
    <w:qFormat/>
    <w:rPr>
      <w:rFonts w:ascii="Wingdings" w:hAnsi="Wingdings" w:cs="Wingdings"/>
    </w:rPr>
  </w:style>
  <w:style w:type="character" w:styleId="WW8Num23z0">
    <w:name w:val="WW8Num23z0"/>
    <w:qFormat/>
    <w:rPr>
      <w:rFonts w:ascii="Symbol" w:hAnsi="Symbol" w:cs="Symbol"/>
      <w:spacing w:val="0"/>
      <w:kern w:val="2"/>
      <w:position w:val="0"/>
      <w:sz w:val="24"/>
      <w:vertAlign w:val="baseline"/>
    </w:rPr>
  </w:style>
  <w:style w:type="character" w:styleId="WW8Num24z0">
    <w:name w:val="WW8Num24z0"/>
    <w:qFormat/>
    <w:rPr>
      <w:rFonts w:ascii="Symbol" w:hAnsi="Symbol" w:cs="Symbol"/>
    </w:rPr>
  </w:style>
  <w:style w:type="character" w:styleId="WW8Num25z0">
    <w:name w:val="WW8Num25z0"/>
    <w:qFormat/>
    <w:rPr>
      <w:rFonts w:ascii="Symbol" w:hAnsi="Symbol" w:cs="Symbol"/>
    </w:rPr>
  </w:style>
  <w:style w:type="character" w:styleId="WW8Num25z1">
    <w:name w:val="WW8Num25z1"/>
    <w:qFormat/>
    <w:rPr>
      <w:rFonts w:ascii="Courier New" w:hAnsi="Courier New" w:cs="Courier New"/>
    </w:rPr>
  </w:style>
  <w:style w:type="character" w:styleId="WW8Num25z2">
    <w:name w:val="WW8Num25z2"/>
    <w:qFormat/>
    <w:rPr>
      <w:rFonts w:ascii="Wingdings" w:hAnsi="Wingdings" w:cs="Wingdings"/>
    </w:rPr>
  </w:style>
  <w:style w:type="character" w:styleId="WW8Num26z0">
    <w:name w:val="WW8Num26z0"/>
    <w:qFormat/>
    <w:rPr>
      <w:rFonts w:ascii="Symbol" w:hAnsi="Symbol" w:cs="Symbol"/>
    </w:rPr>
  </w:style>
  <w:style w:type="character" w:styleId="WW8Num26z1">
    <w:name w:val="WW8Num26z1"/>
    <w:qFormat/>
    <w:rPr>
      <w:rFonts w:ascii="Courier New" w:hAnsi="Courier New" w:cs="Courier New"/>
    </w:rPr>
  </w:style>
  <w:style w:type="character" w:styleId="WW8Num26z2">
    <w:name w:val="WW8Num26z2"/>
    <w:qFormat/>
    <w:rPr>
      <w:rFonts w:ascii="Wingdings" w:hAnsi="Wingdings" w:cs="Wingdings"/>
    </w:rPr>
  </w:style>
  <w:style w:type="character" w:styleId="WW8Num27z0">
    <w:name w:val="WW8Num27z0"/>
    <w:qFormat/>
    <w:rPr>
      <w:rFonts w:ascii="Symbol" w:hAnsi="Symbol" w:cs="Symbol"/>
    </w:rPr>
  </w:style>
  <w:style w:type="character" w:styleId="WW8Num28z0">
    <w:name w:val="WW8Num28z0"/>
    <w:qFormat/>
    <w:rPr>
      <w:rFonts w:ascii="Symbol" w:hAnsi="Symbol" w:cs="Symbol"/>
    </w:rPr>
  </w:style>
  <w:style w:type="character" w:styleId="WW8Num29z0">
    <w:name w:val="WW8Num29z0"/>
    <w:qFormat/>
    <w:rPr>
      <w:rFonts w:ascii="Symbol" w:hAnsi="Symbol" w:cs="Symbol"/>
      <w:spacing w:val="0"/>
      <w:kern w:val="2"/>
      <w:position w:val="0"/>
      <w:sz w:val="24"/>
      <w:vertAlign w:val="baseline"/>
    </w:rPr>
  </w:style>
  <w:style w:type="character" w:styleId="WW8Num30z0">
    <w:name w:val="WW8Num30z0"/>
    <w:qFormat/>
    <w:rPr>
      <w:rFonts w:ascii="Symbol" w:hAnsi="Symbol" w:cs="Symbol"/>
    </w:rPr>
  </w:style>
  <w:style w:type="character" w:styleId="WW8Num31z0">
    <w:name w:val="WW8Num31z0"/>
    <w:qFormat/>
    <w:rPr>
      <w:rFonts w:ascii="Symbol" w:hAnsi="Symbol" w:cs="Symbol"/>
    </w:rPr>
  </w:style>
  <w:style w:type="character" w:styleId="WW8Num32z0">
    <w:name w:val="WW8Num32z0"/>
    <w:qFormat/>
    <w:rPr>
      <w:rFonts w:ascii="Symbol" w:hAnsi="Symbol" w:cs="Symbol"/>
    </w:rPr>
  </w:style>
  <w:style w:type="character" w:styleId="WW8Num33z0">
    <w:name w:val="WW8Num33z0"/>
    <w:qFormat/>
    <w:rPr>
      <w:rFonts w:ascii="Symbol" w:hAnsi="Symbol" w:cs="Symbol"/>
    </w:rPr>
  </w:style>
  <w:style w:type="character" w:styleId="WW8NumSt1z0">
    <w:name w:val="WW8NumSt1z0"/>
    <w:qFormat/>
    <w:rPr>
      <w:rFonts w:ascii="Symbol" w:hAnsi="Symbol" w:cs="Symbol"/>
    </w:rPr>
  </w:style>
  <w:style w:type="character" w:styleId="Style12">
    <w:name w:val="Шрифт на абзаца по подразбиране"/>
    <w:qFormat/>
    <w:rPr/>
  </w:style>
  <w:style w:type="character" w:styleId="PageNumber">
    <w:name w:val="page number"/>
    <w:rPr>
      <w:sz w:val="20"/>
    </w:rPr>
  </w:style>
  <w:style w:type="character" w:styleId="Style13">
    <w:name w:val="Препратка към коментар"/>
    <w:qFormat/>
    <w:rPr>
      <w:sz w:val="16"/>
    </w:rPr>
  </w:style>
  <w:style w:type="paragraph" w:styleId="Style14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widowControl/>
      <w:jc w:val="both"/>
    </w:pPr>
    <w:rPr>
      <w:sz w:val="24"/>
      <w:lang w:val="bg-BG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"/>
    <w:basedOn w:val="Normal"/>
    <w:qFormat/>
    <w:pPr>
      <w:suppressLineNumbers/>
    </w:pPr>
    <w:rPr>
      <w:rFonts w:cs="Arial"/>
    </w:rPr>
  </w:style>
  <w:style w:type="paragraph" w:styleId="Style16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Style17">
    <w:name w:val="Текст на коментар"/>
    <w:basedOn w:val="Normal"/>
    <w:qFormat/>
    <w:pPr/>
    <w:rPr/>
  </w:style>
  <w:style w:type="paragraph" w:styleId="Style18">
    <w:name w:val="План на документа"/>
    <w:basedOn w:val="Normal"/>
    <w:qFormat/>
    <w:pPr>
      <w:shd w:fill="000080" w:val="clear"/>
    </w:pPr>
    <w:rPr>
      <w:rFonts w:ascii="Tahoma" w:hAnsi="Tahoma" w:cs="Tahoma"/>
    </w:rPr>
  </w:style>
  <w:style w:type="paragraph" w:styleId="-">
    <w:name w:val="Рамка - съдържание"/>
    <w:basedOn w:val="Normal"/>
    <w:qFormat/>
    <w:pPr/>
    <w:rPr/>
  </w:style>
  <w:style w:type="paragraph" w:styleId="-1">
    <w:name w:val="Таблица - съдържание"/>
    <w:basedOn w:val="Normal"/>
    <w:qFormat/>
    <w:pPr>
      <w:widowControl w:val="false"/>
      <w:suppressLineNumbers/>
    </w:pPr>
    <w:rPr/>
  </w:style>
  <w:style w:type="paragraph" w:styleId="-2">
    <w:name w:val="Таблица - заглавие"/>
    <w:basedOn w:val="-1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2016-05-15T11:18:00Z</dcterms:created>
  <dc:creator>МТ</dc:creator>
  <dc:description/>
  <cp:keywords/>
  <dc:language>bg-BG</dc:language>
  <cp:lastModifiedBy>Силвия Мирчева</cp:lastModifiedBy>
  <cp:lastPrinted>2006-06-09T13:55:00Z</cp:lastPrinted>
  <dcterms:modified xsi:type="dcterms:W3CDTF">2022-04-02T15:06:00Z</dcterms:modified>
  <cp:revision>20</cp:revision>
  <dc:subject>ПК</dc:subject>
  <dc:title>Управление на документите</dc:title>
</cp:coreProperties>
</file>