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lang w:val="bg-BG"/>
        </w:rPr>
      </w:pPr>
      <w:r>
        <w:rPr>
          <w:b/>
          <w:sz w:val="24"/>
          <w:lang w:val="bg-BG"/>
        </w:rPr>
      </w:r>
    </w:p>
    <w:p>
      <w:pPr>
        <w:pStyle w:val="Normal"/>
        <w:widowControl/>
        <w:numPr>
          <w:ilvl w:val="0"/>
          <w:numId w:val="4"/>
        </w:numPr>
        <w:jc w:val="both"/>
        <w:rPr>
          <w:b/>
          <w:sz w:val="24"/>
          <w:lang w:val="bg-BG"/>
        </w:rPr>
      </w:pPr>
      <w:r>
        <w:rPr>
          <w:b/>
          <w:sz w:val="24"/>
          <w:lang w:val="bg-BG"/>
        </w:rPr>
        <w:t>ЦЕЛ</w:t>
      </w:r>
    </w:p>
    <w:p>
      <w:pPr>
        <w:pStyle w:val="Normal"/>
        <w:spacing w:lineRule="atLeast" w:line="240"/>
        <w:jc w:val="both"/>
        <w:rPr>
          <w:b/>
          <w:sz w:val="24"/>
          <w:lang w:val="bg-BG"/>
        </w:rPr>
      </w:pPr>
      <w:r>
        <w:rPr>
          <w:b/>
          <w:sz w:val="24"/>
          <w:lang w:val="bg-BG"/>
        </w:rPr>
      </w:r>
    </w:p>
    <w:p>
      <w:pPr>
        <w:pStyle w:val="3"/>
        <w:widowControl w:val="false"/>
        <w:spacing w:lineRule="atLeast" w:line="240"/>
        <w:rPr/>
      </w:pPr>
      <w:r>
        <w:rPr/>
        <w:t>Настоящата процедура определя дейностите за поддържане на необходимото ниво на Средствата за измерване (СИ), необходими за постигане на съответствие на произвежданите продукти и услуги с изискванията на клиента към тях.</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numPr>
          <w:ilvl w:val="0"/>
          <w:numId w:val="4"/>
        </w:numPr>
        <w:jc w:val="both"/>
        <w:rPr>
          <w:b/>
          <w:sz w:val="24"/>
          <w:lang w:val="bg-BG"/>
        </w:rPr>
      </w:pPr>
      <w:r>
        <w:rPr>
          <w:b/>
          <w:sz w:val="24"/>
          <w:lang w:val="bg-BG"/>
        </w:rPr>
        <w:t>СЪДЪРЖАНИЕ НА ПРОЦЕСА</w:t>
      </w:r>
    </w:p>
    <w:p>
      <w:pPr>
        <w:pStyle w:val="BodyText"/>
        <w:rPr>
          <w:b/>
          <w:sz w:val="24"/>
          <w:lang w:val="bg-BG"/>
        </w:rPr>
      </w:pPr>
      <w:r>
        <w:rPr>
          <w:b/>
          <w:sz w:val="24"/>
          <w:lang w:val="bg-BG"/>
        </w:rPr>
      </w:r>
    </w:p>
    <w:p>
      <w:pPr>
        <w:pStyle w:val="BodyText"/>
        <w:rPr/>
      </w:pPr>
      <w:r>
        <w:rPr/>
        <w:t>За реализирането на процесите, свързани с осигуряване на СИ, е необходимо да бъдат извършени следните дейности</w:t>
      </w:r>
    </w:p>
    <w:p>
      <w:pPr>
        <w:pStyle w:val="Normal"/>
        <w:widowControl/>
        <w:jc w:val="both"/>
        <w:rPr>
          <w:b/>
          <w:sz w:val="24"/>
          <w:lang w:val="bg-BG"/>
        </w:rPr>
      </w:pPr>
      <w:r>
        <w:rPr>
          <w:b/>
          <w:sz w:val="24"/>
          <w:lang w:val="bg-BG"/>
        </w:rPr>
      </w:r>
    </w:p>
    <w:p>
      <w:pPr>
        <w:pStyle w:val="Normal"/>
        <w:widowControl/>
        <w:ind w:firstLine="720" w:end="0"/>
        <w:jc w:val="both"/>
        <w:rPr>
          <w:b/>
          <w:sz w:val="24"/>
          <w:lang w:val="bg-BG"/>
        </w:rPr>
      </w:pPr>
      <w:r>
        <w:rPr>
          <w:b/>
          <w:sz w:val="24"/>
          <w:lang w:val="bg-BG"/>
        </w:rPr>
        <w:t>ВХОД</w:t>
        <w:tab/>
        <w:tab/>
        <w:tab/>
        <w:tab/>
        <w:t>ДЕЙНОСТИ</w:t>
        <w:tab/>
        <w:tab/>
        <w:tab/>
        <w:tab/>
        <w:t>ИЗХОД</w:t>
      </w:r>
    </w:p>
    <w:p>
      <w:pPr>
        <w:pStyle w:val="Normal"/>
        <w:widowControl/>
        <w:jc w:val="both"/>
        <w:rPr>
          <w:b/>
          <w:sz w:val="24"/>
          <w:lang w:val="bg-BG" w:eastAsia="bg-BG"/>
        </w:rPr>
      </w:pPr>
      <w:r>
        <w:rPr>
          <w:b/>
          <w:sz w:val="24"/>
          <w:lang w:val="bg-BG" w:eastAsia="bg-BG"/>
        </w:rPr>
        <mc:AlternateContent>
          <mc:Choice Requires="wps">
            <w:drawing>
              <wp:anchor distT="0" distB="0" distL="114935" distR="114935" simplePos="0" relativeHeight="2" behindDoc="0" locked="0" layoutInCell="1" allowOverlap="1">
                <wp:simplePos x="0" y="0"/>
                <wp:positionH relativeFrom="column">
                  <wp:posOffset>38100</wp:posOffset>
                </wp:positionH>
                <wp:positionV relativeFrom="paragraph">
                  <wp:posOffset>34925</wp:posOffset>
                </wp:positionV>
                <wp:extent cx="1689100" cy="1438910"/>
                <wp:effectExtent l="9525" t="9525" r="88265" b="86360"/>
                <wp:wrapNone/>
                <wp:docPr id="1" name=""/>
                <a:graphic xmlns:a="http://schemas.openxmlformats.org/drawingml/2006/main">
                  <a:graphicData uri="http://schemas.microsoft.com/office/word/2010/wordprocessingShape">
                    <wps:wsp>
                      <wps:cNvSpPr/>
                      <wps:spPr>
                        <a:xfrm>
                          <a:off x="0" y="0"/>
                          <a:ext cx="1689120" cy="1438920"/>
                        </a:xfrm>
                        <a:custGeom>
                          <a:avLst/>
                          <a:gdLst>
                            <a:gd name="textAreaLeft" fmla="*/ 0 w 957600"/>
                            <a:gd name="textAreaRight" fmla="*/ 957960 w 957600"/>
                            <a:gd name="textAreaTop" fmla="*/ 0 h 815760"/>
                            <a:gd name="textAreaBottom" fmla="*/ 816120 h 8157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Информация за наличните СИ;</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предназначението, начина на експлоатация и поддръжка на конкретно СИ.</w:t>
                            </w:r>
                          </w:p>
                        </w:txbxContent>
                      </wps:txbx>
                      <wps:bodyPr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3pt;margin-top:2.75pt;width:132.95pt;height:113.2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Информация за наличните СИ;</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предназначението, начина на експлоатация и поддръжка на конкретно СИ.</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9525</wp:posOffset>
                </wp:positionV>
                <wp:extent cx="1727200" cy="778510"/>
                <wp:effectExtent l="9525" t="9525" r="91440" b="86360"/>
                <wp:wrapNone/>
                <wp:docPr id="2" name=""/>
                <a:graphic xmlns:a="http://schemas.openxmlformats.org/drawingml/2006/main">
                  <a:graphicData uri="http://schemas.microsoft.com/office/word/2010/wordprocessingShape">
                    <wps:wsp>
                      <wps:cNvSpPr/>
                      <wps:spPr>
                        <a:xfrm>
                          <a:off x="0" y="0"/>
                          <a:ext cx="1727280" cy="778680"/>
                        </a:xfrm>
                        <a:custGeom>
                          <a:avLst/>
                          <a:gdLst>
                            <a:gd name="textAreaLeft" fmla="*/ 0 w 979200"/>
                            <a:gd name="textAreaRight" fmla="*/ 979560 w 979200"/>
                            <a:gd name="textAreaTop" fmla="*/ 0 h 441360"/>
                            <a:gd name="textAreaBottom" fmla="*/ 441720 h 4413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Подходящи и отговарящи на стандартите СИ</w:t>
                            </w:r>
                          </w:p>
                        </w:txbxContent>
                      </wps:txbx>
                      <wps:bodyPr anchor="t">
                        <a:noAutofit/>
                      </wps:bodyPr>
                    </wps:wsp>
                  </a:graphicData>
                </a:graphic>
              </wp:anchor>
            </w:drawing>
          </mc:Choice>
          <mc:Fallback>
            <w:pict>
              <v:shape id="shape_0" fillcolor="white" stroked="t" o:allowincell="f" style="position:absolute;margin-left:349.25pt;margin-top:0.75pt;width:135.95pt;height:61.2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Подходящи и отговарящи на стандартите СИ</w:t>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12700</wp:posOffset>
                </wp:positionV>
                <wp:extent cx="2317750" cy="1060450"/>
                <wp:effectExtent l="0" t="0" r="76200" b="76200"/>
                <wp:wrapNone/>
                <wp:docPr id="3" name="Рамка1"/>
                <a:graphic xmlns:a="http://schemas.openxmlformats.org/drawingml/2006/main">
                  <a:graphicData uri="http://schemas.microsoft.com/office/word/2010/wordprocessingShape">
                    <wps:wsp>
                      <wps:cNvSpPr txBox="1"/>
                      <wps:spPr>
                        <a:xfrm>
                          <a:off x="0" y="0"/>
                          <a:ext cx="2393950" cy="1136650"/>
                        </a:xfrm>
                        <a:prstGeom prst="rect"/>
                        <a:solidFill>
                          <a:srgbClr val="FFFFFF"/>
                        </a:solidFill>
                        <a:ln w="19050">
                          <a:solidFill>
                            <a:srgbClr val="000000"/>
                          </a:solidFill>
                        </a:ln>
                        <a:effectLst>
                          <a:outerShdw dist="107315" dir="2700000">
                            <a:srgbClr val="808080"/>
                          </a:outerShdw>
                        </a:effectLst>
                      </wps:spPr>
                      <wps:txbx>
                        <w:txbxContent>
                          <w:p>
                            <w:pPr>
                              <w:pStyle w:val="Normal"/>
                              <w:numPr>
                                <w:ilvl w:val="0"/>
                                <w:numId w:val="5"/>
                              </w:numPr>
                              <w:ind w:hanging="227" w:start="340" w:end="0"/>
                              <w:rPr/>
                            </w:pPr>
                            <w:r>
                              <w:rPr>
                                <w:lang w:val="bg-BG"/>
                              </w:rPr>
                              <w:t>планиране на проверката на СИ</w:t>
                            </w:r>
                          </w:p>
                          <w:p>
                            <w:pPr>
                              <w:pStyle w:val="Normal"/>
                              <w:numPr>
                                <w:ilvl w:val="0"/>
                                <w:numId w:val="5"/>
                              </w:numPr>
                              <w:ind w:hanging="227" w:start="340" w:end="0"/>
                              <w:rPr/>
                            </w:pPr>
                            <w:r>
                              <w:rPr>
                                <w:lang w:val="en-US"/>
                              </w:rPr>
                              <w:t>осигуряване на необходими</w:t>
                            </w:r>
                            <w:r>
                              <w:rPr>
                                <w:lang w:val="bg-BG"/>
                              </w:rPr>
                              <w:t>те СИ;</w:t>
                            </w:r>
                          </w:p>
                          <w:p>
                            <w:pPr>
                              <w:pStyle w:val="Normal"/>
                              <w:numPr>
                                <w:ilvl w:val="0"/>
                                <w:numId w:val="5"/>
                              </w:numPr>
                              <w:ind w:hanging="227" w:start="340" w:end="0"/>
                              <w:rPr/>
                            </w:pPr>
                            <w:r>
                              <w:rPr>
                                <w:lang w:val="bg-BG"/>
                              </w:rPr>
                              <w:t>инструкции за експлоатация и поддръжка на СИ;</w:t>
                            </w:r>
                          </w:p>
                          <w:p>
                            <w:pPr>
                              <w:pStyle w:val="Normal"/>
                              <w:numPr>
                                <w:ilvl w:val="0"/>
                                <w:numId w:val="5"/>
                              </w:numPr>
                              <w:ind w:hanging="227" w:start="340" w:end="0"/>
                              <w:rPr/>
                            </w:pPr>
                            <w:r>
                              <w:rPr>
                                <w:lang w:val="bg-BG"/>
                              </w:rPr>
                              <w:t>оценяване на състоянието на СИ;</w:t>
                            </w:r>
                          </w:p>
                          <w:p>
                            <w:pPr>
                              <w:pStyle w:val="Normal"/>
                              <w:numPr>
                                <w:ilvl w:val="0"/>
                                <w:numId w:val="5"/>
                              </w:numPr>
                              <w:ind w:hanging="227" w:start="340" w:end="0"/>
                              <w:rPr/>
                            </w:pPr>
                            <w:r>
                              <w:rPr>
                                <w:lang w:val="bg-BG"/>
                              </w:rPr>
                              <w:t>контролна и ремонтна дейност.</w:t>
                            </w:r>
                          </w:p>
                        </w:txbxContent>
                      </wps:txbx>
                      <wps:bodyPr anchor="t" lIns="17780" tIns="10795" rIns="17780" bIns="10795">
                        <a:noAutofit/>
                      </wps:bodyPr>
                    </wps:wsp>
                  </a:graphicData>
                </a:graphic>
              </wp:anchor>
            </w:drawing>
          </mc:Choice>
          <mc:Fallback>
            <w:pict>
              <v:rect fillcolor="#FFFFFF" strokecolor="#000000" strokeweight="1pt" style="position:absolute;rotation:-0;width:188.5pt;height:89.5pt;mso-wrap-distance-left:9.05pt;mso-wrap-distance-right:9.05pt;mso-wrap-distance-top:0pt;mso-wrap-distance-bottom:0pt;margin-top:1pt;mso-position-vertical-relative:text;margin-left:144.5pt;mso-position-horizontal-relative:text">
                <v:shadow on="t" color="#808080" offset="6pt,6pt"/>
                <v:textbox inset="0.0194444444444444in,0.0118055555555556in,0.0194444444444444in,0.0118055555555556in">
                  <w:txbxContent>
                    <w:p>
                      <w:pPr>
                        <w:pStyle w:val="Normal"/>
                        <w:numPr>
                          <w:ilvl w:val="0"/>
                          <w:numId w:val="5"/>
                        </w:numPr>
                        <w:ind w:hanging="227" w:start="340" w:end="0"/>
                        <w:rPr/>
                      </w:pPr>
                      <w:r>
                        <w:rPr>
                          <w:lang w:val="bg-BG"/>
                        </w:rPr>
                        <w:t>планиране на проверката на СИ</w:t>
                      </w:r>
                    </w:p>
                    <w:p>
                      <w:pPr>
                        <w:pStyle w:val="Normal"/>
                        <w:numPr>
                          <w:ilvl w:val="0"/>
                          <w:numId w:val="5"/>
                        </w:numPr>
                        <w:ind w:hanging="227" w:start="340" w:end="0"/>
                        <w:rPr/>
                      </w:pPr>
                      <w:r>
                        <w:rPr>
                          <w:lang w:val="en-US"/>
                        </w:rPr>
                        <w:t>осигуряване на необходими</w:t>
                      </w:r>
                      <w:r>
                        <w:rPr>
                          <w:lang w:val="bg-BG"/>
                        </w:rPr>
                        <w:t>те СИ;</w:t>
                      </w:r>
                    </w:p>
                    <w:p>
                      <w:pPr>
                        <w:pStyle w:val="Normal"/>
                        <w:numPr>
                          <w:ilvl w:val="0"/>
                          <w:numId w:val="5"/>
                        </w:numPr>
                        <w:ind w:hanging="227" w:start="340" w:end="0"/>
                        <w:rPr/>
                      </w:pPr>
                      <w:r>
                        <w:rPr>
                          <w:lang w:val="bg-BG"/>
                        </w:rPr>
                        <w:t>инструкции за експлоатация и поддръжка на СИ;</w:t>
                      </w:r>
                    </w:p>
                    <w:p>
                      <w:pPr>
                        <w:pStyle w:val="Normal"/>
                        <w:numPr>
                          <w:ilvl w:val="0"/>
                          <w:numId w:val="5"/>
                        </w:numPr>
                        <w:ind w:hanging="227" w:start="340" w:end="0"/>
                        <w:rPr/>
                      </w:pPr>
                      <w:r>
                        <w:rPr>
                          <w:lang w:val="bg-BG"/>
                        </w:rPr>
                        <w:t>оценяване на състоянието на СИ;</w:t>
                      </w:r>
                    </w:p>
                    <w:p>
                      <w:pPr>
                        <w:pStyle w:val="Normal"/>
                        <w:numPr>
                          <w:ilvl w:val="0"/>
                          <w:numId w:val="5"/>
                        </w:numPr>
                        <w:ind w:hanging="227" w:start="340" w:end="0"/>
                        <w:rPr/>
                      </w:pPr>
                      <w:r>
                        <w:rPr>
                          <w:lang w:val="bg-BG"/>
                        </w:rPr>
                        <w:t>контролна и ремонтна дейност.</w:t>
                      </w:r>
                    </w:p>
                  </w:txbxContent>
                </v:textbox>
                <w10:wrap type="none"/>
              </v:rect>
            </w:pict>
          </mc:Fallback>
        </mc:AlternateConten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4"/>
        </w:numPr>
        <w:jc w:val="both"/>
        <w:rPr>
          <w:b/>
          <w:sz w:val="24"/>
          <w:lang w:val="bg-BG"/>
        </w:rPr>
      </w:pPr>
      <w:r>
        <w:rPr>
          <w:b/>
          <w:sz w:val="24"/>
          <w:lang w:val="bg-BG"/>
        </w:rPr>
        <w:t xml:space="preserve">ОТГОВОРНОСТИ ЗА ИЗВЪРШВАНЕ НА ПРОЦЕСА </w:t>
      </w:r>
    </w:p>
    <w:p>
      <w:pPr>
        <w:pStyle w:val="Normal"/>
        <w:widowControl/>
        <w:jc w:val="both"/>
        <w:rPr>
          <w:b/>
          <w:sz w:val="24"/>
          <w:lang w:val="bg-BG"/>
        </w:rPr>
      </w:pPr>
      <w:r>
        <w:rPr>
          <w:b/>
          <w:sz w:val="24"/>
          <w:lang w:val="bg-BG"/>
        </w:rPr>
      </w:r>
    </w:p>
    <w:p>
      <w:pPr>
        <w:pStyle w:val="Heading2"/>
        <w:ind w:hanging="0" w:start="0"/>
        <w:rPr/>
      </w:pPr>
      <w:r>
        <w:rPr>
          <w:lang w:val="bg-BG"/>
        </w:rPr>
        <w:t>Отговорността на ръководството в лицето на Управителя се изразяват в:</w:t>
      </w:r>
    </w:p>
    <w:p>
      <w:pPr>
        <w:pStyle w:val="Normal"/>
        <w:numPr>
          <w:ilvl w:val="0"/>
          <w:numId w:val="3"/>
        </w:numPr>
        <w:tabs>
          <w:tab w:val="clear" w:pos="720"/>
          <w:tab w:val="left" w:pos="426" w:leader="none"/>
        </w:tabs>
        <w:ind w:hanging="426" w:start="426" w:end="0"/>
        <w:jc w:val="both"/>
        <w:rPr>
          <w:sz w:val="24"/>
          <w:lang w:val="bg-BG"/>
        </w:rPr>
      </w:pPr>
      <w:r>
        <w:rPr>
          <w:sz w:val="24"/>
          <w:lang w:val="bg-BG"/>
        </w:rPr>
        <w:t>определяне на оптимален обем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проучване на потребностите от съответни СИ, както и изискванията за техния контрол;</w:t>
      </w:r>
    </w:p>
    <w:p>
      <w:pPr>
        <w:pStyle w:val="Normal"/>
        <w:numPr>
          <w:ilvl w:val="0"/>
          <w:numId w:val="3"/>
        </w:numPr>
        <w:tabs>
          <w:tab w:val="clear" w:pos="720"/>
          <w:tab w:val="left" w:pos="426" w:leader="none"/>
        </w:tabs>
        <w:ind w:hanging="426" w:start="426" w:end="0"/>
        <w:jc w:val="both"/>
        <w:rPr>
          <w:sz w:val="24"/>
          <w:lang w:val="bg-BG"/>
        </w:rPr>
      </w:pPr>
      <w:r>
        <w:rPr>
          <w:sz w:val="24"/>
          <w:lang w:val="bg-BG"/>
        </w:rPr>
        <w:t>планиране на процеса на управление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осигуряване на необходимите ресурси за закупуване и поддържане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контрол на експлоатацията на СИ.</w:t>
      </w:r>
    </w:p>
    <w:p>
      <w:pPr>
        <w:pStyle w:val="Normal"/>
        <w:widowControl/>
        <w:jc w:val="both"/>
        <w:rPr>
          <w:bCs/>
          <w:sz w:val="24"/>
          <w:szCs w:val="24"/>
          <w:lang w:val="bg-BG"/>
        </w:rPr>
      </w:pPr>
      <w:r>
        <w:rPr>
          <w:bCs/>
          <w:sz w:val="24"/>
          <w:szCs w:val="24"/>
          <w:lang w:val="bg-BG"/>
        </w:rPr>
      </w:r>
    </w:p>
    <w:p>
      <w:pPr>
        <w:pStyle w:val="Normal"/>
        <w:widowControl/>
        <w:rPr>
          <w:sz w:val="24"/>
          <w:szCs w:val="24"/>
          <w:lang w:val="bg-BG"/>
        </w:rPr>
      </w:pPr>
      <w:r>
        <w:rPr>
          <w:sz w:val="24"/>
          <w:szCs w:val="24"/>
          <w:lang w:val="bg-BG"/>
        </w:rPr>
        <w:t>Отговорността за извършване на метрологичните дейности е на отговорника по инфраструктурата , който:</w:t>
      </w:r>
    </w:p>
    <w:p>
      <w:pPr>
        <w:pStyle w:val="Normal"/>
        <w:numPr>
          <w:ilvl w:val="0"/>
          <w:numId w:val="3"/>
        </w:numPr>
        <w:tabs>
          <w:tab w:val="clear" w:pos="720"/>
          <w:tab w:val="left" w:pos="426" w:leader="none"/>
        </w:tabs>
        <w:ind w:hanging="426" w:start="426" w:end="0"/>
        <w:jc w:val="both"/>
        <w:rPr>
          <w:sz w:val="24"/>
          <w:lang w:val="bg-BG"/>
        </w:rPr>
      </w:pPr>
      <w:r>
        <w:rPr>
          <w:sz w:val="24"/>
          <w:lang w:val="bg-BG"/>
        </w:rPr>
        <w:t>Осигурява внедряването и спазването на правила, отнасящи се за точността на измерване;</w:t>
      </w:r>
    </w:p>
    <w:p>
      <w:pPr>
        <w:pStyle w:val="Normal"/>
        <w:numPr>
          <w:ilvl w:val="0"/>
          <w:numId w:val="3"/>
        </w:numPr>
        <w:tabs>
          <w:tab w:val="clear" w:pos="720"/>
          <w:tab w:val="left" w:pos="426" w:leader="none"/>
        </w:tabs>
        <w:ind w:hanging="426" w:start="426" w:end="0"/>
        <w:jc w:val="both"/>
        <w:rPr>
          <w:sz w:val="24"/>
          <w:lang w:val="bg-BG"/>
        </w:rPr>
      </w:pPr>
      <w:r>
        <w:rPr>
          <w:sz w:val="24"/>
          <w:lang w:val="bg-BG"/>
        </w:rPr>
        <w:t>Организира работата по проверка на СИ;</w:t>
      </w:r>
    </w:p>
    <w:p>
      <w:pPr>
        <w:pStyle w:val="Normal"/>
        <w:numPr>
          <w:ilvl w:val="0"/>
          <w:numId w:val="3"/>
        </w:numPr>
        <w:tabs>
          <w:tab w:val="clear" w:pos="720"/>
          <w:tab w:val="left" w:pos="426" w:leader="none"/>
        </w:tabs>
        <w:ind w:hanging="426" w:start="426" w:end="0"/>
        <w:jc w:val="both"/>
        <w:rPr>
          <w:bCs/>
          <w:sz w:val="24"/>
          <w:lang w:val="bg-BG"/>
        </w:rPr>
      </w:pPr>
      <w:r>
        <w:rPr>
          <w:sz w:val="24"/>
          <w:lang w:val="bg-BG"/>
        </w:rPr>
        <w:t>Създава и поддържа Картотеката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Извършва контрол върху състоянието, съхранението и използването на СИ.</w:t>
      </w:r>
    </w:p>
    <w:p>
      <w:pPr>
        <w:pStyle w:val="Normal"/>
        <w:widowControl/>
        <w:jc w:val="both"/>
        <w:rPr>
          <w:bCs/>
          <w:sz w:val="24"/>
          <w:lang w:val="bg-BG"/>
        </w:rPr>
      </w:pPr>
      <w:r>
        <w:rPr>
          <w:bCs/>
          <w:sz w:val="24"/>
          <w:lang w:val="bg-BG"/>
        </w:rPr>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 xml:space="preserve">ПОТРЕБИТЕЛ НА ПРОЦЕСА </w:t>
      </w:r>
    </w:p>
    <w:p>
      <w:pPr>
        <w:pStyle w:val="BodyText"/>
        <w:rPr>
          <w:b/>
          <w:sz w:val="24"/>
          <w:lang w:val="bg-BG"/>
        </w:rPr>
      </w:pPr>
      <w:r>
        <w:rPr>
          <w:b/>
          <w:sz w:val="24"/>
          <w:lang w:val="bg-BG"/>
        </w:rPr>
      </w:r>
    </w:p>
    <w:p>
      <w:pPr>
        <w:pStyle w:val="BodyText"/>
        <w:rPr/>
      </w:pPr>
      <w:r>
        <w:rPr/>
        <w:t>Процесът „Управление на средствата за измерване” има за цел осигуряване на подходящи и отговарящи на стандартите СИ необходими за всички процеси на Системата за управление на качеството.</w:t>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КРИТЕРИИ ЗА ОЦЕНЯВАНЕ НА ПРОЦЕСА</w:t>
        <w:tab/>
      </w:r>
    </w:p>
    <w:p>
      <w:pPr>
        <w:pStyle w:val="BodyText"/>
        <w:rPr>
          <w:b/>
          <w:sz w:val="24"/>
          <w:lang w:val="bg-BG"/>
        </w:rPr>
      </w:pPr>
      <w:r>
        <w:rPr>
          <w:b/>
          <w:sz w:val="24"/>
          <w:lang w:val="bg-BG"/>
        </w:rPr>
      </w:r>
    </w:p>
    <w:p>
      <w:pPr>
        <w:pStyle w:val="BodyText"/>
        <w:rPr/>
      </w:pPr>
      <w:r>
        <w:rPr/>
        <w:t>За ефективната и ефикасна експлоатация на инфраструктурата свидетелства:</w:t>
      </w:r>
    </w:p>
    <w:p>
      <w:pPr>
        <w:pStyle w:val="Normal"/>
        <w:numPr>
          <w:ilvl w:val="0"/>
          <w:numId w:val="3"/>
        </w:numPr>
        <w:tabs>
          <w:tab w:val="clear" w:pos="720"/>
          <w:tab w:val="left" w:pos="426" w:leader="none"/>
        </w:tabs>
        <w:ind w:hanging="426" w:start="426" w:end="0"/>
        <w:jc w:val="both"/>
        <w:rPr>
          <w:sz w:val="24"/>
          <w:lang w:val="bg-BG"/>
        </w:rPr>
      </w:pPr>
      <w:r>
        <w:rPr>
          <w:sz w:val="24"/>
          <w:lang w:val="bg-BG"/>
        </w:rPr>
        <w:t>недопускане производството на некачествена продукция поради неотговарящи на стандартите СИ;</w:t>
      </w:r>
    </w:p>
    <w:p>
      <w:pPr>
        <w:pStyle w:val="Normal"/>
        <w:numPr>
          <w:ilvl w:val="0"/>
          <w:numId w:val="3"/>
        </w:numPr>
        <w:tabs>
          <w:tab w:val="clear" w:pos="720"/>
          <w:tab w:val="left" w:pos="426" w:leader="none"/>
        </w:tabs>
        <w:ind w:hanging="426" w:start="426" w:end="0"/>
        <w:jc w:val="both"/>
        <w:rPr>
          <w:sz w:val="24"/>
          <w:lang w:val="bg-BG"/>
        </w:rPr>
      </w:pPr>
      <w:r>
        <w:rPr>
          <w:sz w:val="24"/>
          <w:lang w:val="bg-BG"/>
        </w:rPr>
        <w:t>степента на експлоатация на СИ.</w:t>
      </w:r>
    </w:p>
    <w:p>
      <w:pPr>
        <w:pStyle w:val="Normal"/>
        <w:widowControl/>
        <w:jc w:val="both"/>
        <w:rPr>
          <w:bCs/>
          <w:sz w:val="24"/>
          <w:lang w:val="bg-BG"/>
        </w:rPr>
      </w:pPr>
      <w:r>
        <w:rPr>
          <w:bCs/>
          <w:sz w:val="24"/>
          <w:lang w:val="bg-BG"/>
        </w:rPr>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ТЕРМИНИ И ОПРЕДЕЛЕНИЯ</w:t>
      </w:r>
    </w:p>
    <w:p>
      <w:pPr>
        <w:pStyle w:val="Normal"/>
        <w:numPr>
          <w:ilvl w:val="0"/>
          <w:numId w:val="3"/>
        </w:numPr>
        <w:tabs>
          <w:tab w:val="clear" w:pos="720"/>
          <w:tab w:val="left" w:pos="426" w:leader="none"/>
        </w:tabs>
        <w:ind w:hanging="426" w:start="426" w:end="0"/>
        <w:jc w:val="both"/>
        <w:rPr>
          <w:sz w:val="24"/>
          <w:lang w:val="bg-BG"/>
        </w:rPr>
      </w:pPr>
      <w:r>
        <w:rPr>
          <w:b/>
          <w:bCs/>
          <w:sz w:val="24"/>
          <w:lang w:val="bg-BG"/>
        </w:rPr>
        <w:t>Средства за наблюдение и измерване</w:t>
      </w:r>
      <w:r>
        <w:rPr>
          <w:sz w:val="24"/>
          <w:lang w:val="bg-BG"/>
        </w:rPr>
        <w:t xml:space="preserve"> – съвкупност от технически средства за измерване, набиращи и обработващи измервателна информация за контрол на процесите и продуктите във фирмата;</w:t>
      </w:r>
    </w:p>
    <w:p>
      <w:pPr>
        <w:pStyle w:val="Normal"/>
        <w:numPr>
          <w:ilvl w:val="0"/>
          <w:numId w:val="3"/>
        </w:numPr>
        <w:tabs>
          <w:tab w:val="clear" w:pos="720"/>
          <w:tab w:val="left" w:pos="426" w:leader="none"/>
        </w:tabs>
        <w:ind w:hanging="426" w:start="426" w:end="0"/>
        <w:jc w:val="both"/>
        <w:rPr>
          <w:sz w:val="24"/>
          <w:lang w:val="bg-BG"/>
        </w:rPr>
      </w:pPr>
      <w:r>
        <w:rPr>
          <w:b/>
          <w:bCs/>
          <w:sz w:val="24"/>
          <w:lang w:val="bg-BG"/>
        </w:rPr>
        <w:t>Проверка на СИ</w:t>
      </w:r>
      <w:r>
        <w:rPr>
          <w:sz w:val="24"/>
          <w:lang w:val="bg-BG"/>
        </w:rPr>
        <w:t xml:space="preserve"> – упражняван независим контрол от външна организация, официално акредитирана по Закона за измерванията, за доказване на съответствието на СИ с изискванията на стандартите към тях;</w:t>
      </w:r>
    </w:p>
    <w:p>
      <w:pPr>
        <w:pStyle w:val="Normal"/>
        <w:numPr>
          <w:ilvl w:val="0"/>
          <w:numId w:val="3"/>
        </w:numPr>
        <w:tabs>
          <w:tab w:val="clear" w:pos="720"/>
          <w:tab w:val="left" w:pos="426" w:leader="none"/>
        </w:tabs>
        <w:ind w:hanging="426" w:start="426" w:end="0"/>
        <w:jc w:val="both"/>
        <w:rPr>
          <w:sz w:val="24"/>
          <w:lang w:val="bg-BG"/>
        </w:rPr>
      </w:pPr>
      <w:r>
        <w:rPr>
          <w:b/>
          <w:bCs/>
          <w:sz w:val="24"/>
          <w:lang w:val="bg-BG"/>
        </w:rPr>
        <w:t>Метрологично потвърждаване на СИ</w:t>
      </w:r>
      <w:r>
        <w:rPr>
          <w:sz w:val="24"/>
          <w:lang w:val="bg-BG"/>
        </w:rPr>
        <w:t xml:space="preserve"> – съвкупност от операции, необходими за да се докаже, че СИ са в състояние на съответствие с изискванията за предполагаемата употреба.</w:t>
      </w:r>
    </w:p>
    <w:p>
      <w:pPr>
        <w:pStyle w:val="Normal"/>
        <w:widowControl/>
        <w:jc w:val="both"/>
        <w:rPr>
          <w:rFonts w:ascii="SAFon;Arial" w:hAnsi="SAFon;Arial" w:cs="SAFon;Arial"/>
          <w:sz w:val="24"/>
          <w:lang w:val="bg-BG"/>
        </w:rPr>
      </w:pPr>
      <w:r>
        <w:rPr>
          <w:rFonts w:cs="SAFon;Arial" w:ascii="SAFon;Arial" w:hAnsi="SAFon;Arial"/>
          <w:sz w:val="24"/>
          <w:lang w:val="bg-BG"/>
        </w:rPr>
      </w:r>
    </w:p>
    <w:p>
      <w:pPr>
        <w:pStyle w:val="Normal"/>
        <w:widowControl/>
        <w:jc w:val="both"/>
        <w:rPr>
          <w:rFonts w:ascii="SAFon;Arial" w:hAnsi="SAFon;Arial" w:cs="SAFon;Arial"/>
          <w:lang w:val="bg-BG"/>
        </w:rPr>
      </w:pPr>
      <w:r>
        <w:rPr>
          <w:rFonts w:cs="SAFon;Arial" w:ascii="SAFon;Arial" w:hAnsi="SAFon;Arial"/>
          <w:lang w:val="bg-BG"/>
        </w:rPr>
      </w:r>
    </w:p>
    <w:p>
      <w:pPr>
        <w:pStyle w:val="Normal"/>
        <w:widowControl/>
        <w:numPr>
          <w:ilvl w:val="0"/>
          <w:numId w:val="4"/>
        </w:numPr>
        <w:jc w:val="both"/>
        <w:rPr>
          <w:b/>
          <w:sz w:val="24"/>
          <w:lang w:val="bg-BG"/>
        </w:rPr>
      </w:pPr>
      <w:r>
        <w:rPr>
          <w:b/>
          <w:sz w:val="24"/>
          <w:lang w:val="bg-BG"/>
        </w:rPr>
        <w:t>ПРОЦЕДУРА</w:t>
      </w:r>
    </w:p>
    <w:p>
      <w:pPr>
        <w:pStyle w:val="Normal"/>
        <w:widowControl/>
        <w:jc w:val="both"/>
        <w:rPr>
          <w:b/>
          <w:sz w:val="24"/>
          <w:lang w:val="bg-BG"/>
        </w:rPr>
      </w:pPr>
      <w:r>
        <w:rPr>
          <w:b/>
          <w:sz w:val="24"/>
          <w:lang w:val="bg-BG"/>
        </w:rPr>
      </w:r>
    </w:p>
    <w:p>
      <w:pPr>
        <w:pStyle w:val="Normal"/>
        <w:widowControl/>
        <w:numPr>
          <w:ilvl w:val="1"/>
          <w:numId w:val="4"/>
        </w:numPr>
        <w:jc w:val="both"/>
        <w:rPr>
          <w:b/>
          <w:sz w:val="24"/>
          <w:lang w:val="bg-BG"/>
        </w:rPr>
      </w:pPr>
      <w:r>
        <w:rPr>
          <w:b/>
          <w:sz w:val="24"/>
          <w:lang w:val="bg-BG"/>
        </w:rPr>
        <w:t>Общи положения</w:t>
      </w:r>
    </w:p>
    <w:p>
      <w:pPr>
        <w:pStyle w:val="Normal"/>
        <w:widowControl/>
        <w:jc w:val="both"/>
        <w:rPr>
          <w:sz w:val="24"/>
          <w:lang w:val="bg-BG"/>
        </w:rPr>
      </w:pPr>
      <w:r>
        <w:rPr>
          <w:sz w:val="24"/>
          <w:lang w:val="bg-BG"/>
        </w:rPr>
        <w:t>Управлението на СИ се извършва с цел осигуряване на нормално протичане на процесите по създаване на продукта. Управлението на СИ включва планирането, осигуряването, поддръжката и съхранението на подходящи СИ, отговарящи на стандартите.</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Гарантирането на качеството на използваните СИ се извършва чрез организиране на периодични проверки. В случаи, когато в дружеството се използват СИ, предоставени от външни организации, същите се използват при условие, че се придружавагт от документ за метрологично потвърждаване.</w:t>
      </w:r>
    </w:p>
    <w:p>
      <w:pPr>
        <w:pStyle w:val="Normal"/>
        <w:widowControl/>
        <w:jc w:val="both"/>
        <w:rPr>
          <w:sz w:val="24"/>
          <w:lang w:val="bg-BG"/>
        </w:rPr>
      </w:pPr>
      <w:r>
        <w:rPr>
          <w:sz w:val="24"/>
          <w:lang w:val="bg-BG"/>
        </w:rPr>
      </w:r>
    </w:p>
    <w:p>
      <w:pPr>
        <w:pStyle w:val="Normal"/>
        <w:widowControl/>
        <w:jc w:val="both"/>
        <w:rPr/>
      </w:pPr>
      <w:r>
        <w:rPr>
          <w:sz w:val="24"/>
          <w:lang w:val="bg-BG"/>
        </w:rPr>
        <w:t xml:space="preserve">Картотеката на СИ се води от отговорник за СИ, определен със заповед на Управителя. Той поддържа “Списък на СИ” </w:t>
      </w:r>
      <w:r>
        <w:rPr>
          <w:sz w:val="24"/>
          <w:lang w:val="en-US"/>
        </w:rPr>
        <w:t>OD</w:t>
      </w:r>
      <w:r>
        <w:rPr>
          <w:sz w:val="24"/>
          <w:lang w:val="bg-BG"/>
        </w:rPr>
        <w:t xml:space="preserve"> 07.01.05-1. За всички СИ се води индивидуален отчет. Всяко СИ има индивидуален “Картон на СИ” </w:t>
      </w:r>
      <w:r>
        <w:rPr>
          <w:sz w:val="24"/>
          <w:lang w:val="en-US"/>
        </w:rPr>
        <w:t>OD</w:t>
      </w:r>
      <w:r>
        <w:rPr>
          <w:sz w:val="24"/>
          <w:lang w:val="bg-BG"/>
        </w:rPr>
        <w:t xml:space="preserve"> 07.01.05-2.</w:t>
      </w:r>
    </w:p>
    <w:p>
      <w:pPr>
        <w:pStyle w:val="Normal"/>
        <w:widowControl/>
        <w:jc w:val="both"/>
        <w:rPr>
          <w:bCs/>
          <w:iCs/>
          <w:sz w:val="24"/>
          <w:lang w:val="bg-BG"/>
        </w:rPr>
      </w:pPr>
      <w:r>
        <w:rPr>
          <w:bCs/>
          <w:iCs/>
          <w:sz w:val="24"/>
          <w:lang w:val="bg-BG"/>
        </w:rPr>
      </w:r>
    </w:p>
    <w:p>
      <w:pPr>
        <w:pStyle w:val="Normal"/>
        <w:widowControl/>
        <w:jc w:val="both"/>
        <w:rPr>
          <w:bCs/>
          <w:iCs/>
          <w:sz w:val="24"/>
          <w:lang w:val="bg-BG"/>
        </w:rPr>
      </w:pPr>
      <w:r>
        <w:rPr>
          <w:bCs/>
          <w:iCs/>
          <w:sz w:val="24"/>
          <w:lang w:val="bg-BG"/>
        </w:rPr>
      </w:r>
    </w:p>
    <w:p>
      <w:pPr>
        <w:pStyle w:val="Normal"/>
        <w:widowControl/>
        <w:jc w:val="both"/>
        <w:rPr>
          <w:b/>
          <w:sz w:val="24"/>
          <w:lang w:val="bg-BG"/>
        </w:rPr>
      </w:pPr>
      <w:r>
        <w:rPr>
          <w:b/>
          <w:sz w:val="24"/>
          <w:lang w:val="bg-BG"/>
        </w:rPr>
        <w:t>7.2</w:t>
        <w:tab/>
        <w:t xml:space="preserve">Планиране и организиране на проверките </w:t>
      </w:r>
    </w:p>
    <w:p>
      <w:pPr>
        <w:pStyle w:val="3"/>
        <w:rPr/>
      </w:pPr>
      <w:r>
        <w:rPr>
          <w:bCs/>
        </w:rPr>
        <w:t xml:space="preserve">Всички СИ подлежат на периодична проверка/калибриране. Проверката/калибрирането се извършва от </w:t>
      </w:r>
      <w:r>
        <w:rPr/>
        <w:t xml:space="preserve">външна организация, официално акредитирана по Закона за измерванията. </w:t>
      </w:r>
    </w:p>
    <w:p>
      <w:pPr>
        <w:pStyle w:val="3"/>
        <w:rPr>
          <w:bCs/>
        </w:rPr>
      </w:pPr>
      <w:r>
        <w:rPr>
          <w:bCs/>
        </w:rPr>
      </w:r>
    </w:p>
    <w:p>
      <w:pPr>
        <w:pStyle w:val="3"/>
        <w:rPr/>
      </w:pPr>
      <w:r>
        <w:rPr>
          <w:bCs/>
        </w:rPr>
        <w:t xml:space="preserve">Задължителна проверка се извършва на всички СИ, посочени в Закона за измерванията. </w:t>
      </w:r>
      <w:r>
        <w:rPr/>
        <w:t>Планирането на проверките се извършва в регистрационен картон на СИ.</w:t>
      </w:r>
    </w:p>
    <w:p>
      <w:pPr>
        <w:pStyle w:val="Normal"/>
        <w:jc w:val="both"/>
        <w:rPr>
          <w:sz w:val="24"/>
          <w:lang w:val="bg-BG"/>
        </w:rPr>
      </w:pPr>
      <w:r>
        <w:rPr>
          <w:sz w:val="24"/>
          <w:lang w:val="bg-BG"/>
        </w:rPr>
        <w:t xml:space="preserve">Проверките калибровките се определят в зависимост от нормативните изисквания, продължителността, интензивността и условията за използване на СИ, в т.ч. съобразно отговорността на извършваните с тях измервания. </w:t>
      </w:r>
    </w:p>
    <w:p>
      <w:pPr>
        <w:pStyle w:val="Normal"/>
        <w:jc w:val="both"/>
        <w:rPr>
          <w:sz w:val="24"/>
          <w:lang w:val="bg-BG"/>
        </w:rPr>
      </w:pPr>
      <w:r>
        <w:rPr>
          <w:sz w:val="24"/>
          <w:lang w:val="bg-BG"/>
        </w:rPr>
      </w:r>
    </w:p>
    <w:p>
      <w:pPr>
        <w:pStyle w:val="Normal"/>
        <w:jc w:val="both"/>
        <w:rPr/>
      </w:pPr>
      <w:r>
        <w:rPr>
          <w:sz w:val="24"/>
          <w:lang w:val="bg-BG"/>
        </w:rPr>
        <w:t>Извънредна проверка/калибриране на СИ се извършва при поява на признаци за неправилна работа на същите. За целта длъжностното лице, констатирало неизправността уведомява  отговорника за СИ. За СИ които не подлежат на задължителен метрологичен контрол по закона за измервания се извършва вътрешно фирмена проверка по сравнителни методи и еталонен образец.</w:t>
      </w:r>
    </w:p>
    <w:p>
      <w:pPr>
        <w:pStyle w:val="3"/>
        <w:rPr/>
      </w:pPr>
      <w:r>
        <w:rPr/>
        <w:t>Отговорник за СИ</w:t>
      </w:r>
      <w:r>
        <w:rPr>
          <w:bCs/>
        </w:rPr>
        <w:t xml:space="preserve"> организира извършването на проверката/калибрирането и връща годните СИ обратно. За метрологично негодните се организира ремонт, ако подлежат на такъв, от специализирана организация. </w:t>
      </w:r>
    </w:p>
    <w:p>
      <w:pPr>
        <w:pStyle w:val="3"/>
        <w:rPr>
          <w:bCs/>
        </w:rPr>
      </w:pPr>
      <w:r>
        <w:rPr>
          <w:bCs/>
        </w:rPr>
      </w:r>
    </w:p>
    <w:p>
      <w:pPr>
        <w:pStyle w:val="Normal"/>
        <w:widowControl/>
        <w:jc w:val="both"/>
        <w:rPr>
          <w:b/>
          <w:sz w:val="24"/>
          <w:lang w:val="bg-BG"/>
        </w:rPr>
      </w:pPr>
      <w:r>
        <w:rPr>
          <w:b/>
          <w:sz w:val="24"/>
          <w:lang w:val="bg-BG"/>
        </w:rPr>
        <w:t>7.3</w:t>
        <w:tab/>
        <w:t>Правила за съхранение и експлоатация на СИ</w:t>
      </w:r>
    </w:p>
    <w:p>
      <w:pPr>
        <w:pStyle w:val="Normal"/>
        <w:jc w:val="both"/>
        <w:rPr/>
      </w:pPr>
      <w:r>
        <w:rPr>
          <w:sz w:val="24"/>
          <w:lang w:val="bg-BG"/>
        </w:rPr>
        <w:t>СИ се съхраняват в закрити помещения, подредени в подходящи шкафове или рафтове. СИ, които са в експлоатация, се съхраняват индивидуално от отговорните за тях лица в шкафове, каси и други специално предназначени за тази цел.</w:t>
      </w:r>
    </w:p>
    <w:p>
      <w:pPr>
        <w:pStyle w:val="Normal"/>
        <w:jc w:val="both"/>
        <w:rPr>
          <w:sz w:val="24"/>
          <w:lang w:val="bg-BG"/>
        </w:rPr>
      </w:pPr>
      <w:r>
        <w:rPr>
          <w:sz w:val="24"/>
          <w:lang w:val="bg-BG"/>
        </w:rPr>
      </w:r>
    </w:p>
    <w:p>
      <w:pPr>
        <w:pStyle w:val="Normal"/>
        <w:jc w:val="both"/>
        <w:rPr/>
      </w:pPr>
      <w:r>
        <w:rPr>
          <w:sz w:val="24"/>
          <w:lang w:val="bg-BG"/>
        </w:rPr>
        <w:t xml:space="preserve">Всяко лице при получаване на персонално СИ е длъжно да се запознае с инструкцията му за експлоатация или друга подходяща документация към него. При първи признаци за неправилна работа на СИ, длъжностното лице е длъжно да го предаде на отговорниказа СИ за извънредна проверка. За експлоатация във фирмата се допускат СИ преминали съответната метрологична проверка или калибровка. Неизправни измервателни средства, които не могат да бъдат ремонтирани се изземват и бракуват, като това се документира в картона на СИ. </w:t>
      </w:r>
    </w:p>
    <w:p>
      <w:pPr>
        <w:pStyle w:val="Normal"/>
        <w:jc w:val="both"/>
        <w:rPr>
          <w:sz w:val="24"/>
          <w:lang w:val="bg-BG"/>
        </w:rPr>
      </w:pPr>
      <w:r>
        <w:rPr>
          <w:sz w:val="24"/>
          <w:lang w:val="bg-BG"/>
        </w:rPr>
      </w:r>
    </w:p>
    <w:p>
      <w:pPr>
        <w:pStyle w:val="3"/>
        <w:rPr>
          <w:bCs/>
        </w:rPr>
      </w:pPr>
      <w:r>
        <w:rPr>
          <w:bCs/>
        </w:rPr>
        <w:t>Негодните СИ се бракуват по начин недопускащ повторното им използване.</w:t>
      </w:r>
    </w:p>
    <w:p>
      <w:pPr>
        <w:pStyle w:val="Normal"/>
        <w:widowControl/>
        <w:jc w:val="both"/>
        <w:rPr>
          <w:bCs/>
          <w:sz w:val="24"/>
          <w:lang w:val="bg-BG"/>
        </w:rPr>
      </w:pPr>
      <w:r>
        <w:rPr>
          <w:bCs/>
          <w:sz w:val="24"/>
          <w:lang w:val="bg-BG"/>
        </w:rPr>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СВЪРЗАНИ ДОКУМЕНТИ</w:t>
      </w:r>
    </w:p>
    <w:p>
      <w:pPr>
        <w:pStyle w:val="Normal"/>
        <w:widowControl/>
        <w:jc w:val="both"/>
        <w:rPr>
          <w:b/>
          <w:sz w:val="24"/>
          <w:lang w:val="bg-BG"/>
        </w:rPr>
      </w:pPr>
      <w:r>
        <w:rPr>
          <w:b/>
          <w:sz w:val="24"/>
          <w:lang w:val="bg-BG"/>
        </w:rPr>
      </w:r>
    </w:p>
    <w:p>
      <w:pPr>
        <w:pStyle w:val="Normal"/>
        <w:widowControl/>
        <w:numPr>
          <w:ilvl w:val="0"/>
          <w:numId w:val="2"/>
        </w:numPr>
        <w:tabs>
          <w:tab w:val="clear" w:pos="720"/>
          <w:tab w:val="left" w:pos="0" w:leader="none"/>
        </w:tabs>
        <w:ind w:hanging="0" w:start="0" w:end="0"/>
        <w:jc w:val="both"/>
        <w:rPr>
          <w:sz w:val="24"/>
          <w:lang w:val="bg-BG"/>
        </w:rPr>
      </w:pPr>
      <w:r>
        <w:rPr>
          <w:sz w:val="24"/>
          <w:lang w:val="en-US"/>
        </w:rPr>
        <w:t>OD</w:t>
      </w:r>
      <w:r>
        <w:rPr>
          <w:sz w:val="24"/>
          <w:lang w:val="bg-BG"/>
        </w:rPr>
        <w:t xml:space="preserve"> 07.01.05-1 “Списък на СИ”</w:t>
      </w:r>
    </w:p>
    <w:p>
      <w:pPr>
        <w:pStyle w:val="Normal"/>
        <w:widowControl/>
        <w:numPr>
          <w:ilvl w:val="0"/>
          <w:numId w:val="2"/>
        </w:numPr>
        <w:tabs>
          <w:tab w:val="clear" w:pos="720"/>
          <w:tab w:val="left" w:pos="0" w:leader="none"/>
        </w:tabs>
        <w:ind w:hanging="0" w:start="0" w:end="0"/>
        <w:jc w:val="both"/>
        <w:rPr>
          <w:sz w:val="24"/>
          <w:lang w:val="bg-BG"/>
        </w:rPr>
      </w:pPr>
      <w:r>
        <w:rPr>
          <w:sz w:val="24"/>
          <w:lang w:val="en-US"/>
        </w:rPr>
        <w:t>OD</w:t>
      </w:r>
      <w:r>
        <w:rPr>
          <w:sz w:val="24"/>
          <w:lang w:val="bg-BG"/>
        </w:rPr>
        <w:t xml:space="preserve"> 07.01.05-2 “Картон на СИ”</w:t>
      </w:r>
    </w:p>
    <w:sectPr>
      <w:headerReference w:type="default" r:id="rId2"/>
      <w:headerReference w:type="first" r:id="rId3"/>
      <w:type w:val="nextPage"/>
      <w:pgSz w:w="11906" w:h="16838"/>
      <w:pgMar w:left="1418" w:right="425" w:gutter="0" w:header="624" w:top="85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SAFon">
    <w:altName w:val="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7621"/>
      <w:gridCol w:w="970"/>
      <w:gridCol w:w="1298"/>
    </w:tblGrid>
    <w:tr>
      <w:trPr>
        <w:cantSplit/>
      </w:trPr>
      <w:tc>
        <w:tcPr>
          <w:tcW w:w="7621" w:type="dxa"/>
          <w:tcBorders>
            <w:top w:val="single" w:sz="6" w:space="0" w:color="000000"/>
            <w:start w:val="single" w:sz="6" w:space="0" w:color="000000"/>
            <w:bottom w:val="single" w:sz="6" w:space="0" w:color="000000"/>
            <w:end w:val="single" w:sz="6" w:space="0" w:color="000000"/>
          </w:tcBorders>
          <w:vAlign w:val="center"/>
        </w:tcPr>
        <w:p>
          <w:pPr>
            <w:pStyle w:val="Header"/>
            <w:widowControl/>
            <w:rPr>
              <w:lang w:val="bg-BG"/>
            </w:rPr>
          </w:pPr>
          <w:r>
            <w:rPr>
              <w:b/>
              <w:lang w:val="en-US"/>
            </w:rPr>
            <w:t>PK 0</w:t>
          </w:r>
          <w:r>
            <w:rPr>
              <w:b/>
              <w:lang w:val="bg-BG"/>
            </w:rPr>
            <w:t>7.01.05</w:t>
          </w:r>
        </w:p>
      </w:tc>
      <w:tc>
        <w:tcPr>
          <w:tcW w:w="970"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lang w:val="en-US"/>
            </w:rPr>
            <w:t>Версия</w:t>
          </w:r>
        </w:p>
      </w:tc>
      <w:tc>
        <w:tcPr>
          <w:tcW w:w="1298"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lang w:val="bg-BG"/>
            </w:rPr>
            <w:t>01</w:t>
          </w:r>
        </w:p>
      </w:tc>
    </w:tr>
    <w:tr>
      <w:trPr>
        <w:cantSplit/>
      </w:trPr>
      <w:tc>
        <w:tcPr>
          <w:tcW w:w="7621" w:type="dxa"/>
          <w:tcBorders>
            <w:top w:val="single" w:sz="6" w:space="0" w:color="000000"/>
            <w:start w:val="single" w:sz="6" w:space="0" w:color="000000"/>
            <w:bottom w:val="single" w:sz="6" w:space="0" w:color="000000"/>
            <w:end w:val="single" w:sz="6" w:space="0" w:color="000000"/>
          </w:tcBorders>
          <w:vAlign w:val="center"/>
        </w:tcPr>
        <w:p>
          <w:pPr>
            <w:pStyle w:val="Header"/>
            <w:widowControl/>
            <w:rPr>
              <w:lang w:val="bg-BG"/>
            </w:rPr>
          </w:pPr>
          <w:r>
            <w:rPr>
              <w:lang w:val="en-US"/>
            </w:rPr>
            <w:t>ISO</w:t>
          </w:r>
          <w:r>
            <w:rPr>
              <w:lang w:val="bg-BG"/>
            </w:rPr>
            <w:t xml:space="preserve"> 9001:2015</w:t>
          </w:r>
        </w:p>
      </w:tc>
      <w:tc>
        <w:tcPr>
          <w:tcW w:w="970"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lang w:val="bg-BG"/>
            </w:rPr>
            <w:t>Стр.</w:t>
          </w:r>
        </w:p>
      </w:tc>
      <w:tc>
        <w:tcPr>
          <w:tcW w:w="1298"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tc>
    </w:tr>
    <w:tr>
      <w:trPr>
        <w:cantSplit/>
      </w:trPr>
      <w:tc>
        <w:tcPr>
          <w:tcW w:w="9889" w:type="dxa"/>
          <w:gridSpan w:val="3"/>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b/>
              <w:lang w:val="bg-BG"/>
            </w:rPr>
          </w:pPr>
          <w:r>
            <w:rPr>
              <w:b/>
              <w:lang w:val="bg-BG"/>
            </w:rPr>
            <w:t>УПРАВЛЕНИЕ НА СРЕДСТВАТА ЗА ИЗМЕРВАНЕ</w:t>
          </w:r>
        </w:p>
      </w:tc>
    </w:tr>
  </w:tbl>
  <w:p>
    <w:pPr>
      <w:pStyle w:val="Header"/>
      <w:rPr>
        <w:lang w:val="bg-BG"/>
      </w:rPr>
    </w:pPr>
    <w:r>
      <w:rPr>
        <w:lang w:val="bg-BG"/>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1384"/>
      <w:gridCol w:w="1701"/>
      <w:gridCol w:w="4431"/>
      <w:gridCol w:w="1115"/>
      <w:gridCol w:w="1258"/>
    </w:tblGrid>
    <w:tr>
      <w:trPr>
        <w:cantSplit/>
      </w:trPr>
      <w:tc>
        <w:tcPr>
          <w:tcW w:w="3085" w:type="dxa"/>
          <w:gridSpan w:val="2"/>
          <w:vMerge w:val="restart"/>
          <w:tcBorders>
            <w:top w:val="single" w:sz="12" w:space="0" w:color="000000"/>
            <w:start w:val="single" w:sz="12" w:space="0" w:color="000000"/>
            <w:end w:val="single" w:sz="12" w:space="0" w:color="000000"/>
          </w:tcBorders>
          <w:vAlign w:val="center"/>
        </w:tcPr>
        <w:p>
          <w:pPr>
            <w:pStyle w:val="Normal"/>
            <w:rPr>
              <w:lang w:val="en-US"/>
            </w:rPr>
          </w:pPr>
          <w:r>
            <w:rPr>
              <w:rFonts w:cs="Arial" w:ascii="Arial" w:hAnsi="Arial"/>
            </w:rPr>
            <w:t>"ЕКОБУЛ ПАРТНЕР" ООД</w:t>
          </w:r>
        </w:p>
      </w:tc>
      <w:tc>
        <w:tcPr>
          <w:tcW w:w="4431" w:type="dxa"/>
          <w:tcBorders>
            <w:top w:val="single" w:sz="12" w:space="0" w:color="000000"/>
            <w:bottom w:val="single" w:sz="6" w:space="0" w:color="000000"/>
            <w:end w:val="single" w:sz="12" w:space="0" w:color="000000"/>
          </w:tcBorders>
        </w:tcPr>
        <w:p>
          <w:pPr>
            <w:pStyle w:val="Header"/>
            <w:widowControl/>
            <w:rPr>
              <w:lang w:val="bg-BG"/>
            </w:rPr>
          </w:pPr>
          <w:r>
            <w:rPr>
              <w:b/>
              <w:lang w:val="en-US"/>
            </w:rPr>
            <w:t>IP 0</w:t>
          </w:r>
          <w:r>
            <w:rPr>
              <w:b/>
              <w:lang w:val="bg-BG"/>
            </w:rPr>
            <w:t>7</w:t>
          </w:r>
          <w:r>
            <w:rPr>
              <w:b/>
              <w:lang w:val="en-US"/>
            </w:rPr>
            <w:t>.01.05</w:t>
          </w:r>
        </w:p>
      </w:tc>
      <w:tc>
        <w:tcPr>
          <w:tcW w:w="1115"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58"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en-US"/>
            </w:rPr>
          </w:pPr>
          <w:r>
            <w:rPr>
              <w:lang w:val="bg-BG"/>
            </w:rPr>
            <w:t>0</w:t>
          </w:r>
          <w:r>
            <w:rPr>
              <w:lang w:val="en-US"/>
            </w:rPr>
            <w:t>1</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31" w:type="dxa"/>
          <w:tcBorders>
            <w:top w:val="single" w:sz="6" w:space="0" w:color="000000"/>
            <w:bottom w:val="single" w:sz="12" w:space="0" w:color="000000"/>
            <w:end w:val="single" w:sz="12" w:space="0" w:color="000000"/>
          </w:tcBorders>
        </w:tcPr>
        <w:p>
          <w:pPr>
            <w:pStyle w:val="Header"/>
            <w:widowControl/>
            <w:rPr>
              <w:lang w:val="bg-BG"/>
            </w:rPr>
          </w:pPr>
          <w:r>
            <w:rPr>
              <w:lang w:val="en-US"/>
            </w:rPr>
            <w:t>ISO</w:t>
          </w:r>
          <w:r>
            <w:rPr>
              <w:lang w:val="bg-BG"/>
            </w:rPr>
            <w:t xml:space="preserve"> 9001:2015</w:t>
          </w:r>
        </w:p>
      </w:tc>
      <w:tc>
        <w:tcPr>
          <w:tcW w:w="1115"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58"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1/3</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31" w:type="dxa"/>
          <w:tcBorders>
            <w:top w:val="single" w:sz="12" w:space="0" w:color="000000"/>
            <w:bottom w:val="single" w:sz="12" w:space="0" w:color="000000"/>
            <w:end w:val="single" w:sz="12" w:space="0" w:color="000000"/>
          </w:tcBorders>
        </w:tcPr>
        <w:p>
          <w:pPr>
            <w:pStyle w:val="Header"/>
            <w:widowControl/>
            <w:snapToGrid w:val="false"/>
            <w:rPr>
              <w:b/>
              <w:sz w:val="14"/>
              <w:szCs w:val="14"/>
              <w:lang w:val="bg-BG"/>
            </w:rPr>
          </w:pPr>
          <w:r>
            <w:rPr>
              <w:b/>
              <w:sz w:val="14"/>
              <w:szCs w:val="14"/>
              <w:lang w:val="bg-BG"/>
            </w:rPr>
          </w:r>
        </w:p>
        <w:p>
          <w:pPr>
            <w:pStyle w:val="Header"/>
            <w:widowControl/>
            <w:jc w:val="center"/>
            <w:rPr>
              <w:lang w:val="bg-BG"/>
            </w:rPr>
          </w:pPr>
          <w:r>
            <w:rPr>
              <w:b/>
              <w:lang w:val="bg-BG"/>
            </w:rPr>
            <w:t>УПРАВЛЕНИЕ НА СРЕДСТВАТА ЗА  ИЗМЕРВАНЕ</w:t>
          </w:r>
        </w:p>
      </w:tc>
      <w:tc>
        <w:tcPr>
          <w:tcW w:w="1115" w:type="dxa"/>
          <w:tcBorders>
            <w:top w:val="single" w:sz="12" w:space="0" w:color="000000"/>
            <w:bottom w:val="single" w:sz="12" w:space="0" w:color="000000"/>
            <w:end w:val="single" w:sz="6"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Подпис:</w:t>
          </w:r>
        </w:p>
      </w:tc>
      <w:tc>
        <w:tcPr>
          <w:tcW w:w="1258" w:type="dxa"/>
          <w:tcBorders>
            <w:top w:val="single" w:sz="12" w:space="0" w:color="000000"/>
            <w:start w:val="single" w:sz="6" w:space="0" w:color="000000"/>
            <w:bottom w:val="single" w:sz="12" w:space="0" w:color="000000"/>
            <w:end w:val="single" w:sz="12"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Дата:</w:t>
          </w:r>
        </w:p>
      </w:tc>
    </w:tr>
    <w:tr>
      <w:trPr>
        <w:cantSplit/>
      </w:trPr>
      <w:tc>
        <w:tcPr>
          <w:tcW w:w="1384" w:type="dxa"/>
          <w:tcBorders>
            <w:top w:val="single" w:sz="12" w:space="0" w:color="000000"/>
            <w:start w:val="single" w:sz="12" w:space="0" w:color="000000"/>
            <w:bottom w:val="single" w:sz="6" w:space="0" w:color="000000"/>
            <w:end w:val="single" w:sz="6" w:space="0" w:color="000000"/>
          </w:tcBorders>
        </w:tcPr>
        <w:p>
          <w:pPr>
            <w:pStyle w:val="Header"/>
            <w:widowControl/>
            <w:rPr>
              <w:lang w:val="bg-BG"/>
            </w:rPr>
          </w:pPr>
          <w:r>
            <w:rPr>
              <w:lang w:val="bg-BG"/>
            </w:rPr>
            <w:t>Разработил:</w:t>
          </w:r>
        </w:p>
      </w:tc>
      <w:tc>
        <w:tcPr>
          <w:tcW w:w="6132" w:type="dxa"/>
          <w:gridSpan w:val="2"/>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lang w:val="bg-BG"/>
            </w:rPr>
            <w:t xml:space="preserve">Мениджър по управление  </w:t>
          </w:r>
        </w:p>
      </w:tc>
      <w:tc>
        <w:tcPr>
          <w:tcW w:w="1115"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58" w:type="dxa"/>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t>03</w:t>
          </w:r>
          <w:r>
            <w:rPr>
              <w:lang w:val="bg-BG"/>
            </w:rPr>
            <w:t>.</w:t>
          </w:r>
          <w:r>
            <w:rPr/>
            <w:t>07</w:t>
          </w:r>
          <w:r>
            <w:rPr>
              <w:lang w:val="bg-BG"/>
            </w:rPr>
            <w:t>.</w:t>
          </w:r>
          <w:r>
            <w:rPr/>
            <w:t>20</w:t>
          </w:r>
          <w:r>
            <w:rPr>
              <w:lang w:val="bg-BG"/>
            </w:rPr>
            <w:t>21</w:t>
          </w:r>
        </w:p>
      </w:tc>
    </w:tr>
    <w:tr>
      <w:trPr>
        <w:cantSplit/>
      </w:trPr>
      <w:tc>
        <w:tcPr>
          <w:tcW w:w="1384" w:type="dxa"/>
          <w:tcBorders>
            <w:top w:val="single" w:sz="6" w:space="0" w:color="000000"/>
            <w:start w:val="single" w:sz="12" w:space="0" w:color="000000"/>
            <w:bottom w:val="single" w:sz="12" w:space="0" w:color="000000"/>
            <w:end w:val="single" w:sz="6" w:space="0" w:color="000000"/>
          </w:tcBorders>
        </w:tcPr>
        <w:p>
          <w:pPr>
            <w:pStyle w:val="Header"/>
            <w:widowControl/>
            <w:rPr/>
          </w:pPr>
          <w:r>
            <w:rPr>
              <w:lang w:val="en-US"/>
            </w:rPr>
            <w:t>Утвърдил</w:t>
          </w:r>
          <w:r>
            <w:rPr>
              <w:lang w:val="bg-BG"/>
            </w:rPr>
            <w:t>:</w:t>
          </w:r>
        </w:p>
      </w:tc>
      <w:tc>
        <w:tcPr>
          <w:tcW w:w="6132" w:type="dxa"/>
          <w:gridSpan w:val="2"/>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lang w:val="bg-BG"/>
            </w:rPr>
            <w:t>Управител</w:t>
          </w:r>
        </w:p>
      </w:tc>
      <w:tc>
        <w:tcPr>
          <w:tcW w:w="1115"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58" w:type="dxa"/>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t>03</w:t>
          </w:r>
          <w:r>
            <w:rPr>
              <w:lang w:val="bg-BG"/>
            </w:rPr>
            <w:t>.</w:t>
          </w:r>
          <w:r>
            <w:rPr/>
            <w:t>07</w:t>
          </w:r>
          <w:r>
            <w:rPr>
              <w:lang w:val="bg-BG"/>
            </w:rPr>
            <w:t>.</w:t>
          </w:r>
          <w:r>
            <w:rPr/>
            <w:t>20</w:t>
          </w:r>
          <w:r>
            <w:rPr>
              <w:lang w:val="bg-BG"/>
            </w:rPr>
            <w:t>21</w:t>
          </w:r>
        </w:p>
      </w:tc>
    </w:tr>
  </w:tbl>
  <w:p>
    <w:pPr>
      <w:pStyle w:val="Header"/>
      <w:widowContro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360"/>
        </w:tabs>
        <w:ind w:start="0" w:hanging="0"/>
      </w:pPr>
      <w:rPr>
        <w:rFonts w:ascii="Symbol" w:hAnsi="Symbol" w:cs="Symbol" w:hint="default"/>
      </w:rPr>
    </w:lvl>
  </w:abstractNum>
  <w:abstractNum w:abstractNumId="4">
    <w:lvl w:ilvl="0">
      <w:start w:val="1"/>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sz w:val="24"/>
      <w:lang w:val="en-US"/>
    </w:rPr>
  </w:style>
  <w:style w:type="paragraph" w:styleId="Heading3">
    <w:name w:val="heading 3"/>
    <w:basedOn w:val="Normal"/>
    <w:next w:val="Normal"/>
    <w:qFormat/>
    <w:pPr>
      <w:keepNext w:val="true"/>
      <w:widowControl/>
      <w:numPr>
        <w:ilvl w:val="2"/>
        <w:numId w:val="1"/>
      </w:numPr>
      <w:jc w:val="both"/>
      <w:outlineLvl w:val="2"/>
    </w:pPr>
    <w:rPr>
      <w:b/>
      <w:sz w:val="24"/>
      <w:lang w:val="bg-BG"/>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Style11">
    <w:name w:val="Шрифт на абзаца по подразбиране"/>
    <w:qFormat/>
    <w:rPr/>
  </w:style>
  <w:style w:type="character" w:styleId="PageNumber">
    <w:name w:val="page number"/>
    <w:rPr>
      <w:sz w:val="20"/>
    </w:rPr>
  </w:style>
  <w:style w:type="character" w:styleId="Style12">
    <w:name w:val="Препратка към коментар"/>
    <w:qFormat/>
    <w:rPr>
      <w:sz w:val="16"/>
    </w:rPr>
  </w:style>
  <w:style w:type="paragraph" w:styleId="Style13">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
    <w:basedOn w:val="Normal"/>
    <w:qFormat/>
    <w:pPr>
      <w:suppressLineNumbers/>
    </w:pPr>
    <w:rPr>
      <w:rFonts w:cs="Arial"/>
    </w:rPr>
  </w:style>
  <w:style w:type="paragraph" w:styleId="Style15">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6">
    <w:name w:val="Текст на коментар"/>
    <w:basedOn w:val="Normal"/>
    <w:qFormat/>
    <w:pPr/>
    <w:rPr/>
  </w:style>
  <w:style w:type="paragraph" w:styleId="3">
    <w:name w:val="Основен текст 3"/>
    <w:basedOn w:val="Normal"/>
    <w:qFormat/>
    <w:pPr>
      <w:widowControl/>
      <w:jc w:val="both"/>
    </w:pPr>
    <w:rPr>
      <w:sz w:val="24"/>
      <w:lang w:val="bg-BG"/>
    </w:rPr>
  </w:style>
  <w:style w:type="paragraph" w:styleId="2">
    <w:name w:val="Основен текст 2"/>
    <w:basedOn w:val="Normal"/>
    <w:qFormat/>
    <w:pPr>
      <w:jc w:val="both"/>
    </w:pPr>
    <w:rPr>
      <w:color w:val="FF0000"/>
      <w:sz w:val="24"/>
      <w:lang w:val="bg-BG"/>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2004-11-03T11:28:00Z</dcterms:created>
  <dc:creator>МТ</dc:creator>
  <dc:description/>
  <cp:keywords/>
  <dc:language>bg-BG</dc:language>
  <cp:lastModifiedBy>Силвия Мирчева</cp:lastModifiedBy>
  <cp:lastPrinted>2013-04-16T14:03:00Z</cp:lastPrinted>
  <dcterms:modified xsi:type="dcterms:W3CDTF">2022-04-02T15:10:00Z</dcterms:modified>
  <cp:revision>70</cp:revision>
  <dc:subject>Осигуряване на обучен и компетентен персонал</dc:subject>
  <dc:title>ПД 06.02.00</dc:title>
</cp:coreProperties>
</file>