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both"/>
        <w:rPr>
          <w:b/>
          <w:sz w:val="24"/>
          <w:lang w:val="bg-BG"/>
        </w:rPr>
      </w:pPr>
      <w:r>
        <w:rPr>
          <w:b/>
          <w:sz w:val="24"/>
          <w:lang w:val="bg-BG"/>
        </w:rPr>
      </w:r>
    </w:p>
    <w:p>
      <w:pPr>
        <w:pStyle w:val="Normal"/>
        <w:widowControl/>
        <w:numPr>
          <w:ilvl w:val="0"/>
          <w:numId w:val="5"/>
        </w:numPr>
        <w:jc w:val="both"/>
        <w:rPr>
          <w:b/>
          <w:sz w:val="24"/>
          <w:lang w:val="bg-BG"/>
        </w:rPr>
      </w:pPr>
      <w:r>
        <w:rPr>
          <w:b/>
          <w:sz w:val="24"/>
          <w:lang w:val="bg-BG"/>
        </w:rPr>
        <w:t>ЦЕЛ</w:t>
      </w:r>
    </w:p>
    <w:p>
      <w:pPr>
        <w:pStyle w:val="Normal"/>
        <w:widowControl/>
        <w:jc w:val="both"/>
        <w:rPr>
          <w:b/>
          <w:sz w:val="24"/>
          <w:lang w:val="bg-BG"/>
        </w:rPr>
      </w:pPr>
      <w:r>
        <w:rPr>
          <w:b/>
          <w:sz w:val="24"/>
          <w:lang w:val="bg-BG"/>
        </w:rPr>
      </w:r>
    </w:p>
    <w:p>
      <w:pPr>
        <w:pStyle w:val="Normal"/>
        <w:widowControl/>
        <w:jc w:val="both"/>
        <w:rPr/>
      </w:pPr>
      <w:r>
        <w:rPr>
          <w:sz w:val="24"/>
          <w:lang w:val="bg-BG"/>
        </w:rPr>
        <w:t>Тази процедура определя реда за извършване на дейностите по управление на околната среда и здравето и безопасността при работа.</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r>
    </w:p>
    <w:p>
      <w:pPr>
        <w:pStyle w:val="Normal"/>
        <w:widowControl/>
        <w:numPr>
          <w:ilvl w:val="0"/>
          <w:numId w:val="5"/>
        </w:numPr>
        <w:jc w:val="both"/>
        <w:rPr>
          <w:b/>
          <w:sz w:val="24"/>
          <w:lang w:val="bg-BG"/>
        </w:rPr>
      </w:pPr>
      <w:r>
        <w:rPr>
          <w:b/>
          <w:sz w:val="24"/>
          <w:lang w:val="bg-BG"/>
        </w:rPr>
        <w:t>СЪДЪРЖАНИЕ НА ПРОЦЕСА</w:t>
      </w:r>
    </w:p>
    <w:p>
      <w:pPr>
        <w:pStyle w:val="BodyText"/>
        <w:rPr/>
      </w:pPr>
      <w:r>
        <w:rPr/>
        <w:t>За реализирането на процесите, свързани с оперативното управление на околната среда и здравето при работа е необходимо да бъдат извършени следните дейности</w:t>
      </w:r>
    </w:p>
    <w:p>
      <w:pPr>
        <w:pStyle w:val="Normal"/>
        <w:widowControl/>
        <w:jc w:val="both"/>
        <w:rPr>
          <w:b/>
          <w:sz w:val="24"/>
          <w:lang w:val="bg-BG"/>
        </w:rPr>
      </w:pPr>
      <w:r>
        <w:rPr>
          <w:b/>
          <w:sz w:val="24"/>
          <w:lang w:val="bg-BG"/>
        </w:rPr>
      </w:r>
    </w:p>
    <w:p>
      <w:pPr>
        <w:pStyle w:val="Normal"/>
        <w:widowControl/>
        <w:ind w:firstLine="720" w:end="0"/>
        <w:jc w:val="both"/>
        <w:rPr>
          <w:b/>
          <w:sz w:val="24"/>
          <w:lang w:val="bg-BG"/>
        </w:rPr>
      </w:pPr>
      <w:r>
        <w:rPr>
          <w:b/>
          <w:sz w:val="24"/>
          <w:lang w:val="bg-BG"/>
        </w:rPr>
        <w:t>ВХОД</w:t>
        <w:tab/>
        <w:tab/>
        <w:tab/>
        <w:tab/>
        <w:t>ДЕЙНОСТИ</w:t>
        <w:tab/>
        <w:tab/>
        <w:tab/>
        <w:tab/>
        <w:t>ИЗХОД</w:t>
      </w:r>
    </w:p>
    <w:p>
      <w:pPr>
        <w:pStyle w:val="Normal"/>
        <w:widowControl/>
        <w:jc w:val="both"/>
        <w:rPr>
          <w:b/>
          <w:sz w:val="24"/>
          <w:lang w:val="bg-BG" w:eastAsia="bg-BG"/>
        </w:rPr>
      </w:pPr>
      <w:r>
        <w:rPr>
          <w:b/>
          <w:sz w:val="24"/>
          <w:lang w:val="bg-BG" w:eastAsia="bg-BG"/>
        </w:rPr>
        <mc:AlternateContent>
          <mc:Choice Requires="wps">
            <w:drawing>
              <wp:anchor distT="0" distB="0" distL="114935" distR="114935" simplePos="0" relativeHeight="2" behindDoc="0" locked="0" layoutInCell="1" allowOverlap="1">
                <wp:simplePos x="0" y="0"/>
                <wp:positionH relativeFrom="column">
                  <wp:posOffset>12700</wp:posOffset>
                </wp:positionH>
                <wp:positionV relativeFrom="paragraph">
                  <wp:posOffset>30480</wp:posOffset>
                </wp:positionV>
                <wp:extent cx="1689100" cy="1945005"/>
                <wp:effectExtent l="9525" t="10795" r="87630" b="85090"/>
                <wp:wrapNone/>
                <wp:docPr id="1" name=""/>
                <a:graphic xmlns:a="http://schemas.openxmlformats.org/drawingml/2006/main">
                  <a:graphicData uri="http://schemas.microsoft.com/office/word/2010/wordprocessingShape">
                    <wps:wsp>
                      <wps:cNvSpPr/>
                      <wps:spPr>
                        <a:xfrm>
                          <a:off x="0" y="0"/>
                          <a:ext cx="1689120" cy="1945080"/>
                        </a:xfrm>
                        <a:custGeom>
                          <a:avLst/>
                          <a:gdLst>
                            <a:gd name="textAreaLeft" fmla="*/ 0 w 957600"/>
                            <a:gd name="textAreaRight" fmla="*/ 957960 w 957600"/>
                            <a:gd name="textAreaTop" fmla="*/ 0 h 1102680"/>
                            <a:gd name="textAreaBottom" fmla="*/ 1102680 h 1102680"/>
                          </a:gdLst>
                          <a:ahLst/>
                          <a:cxnLst/>
                          <a:rect l="textAreaLeft" t="textAreaTop" r="textAreaRight" b="textAreaBottom"/>
                          <a:pathLst>
                            <a:path w="21600" h="21600">
                              <a:moveTo>
                                <a:pt x="0" y="0"/>
                              </a:moveTo>
                              <a:lnTo>
                                <a:pt x="16200" y="0"/>
                              </a:lnTo>
                              <a:lnTo>
                                <a:pt x="21600" y="10800"/>
                              </a:lnTo>
                              <a:lnTo>
                                <a:pt x="16200" y="21600"/>
                              </a:lnTo>
                              <a:lnTo>
                                <a:pt x="0" y="21600"/>
                              </a:lnTo>
                              <a:close/>
                            </a:path>
                          </a:pathLst>
                        </a:custGeom>
                        <a:solidFill>
                          <a:srgbClr val="FFFFFF"/>
                        </a:solidFill>
                        <a:ln w="19080">
                          <a:solidFill>
                            <a:srgbClr val="000000"/>
                          </a:solidFill>
                          <a:miter/>
                        </a:ln>
                        <a:effectLst>
                          <a:outerShdw dist="107932" dir="2700000" rotWithShape="0">
                            <a:srgbClr val="808080"/>
                          </a:outerShdw>
                        </a:effectLst>
                      </wps:spPr>
                      <wps:style>
                        <a:lnRef idx="0"/>
                        <a:fillRef idx="0"/>
                        <a:effectRef idx="0"/>
                        <a:fontRef idx="minor"/>
                      </wps:style>
                      <wps:txbx>
                        <w:txbxContent>
                          <w:p>
                            <w:pPr>
                              <w:overflowPunct w:val="false"/>
                              <w:bidi w:val="0"/>
                              <w:rPr/>
                            </w:pPr>
                            <w:r>
                              <w:rPr>
                                <w:rFonts w:ascii="Times New Roman" w:hAnsi="Times New Roman" w:eastAsia="Times New Roman" w:cs="Times New Roman"/>
                                <w:color w:val="auto"/>
                                <w:kern w:val="2"/>
                                <w:sz w:val="20"/>
                                <w:szCs w:val="20"/>
                                <w:lang w:val="bg-BG" w:bidi="ar-SA"/>
                              </w:rPr>
                              <w:t xml:space="preserve">Политика и цели </w:t>
                            </w:r>
                          </w:p>
                          <w:p>
                            <w:pPr>
                              <w:overflowPunct w:val="false"/>
                              <w:bidi w:val="0"/>
                              <w:rPr/>
                            </w:pPr>
                            <w:r>
                              <w:rPr>
                                <w:rFonts w:ascii="Times New Roman" w:hAnsi="Times New Roman" w:eastAsia="Times New Roman" w:cs="Times New Roman"/>
                                <w:color w:val="auto"/>
                                <w:kern w:val="2"/>
                                <w:sz w:val="20"/>
                                <w:szCs w:val="20"/>
                                <w:lang w:val="bg-BG" w:bidi="ar-SA"/>
                              </w:rPr>
                              <w:t>по ОС и ЗБУТ</w:t>
                            </w:r>
                          </w:p>
                          <w:p>
                            <w:pPr>
                              <w:overflowPunct w:val="false"/>
                              <w:bidi w:val="0"/>
                              <w:rPr/>
                            </w:pPr>
                            <w:r>
                              <w:rPr>
                                <w:rFonts w:ascii="Times New Roman" w:hAnsi="Times New Roman" w:eastAsia="Times New Roman" w:cs="Times New Roman"/>
                                <w:color w:val="auto"/>
                                <w:kern w:val="2"/>
                                <w:sz w:val="20"/>
                                <w:szCs w:val="20"/>
                                <w:lang w:val="bg-BG" w:bidi="ar-SA"/>
                              </w:rPr>
                              <w:t>Информация от идентификация на аспектите на ОС и рисковете за ЗЗБУТ;</w:t>
                            </w:r>
                          </w:p>
                          <w:p>
                            <w:pPr>
                              <w:overflowPunct w:val="false"/>
                              <w:bidi w:val="0"/>
                              <w:rPr/>
                            </w:pPr>
                            <w:r>
                              <w:rPr>
                                <w:rFonts w:ascii="Times New Roman" w:hAnsi="Times New Roman" w:eastAsia="Times New Roman" w:cs="Times New Roman"/>
                                <w:color w:val="auto"/>
                                <w:kern w:val="2"/>
                                <w:sz w:val="20"/>
                                <w:szCs w:val="20"/>
                                <w:lang w:val="bg-BG" w:bidi="ar-SA"/>
                              </w:rPr>
                              <w:t>Информация за  инциденти и несъответствия, свързани с ОС и ЗБУТ;</w:t>
                            </w:r>
                          </w:p>
                        </w:txbxContent>
                      </wps:txbx>
                      <wps:bodyPr anchor="t">
                        <a:noAutofit/>
                      </wps:bodyPr>
                    </wps:wsp>
                  </a:graphicData>
                </a:graphic>
              </wp:anchor>
            </w:drawing>
          </mc:Choice>
          <mc:Fallback>
            <w:pi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fillcolor="white" stroked="t" o:allowincell="f" style="position:absolute;margin-left:1pt;margin-top:2.4pt;width:132.95pt;height:153.1pt;mso-wrap-style:square;v-text-anchor:top" type="_x0000_t15">
                <v:textbox>
                  <w:txbxContent>
                    <w:p>
                      <w:pPr>
                        <w:overflowPunct w:val="false"/>
                        <w:bidi w:val="0"/>
                        <w:rPr/>
                      </w:pPr>
                      <w:r>
                        <w:rPr>
                          <w:rFonts w:ascii="Times New Roman" w:hAnsi="Times New Roman" w:eastAsia="Times New Roman" w:cs="Times New Roman"/>
                          <w:color w:val="auto"/>
                          <w:kern w:val="2"/>
                          <w:sz w:val="20"/>
                          <w:szCs w:val="20"/>
                          <w:lang w:val="bg-BG" w:bidi="ar-SA"/>
                        </w:rPr>
                        <w:t xml:space="preserve">Политика и цели </w:t>
                      </w:r>
                    </w:p>
                    <w:p>
                      <w:pPr>
                        <w:overflowPunct w:val="false"/>
                        <w:bidi w:val="0"/>
                        <w:rPr/>
                      </w:pPr>
                      <w:r>
                        <w:rPr>
                          <w:rFonts w:ascii="Times New Roman" w:hAnsi="Times New Roman" w:eastAsia="Times New Roman" w:cs="Times New Roman"/>
                          <w:color w:val="auto"/>
                          <w:kern w:val="2"/>
                          <w:sz w:val="20"/>
                          <w:szCs w:val="20"/>
                          <w:lang w:val="bg-BG" w:bidi="ar-SA"/>
                        </w:rPr>
                        <w:t>по ОС и ЗБУТ</w:t>
                      </w:r>
                    </w:p>
                    <w:p>
                      <w:pPr>
                        <w:overflowPunct w:val="false"/>
                        <w:bidi w:val="0"/>
                        <w:rPr/>
                      </w:pPr>
                      <w:r>
                        <w:rPr>
                          <w:rFonts w:ascii="Times New Roman" w:hAnsi="Times New Roman" w:eastAsia="Times New Roman" w:cs="Times New Roman"/>
                          <w:color w:val="auto"/>
                          <w:kern w:val="2"/>
                          <w:sz w:val="20"/>
                          <w:szCs w:val="20"/>
                          <w:lang w:val="bg-BG" w:bidi="ar-SA"/>
                        </w:rPr>
                        <w:t>Информация от идентификация на аспектите на ОС и рисковете за ЗЗБУТ;</w:t>
                      </w:r>
                    </w:p>
                    <w:p>
                      <w:pPr>
                        <w:overflowPunct w:val="false"/>
                        <w:bidi w:val="0"/>
                        <w:rPr/>
                      </w:pPr>
                      <w:r>
                        <w:rPr>
                          <w:rFonts w:ascii="Times New Roman" w:hAnsi="Times New Roman" w:eastAsia="Times New Roman" w:cs="Times New Roman"/>
                          <w:color w:val="auto"/>
                          <w:kern w:val="2"/>
                          <w:sz w:val="20"/>
                          <w:szCs w:val="20"/>
                          <w:lang w:val="bg-BG" w:bidi="ar-SA"/>
                        </w:rPr>
                        <w:t>Информация за  инциденти и несъответствия, свързани с ОС и ЗБУТ;</w:t>
                      </w:r>
                    </w:p>
                  </w:txbxContent>
                </v:textbox>
                <v:fill o:detectmouseclick="t" type="solid" color2="black"/>
                <v:stroke color="black" weight="19080" joinstyle="miter" endcap="flat"/>
                <v:shadow on="t" obscured="f" color="gray"/>
                <w10:wrap type="none"/>
              </v:shape>
            </w:pict>
          </mc:Fallback>
        </mc:AlternateContent>
        <mc:AlternateContent>
          <mc:Choice Requires="wps">
            <w:drawing>
              <wp:anchor distT="0" distB="0" distL="114935" distR="114935" simplePos="0" relativeHeight="4" behindDoc="0" locked="0" layoutInCell="1" allowOverlap="1">
                <wp:simplePos x="0" y="0"/>
                <wp:positionH relativeFrom="column">
                  <wp:posOffset>4435475</wp:posOffset>
                </wp:positionH>
                <wp:positionV relativeFrom="paragraph">
                  <wp:posOffset>9525</wp:posOffset>
                </wp:positionV>
                <wp:extent cx="1727200" cy="1602105"/>
                <wp:effectExtent l="9525" t="10160" r="88265" b="85725"/>
                <wp:wrapNone/>
                <wp:docPr id="2" name=""/>
                <a:graphic xmlns:a="http://schemas.openxmlformats.org/drawingml/2006/main">
                  <a:graphicData uri="http://schemas.microsoft.com/office/word/2010/wordprocessingShape">
                    <wps:wsp>
                      <wps:cNvSpPr/>
                      <wps:spPr>
                        <a:xfrm>
                          <a:off x="0" y="0"/>
                          <a:ext cx="1727280" cy="1602000"/>
                        </a:xfrm>
                        <a:custGeom>
                          <a:avLst/>
                          <a:gdLst>
                            <a:gd name="textAreaLeft" fmla="*/ 0 w 979200"/>
                            <a:gd name="textAreaRight" fmla="*/ 979560 w 979200"/>
                            <a:gd name="textAreaTop" fmla="*/ 0 h 908280"/>
                            <a:gd name="textAreaBottom" fmla="*/ 908640 h 908280"/>
                          </a:gdLst>
                          <a:ahLst/>
                          <a:cxnLst/>
                          <a:rect l="textAreaLeft" t="textAreaTop" r="textAreaRight" b="textAreaBottom"/>
                          <a:pathLst>
                            <a:path w="21600" h="21600">
                              <a:moveTo>
                                <a:pt x="0" y="0"/>
                              </a:moveTo>
                              <a:lnTo>
                                <a:pt x="16200" y="0"/>
                              </a:lnTo>
                              <a:lnTo>
                                <a:pt x="21600" y="10800"/>
                              </a:lnTo>
                              <a:lnTo>
                                <a:pt x="16200" y="21600"/>
                              </a:lnTo>
                              <a:lnTo>
                                <a:pt x="0" y="21600"/>
                              </a:lnTo>
                              <a:close/>
                            </a:path>
                          </a:pathLst>
                        </a:custGeom>
                        <a:solidFill>
                          <a:srgbClr val="FFFFFF"/>
                        </a:solidFill>
                        <a:ln w="19080">
                          <a:solidFill>
                            <a:srgbClr val="000000"/>
                          </a:solidFill>
                          <a:miter/>
                        </a:ln>
                        <a:effectLst>
                          <a:outerShdw dist="107932" dir="2700000" rotWithShape="0">
                            <a:srgbClr val="808080"/>
                          </a:outerShdw>
                        </a:effectLst>
                      </wps:spPr>
                      <wps:style>
                        <a:lnRef idx="0"/>
                        <a:fillRef idx="0"/>
                        <a:effectRef idx="0"/>
                        <a:fontRef idx="minor"/>
                      </wps:style>
                      <wps:txbx>
                        <w:txbxContent>
                          <w:p>
                            <w:pPr>
                              <w:overflowPunct w:val="false"/>
                              <w:bidi w:val="0"/>
                              <w:rPr/>
                            </w:pPr>
                            <w:r>
                              <w:rPr>
                                <w:rFonts w:eastAsia="NSimSun" w:ascii="Liberation Serif" w:hAnsi="Liberation Serif" w:cs="Arial"/>
                                <w:kern w:val="2"/>
                                <w:sz w:val="24"/>
                                <w:szCs w:val="24"/>
                                <w:lang w:val="bg-BG" w:bidi="hi-IN"/>
                              </w:rPr>
                            </w:r>
                          </w:p>
                          <w:p>
                            <w:pPr>
                              <w:overflowPunct w:val="false"/>
                              <w:bidi w:val="0"/>
                              <w:rPr/>
                            </w:pPr>
                            <w:r>
                              <w:rPr>
                                <w:rFonts w:ascii="Times New Roman" w:hAnsi="Times New Roman" w:eastAsia="Times New Roman" w:cs="Times New Roman"/>
                                <w:color w:val="auto"/>
                                <w:kern w:val="2"/>
                                <w:sz w:val="20"/>
                                <w:szCs w:val="20"/>
                                <w:lang w:val="bg-BG" w:bidi="ar-SA"/>
                              </w:rPr>
                              <w:t>Планирана и организирана дейност по оперативно управление на дейностите</w:t>
                            </w:r>
                          </w:p>
                        </w:txbxContent>
                      </wps:txbx>
                      <wps:bodyPr anchor="t">
                        <a:noAutofit/>
                      </wps:bodyPr>
                    </wps:wsp>
                  </a:graphicData>
                </a:graphic>
              </wp:anchor>
            </w:drawing>
          </mc:Choice>
          <mc:Fallback>
            <w:pict>
              <v:shape id="shape_0" fillcolor="white" stroked="t" o:allowincell="f" style="position:absolute;margin-left:349.25pt;margin-top:0.75pt;width:135.95pt;height:126.1pt;mso-wrap-style:square;v-text-anchor:top" type="_x0000_t15">
                <v:textbox>
                  <w:txbxContent>
                    <w:p>
                      <w:pPr>
                        <w:overflowPunct w:val="false"/>
                        <w:bidi w:val="0"/>
                        <w:rPr/>
                      </w:pPr>
                      <w:r>
                        <w:rPr>
                          <w:rFonts w:eastAsia="NSimSun" w:ascii="Liberation Serif" w:hAnsi="Liberation Serif" w:cs="Arial"/>
                          <w:kern w:val="2"/>
                          <w:sz w:val="24"/>
                          <w:szCs w:val="24"/>
                          <w:lang w:val="bg-BG" w:bidi="hi-IN"/>
                        </w:rPr>
                      </w:r>
                    </w:p>
                    <w:p>
                      <w:pPr>
                        <w:overflowPunct w:val="false"/>
                        <w:bidi w:val="0"/>
                        <w:rPr/>
                      </w:pPr>
                      <w:r>
                        <w:rPr>
                          <w:rFonts w:ascii="Times New Roman" w:hAnsi="Times New Roman" w:eastAsia="Times New Roman" w:cs="Times New Roman"/>
                          <w:color w:val="auto"/>
                          <w:kern w:val="2"/>
                          <w:sz w:val="20"/>
                          <w:szCs w:val="20"/>
                          <w:lang w:val="bg-BG" w:bidi="ar-SA"/>
                        </w:rPr>
                        <w:t>Планирана и организирана дейност по оперативно управление на дейностите</w:t>
                      </w:r>
                    </w:p>
                  </w:txbxContent>
                </v:textbox>
                <v:fill o:detectmouseclick="t" type="solid" color2="black"/>
                <v:stroke color="black" weight="19080" joinstyle="miter" endcap="flat"/>
                <v:shadow on="t" obscured="f" color="gray"/>
                <w10:wrap type="none"/>
              </v:shape>
            </w:pict>
          </mc:Fallback>
        </mc:AlternateContent>
      </w:r>
      <w:r>
        <mc:AlternateContent>
          <mc:Choice Requires="wps">
            <w:drawing>
              <wp:anchor distT="0" distB="0" distL="114935" distR="114935" simplePos="0" relativeHeight="3" behindDoc="0" locked="0" layoutInCell="1" allowOverlap="1">
                <wp:simplePos x="0" y="0"/>
                <wp:positionH relativeFrom="column">
                  <wp:posOffset>1835150</wp:posOffset>
                </wp:positionH>
                <wp:positionV relativeFrom="paragraph">
                  <wp:posOffset>12700</wp:posOffset>
                </wp:positionV>
                <wp:extent cx="2317750" cy="1532255"/>
                <wp:effectExtent l="0" t="0" r="76200" b="76200"/>
                <wp:wrapNone/>
                <wp:docPr id="3" name="Рамка1"/>
                <a:graphic xmlns:a="http://schemas.openxmlformats.org/drawingml/2006/main">
                  <a:graphicData uri="http://schemas.microsoft.com/office/word/2010/wordprocessingShape">
                    <wps:wsp>
                      <wps:cNvSpPr txBox="1"/>
                      <wps:spPr>
                        <a:xfrm>
                          <a:off x="0" y="0"/>
                          <a:ext cx="2393950" cy="1608455"/>
                        </a:xfrm>
                        <a:prstGeom prst="rect"/>
                        <a:solidFill>
                          <a:srgbClr val="FFFFFF"/>
                        </a:solidFill>
                        <a:ln w="19050">
                          <a:solidFill>
                            <a:srgbClr val="000000"/>
                          </a:solidFill>
                        </a:ln>
                        <a:effectLst>
                          <a:outerShdw dist="107315" dir="2700000">
                            <a:srgbClr val="808080"/>
                          </a:outerShdw>
                        </a:effectLst>
                      </wps:spPr>
                      <wps:txbx>
                        <w:txbxContent>
                          <w:p>
                            <w:pPr>
                              <w:pStyle w:val="Normal"/>
                              <w:ind w:start="113" w:end="0"/>
                              <w:rPr/>
                            </w:pPr>
                            <w:r>
                              <w:rPr/>
                            </w:r>
                          </w:p>
                          <w:p>
                            <w:pPr>
                              <w:pStyle w:val="Normal"/>
                              <w:numPr>
                                <w:ilvl w:val="0"/>
                                <w:numId w:val="13"/>
                              </w:numPr>
                              <w:ind w:hanging="227" w:start="340" w:end="0"/>
                              <w:rPr/>
                            </w:pPr>
                            <w:r>
                              <w:rPr>
                                <w:lang w:val="bg-BG"/>
                              </w:rPr>
                              <w:t>Изготвяне на план за управление</w:t>
                            </w:r>
                          </w:p>
                          <w:p>
                            <w:pPr>
                              <w:pStyle w:val="Normal"/>
                              <w:numPr>
                                <w:ilvl w:val="0"/>
                                <w:numId w:val="13"/>
                              </w:numPr>
                              <w:ind w:hanging="227" w:start="340" w:end="0"/>
                              <w:rPr/>
                            </w:pPr>
                            <w:r>
                              <w:rPr>
                                <w:lang w:val="bg-BG"/>
                              </w:rPr>
                              <w:t>Определяне на мерки за  предварителен и последващ контрол</w:t>
                            </w:r>
                          </w:p>
                          <w:p>
                            <w:pPr>
                              <w:pStyle w:val="Normal"/>
                              <w:numPr>
                                <w:ilvl w:val="0"/>
                                <w:numId w:val="13"/>
                              </w:numPr>
                              <w:ind w:hanging="227" w:start="340" w:end="0"/>
                              <w:rPr/>
                            </w:pPr>
                            <w:r>
                              <w:rPr>
                                <w:lang w:val="bg-BG"/>
                              </w:rPr>
                              <w:t>Определяне на методи, ред и организация за управление на отпадъците</w:t>
                            </w:r>
                          </w:p>
                        </w:txbxContent>
                      </wps:txbx>
                      <wps:bodyPr anchor="t" lIns="17780" tIns="10795" rIns="17780" bIns="10795">
                        <a:noAutofit/>
                      </wps:bodyPr>
                    </wps:wsp>
                  </a:graphicData>
                </a:graphic>
              </wp:anchor>
            </w:drawing>
          </mc:Choice>
          <mc:Fallback>
            <w:pict>
              <v:rect fillcolor="#FFFFFF" strokecolor="#000000" strokeweight="1pt" style="position:absolute;rotation:-0;width:188.5pt;height:126.65pt;mso-wrap-distance-left:9.05pt;mso-wrap-distance-right:9.05pt;mso-wrap-distance-top:0pt;mso-wrap-distance-bottom:0pt;margin-top:1pt;mso-position-vertical-relative:text;margin-left:144.5pt;mso-position-horizontal-relative:text">
                <v:shadow on="t" color="#808080" offset="6pt,6pt"/>
                <v:textbox inset="0.0194444444444444in,0.0118055555555556in,0.0194444444444444in,0.0118055555555556in">
                  <w:txbxContent>
                    <w:p>
                      <w:pPr>
                        <w:pStyle w:val="Normal"/>
                        <w:ind w:start="113" w:end="0"/>
                        <w:rPr/>
                      </w:pPr>
                      <w:r>
                        <w:rPr/>
                      </w:r>
                    </w:p>
                    <w:p>
                      <w:pPr>
                        <w:pStyle w:val="Normal"/>
                        <w:numPr>
                          <w:ilvl w:val="0"/>
                          <w:numId w:val="13"/>
                        </w:numPr>
                        <w:ind w:hanging="227" w:start="340" w:end="0"/>
                        <w:rPr/>
                      </w:pPr>
                      <w:r>
                        <w:rPr>
                          <w:lang w:val="bg-BG"/>
                        </w:rPr>
                        <w:t>Изготвяне на план за управление</w:t>
                      </w:r>
                    </w:p>
                    <w:p>
                      <w:pPr>
                        <w:pStyle w:val="Normal"/>
                        <w:numPr>
                          <w:ilvl w:val="0"/>
                          <w:numId w:val="13"/>
                        </w:numPr>
                        <w:ind w:hanging="227" w:start="340" w:end="0"/>
                        <w:rPr/>
                      </w:pPr>
                      <w:r>
                        <w:rPr>
                          <w:lang w:val="bg-BG"/>
                        </w:rPr>
                        <w:t>Определяне на мерки за  предварителен и последващ контрол</w:t>
                      </w:r>
                    </w:p>
                    <w:p>
                      <w:pPr>
                        <w:pStyle w:val="Normal"/>
                        <w:numPr>
                          <w:ilvl w:val="0"/>
                          <w:numId w:val="13"/>
                        </w:numPr>
                        <w:ind w:hanging="227" w:start="340" w:end="0"/>
                        <w:rPr/>
                      </w:pPr>
                      <w:r>
                        <w:rPr>
                          <w:lang w:val="bg-BG"/>
                        </w:rPr>
                        <w:t>Определяне на методи, ред и организация за управление на отпадъците</w:t>
                      </w:r>
                    </w:p>
                  </w:txbxContent>
                </v:textbox>
                <w10:wrap type="none"/>
              </v:rect>
            </w:pict>
          </mc:Fallback>
        </mc:AlternateContent>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numPr>
          <w:ilvl w:val="0"/>
          <w:numId w:val="5"/>
        </w:numPr>
        <w:jc w:val="both"/>
        <w:rPr>
          <w:b/>
          <w:sz w:val="24"/>
          <w:lang w:val="bg-BG"/>
        </w:rPr>
      </w:pPr>
      <w:r>
        <w:rPr>
          <w:b/>
          <w:sz w:val="24"/>
          <w:lang w:val="bg-BG"/>
        </w:rPr>
        <w:t xml:space="preserve">ОТГОВОРНОСТИ ЗА ИЗВЪРШВАНЕ НА ПРОЦЕСА  </w:t>
      </w:r>
    </w:p>
    <w:p>
      <w:pPr>
        <w:pStyle w:val="Normal"/>
        <w:widowControl/>
        <w:numPr>
          <w:ilvl w:val="0"/>
          <w:numId w:val="6"/>
        </w:numPr>
        <w:jc w:val="both"/>
        <w:rPr>
          <w:sz w:val="24"/>
          <w:lang w:val="bg-BG"/>
        </w:rPr>
      </w:pPr>
      <w:r>
        <w:rPr>
          <w:sz w:val="24"/>
          <w:lang w:val="bg-BG"/>
        </w:rPr>
        <w:t xml:space="preserve">Управител: </w:t>
      </w:r>
    </w:p>
    <w:p>
      <w:pPr>
        <w:pStyle w:val="Normal"/>
        <w:widowControl/>
        <w:numPr>
          <w:ilvl w:val="0"/>
          <w:numId w:val="6"/>
        </w:numPr>
        <w:jc w:val="both"/>
        <w:rPr>
          <w:sz w:val="24"/>
          <w:lang w:val="bg-BG"/>
        </w:rPr>
      </w:pPr>
      <w:r>
        <w:rPr>
          <w:sz w:val="24"/>
          <w:lang w:val="bg-BG"/>
        </w:rPr>
        <w:t>Отговаря за всички дейности по процеса на оперативно управление на ОС и ЗБУТ;</w:t>
      </w:r>
    </w:p>
    <w:p>
      <w:pPr>
        <w:pStyle w:val="Normal"/>
        <w:widowControl/>
        <w:numPr>
          <w:ilvl w:val="0"/>
          <w:numId w:val="6"/>
        </w:numPr>
        <w:jc w:val="both"/>
        <w:rPr>
          <w:sz w:val="24"/>
          <w:lang w:val="bg-BG"/>
        </w:rPr>
      </w:pPr>
      <w:r>
        <w:rPr>
          <w:sz w:val="24"/>
          <w:lang w:val="bg-BG"/>
        </w:rPr>
        <w:t>Утвърждава оперативни планове;</w:t>
      </w:r>
    </w:p>
    <w:p>
      <w:pPr>
        <w:pStyle w:val="Normal"/>
        <w:widowControl/>
        <w:numPr>
          <w:ilvl w:val="0"/>
          <w:numId w:val="6"/>
        </w:numPr>
        <w:jc w:val="both"/>
        <w:rPr>
          <w:sz w:val="24"/>
          <w:lang w:val="bg-BG"/>
        </w:rPr>
      </w:pPr>
      <w:r>
        <w:rPr>
          <w:sz w:val="24"/>
          <w:lang w:val="bg-BG"/>
        </w:rPr>
        <w:t>Осигурява необходимите ресурси за протичане на процеса;</w:t>
      </w:r>
    </w:p>
    <w:p>
      <w:pPr>
        <w:pStyle w:val="Normal"/>
        <w:widowControl/>
        <w:numPr>
          <w:ilvl w:val="0"/>
          <w:numId w:val="6"/>
        </w:numPr>
        <w:jc w:val="both"/>
        <w:rPr>
          <w:sz w:val="24"/>
          <w:lang w:val="bg-BG"/>
        </w:rPr>
      </w:pPr>
      <w:r>
        <w:rPr>
          <w:sz w:val="24"/>
          <w:lang w:val="bg-BG"/>
        </w:rPr>
        <w:t>Извършва преглед на резултатите от процеса.</w:t>
      </w:r>
    </w:p>
    <w:p>
      <w:pPr>
        <w:pStyle w:val="Normal"/>
        <w:widowControl/>
        <w:jc w:val="both"/>
        <w:rPr>
          <w:sz w:val="24"/>
          <w:lang w:val="bg-BG"/>
        </w:rPr>
      </w:pPr>
      <w:r>
        <w:rPr>
          <w:sz w:val="24"/>
          <w:lang w:val="bg-BG"/>
        </w:rPr>
      </w:r>
    </w:p>
    <w:p>
      <w:pPr>
        <w:pStyle w:val="Normal"/>
        <w:widowControl/>
        <w:jc w:val="both"/>
        <w:rPr/>
      </w:pPr>
      <w:r>
        <w:rPr>
          <w:sz w:val="24"/>
          <w:lang w:val="bg-BG"/>
        </w:rPr>
        <w:t>Мениджър по управление:</w:t>
      </w:r>
    </w:p>
    <w:p>
      <w:pPr>
        <w:pStyle w:val="Normal"/>
        <w:widowControl/>
        <w:numPr>
          <w:ilvl w:val="0"/>
          <w:numId w:val="3"/>
        </w:numPr>
        <w:jc w:val="both"/>
        <w:rPr>
          <w:sz w:val="24"/>
          <w:lang w:val="bg-BG"/>
        </w:rPr>
      </w:pPr>
      <w:r>
        <w:rPr>
          <w:sz w:val="24"/>
          <w:lang w:val="bg-BG"/>
        </w:rPr>
        <w:t>Изготвя оперативни планове;</w:t>
      </w:r>
    </w:p>
    <w:p>
      <w:pPr>
        <w:pStyle w:val="Normal"/>
        <w:widowControl/>
        <w:numPr>
          <w:ilvl w:val="0"/>
          <w:numId w:val="3"/>
        </w:numPr>
        <w:jc w:val="both"/>
        <w:rPr>
          <w:sz w:val="24"/>
          <w:lang w:val="bg-BG"/>
        </w:rPr>
      </w:pPr>
      <w:r>
        <w:rPr>
          <w:sz w:val="24"/>
          <w:lang w:val="bg-BG"/>
        </w:rPr>
        <w:t>Организира и ръководи дейностите по протичане на процеса;</w:t>
      </w:r>
    </w:p>
    <w:p>
      <w:pPr>
        <w:pStyle w:val="Normal"/>
        <w:widowControl/>
        <w:numPr>
          <w:ilvl w:val="0"/>
          <w:numId w:val="3"/>
        </w:numPr>
        <w:jc w:val="both"/>
        <w:rPr>
          <w:sz w:val="24"/>
          <w:lang w:val="bg-BG"/>
        </w:rPr>
      </w:pPr>
      <w:r>
        <w:rPr>
          <w:sz w:val="24"/>
          <w:lang w:val="bg-BG"/>
        </w:rPr>
        <w:t>Извършва необходимите проверки на процеса;</w:t>
      </w:r>
    </w:p>
    <w:p>
      <w:pPr>
        <w:pStyle w:val="Normal"/>
        <w:widowControl/>
        <w:numPr>
          <w:ilvl w:val="0"/>
          <w:numId w:val="3"/>
        </w:numPr>
        <w:jc w:val="both"/>
        <w:rPr>
          <w:sz w:val="24"/>
          <w:lang w:val="bg-BG"/>
        </w:rPr>
      </w:pPr>
      <w:r>
        <w:rPr>
          <w:sz w:val="24"/>
          <w:lang w:val="bg-BG"/>
        </w:rPr>
        <w:t>Изготвя крайния доклад за резултатите от процеса;</w:t>
      </w:r>
    </w:p>
    <w:p>
      <w:pPr>
        <w:pStyle w:val="Normal"/>
        <w:widowControl/>
        <w:jc w:val="both"/>
        <w:rPr>
          <w:sz w:val="24"/>
          <w:lang w:val="bg-BG"/>
        </w:rPr>
      </w:pPr>
      <w:r>
        <w:rPr>
          <w:sz w:val="24"/>
          <w:lang w:val="bg-BG"/>
        </w:rPr>
      </w:r>
    </w:p>
    <w:p>
      <w:pPr>
        <w:pStyle w:val="Normal"/>
        <w:widowControl/>
        <w:jc w:val="both"/>
        <w:rPr/>
      </w:pPr>
      <w:r>
        <w:rPr>
          <w:sz w:val="24"/>
          <w:lang w:val="bg-BG"/>
        </w:rPr>
        <w:t>Ръководители на обекти, структурни звена и изпълнителски персонал:</w:t>
      </w:r>
    </w:p>
    <w:p>
      <w:pPr>
        <w:pStyle w:val="Normal"/>
        <w:widowControl/>
        <w:numPr>
          <w:ilvl w:val="0"/>
          <w:numId w:val="8"/>
        </w:numPr>
        <w:jc w:val="both"/>
        <w:rPr>
          <w:sz w:val="24"/>
          <w:lang w:val="bg-BG"/>
        </w:rPr>
      </w:pPr>
      <w:r>
        <w:rPr>
          <w:sz w:val="24"/>
          <w:lang w:val="bg-BG"/>
        </w:rPr>
        <w:t xml:space="preserve">Спазват изискванията по опазване на околната среда;   </w:t>
      </w:r>
    </w:p>
    <w:p>
      <w:pPr>
        <w:pStyle w:val="Normal"/>
        <w:widowControl/>
        <w:numPr>
          <w:ilvl w:val="0"/>
          <w:numId w:val="8"/>
        </w:numPr>
        <w:jc w:val="both"/>
        <w:rPr>
          <w:sz w:val="24"/>
          <w:lang w:val="bg-BG"/>
        </w:rPr>
      </w:pPr>
      <w:r>
        <w:rPr>
          <w:sz w:val="24"/>
          <w:lang w:val="bg-BG"/>
        </w:rPr>
        <w:t>Съдействат на мениджъра по управление при провеждане на дейностите по процеса;</w:t>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numPr>
          <w:ilvl w:val="0"/>
          <w:numId w:val="5"/>
        </w:numPr>
        <w:jc w:val="both"/>
        <w:rPr>
          <w:b/>
          <w:sz w:val="24"/>
          <w:lang w:val="bg-BG"/>
        </w:rPr>
      </w:pPr>
      <w:r>
        <w:rPr>
          <w:b/>
          <w:sz w:val="24"/>
          <w:lang w:val="bg-BG"/>
        </w:rPr>
        <w:t xml:space="preserve">ПОТРЕБИТЕЛ НА ПРОЦЕСА </w:t>
      </w:r>
    </w:p>
    <w:p>
      <w:pPr>
        <w:pStyle w:val="BodyText"/>
        <w:rPr/>
      </w:pPr>
      <w:r>
        <w:rPr/>
        <w:t>Потребители на процес “Оперативно управление” са процеси:</w:t>
      </w:r>
    </w:p>
    <w:p>
      <w:pPr>
        <w:pStyle w:val="Normal"/>
        <w:widowControl/>
        <w:numPr>
          <w:ilvl w:val="0"/>
          <w:numId w:val="9"/>
        </w:numPr>
        <w:jc w:val="both"/>
        <w:rPr>
          <w:sz w:val="24"/>
          <w:lang w:val="bg-BG"/>
        </w:rPr>
      </w:pPr>
      <w:r>
        <w:rPr>
          <w:sz w:val="24"/>
          <w:lang w:val="bg-BG"/>
        </w:rPr>
        <w:t>Преглед от ръководството</w:t>
      </w:r>
    </w:p>
    <w:p>
      <w:pPr>
        <w:pStyle w:val="Normal"/>
        <w:widowControl/>
        <w:numPr>
          <w:ilvl w:val="0"/>
          <w:numId w:val="9"/>
        </w:numPr>
        <w:jc w:val="both"/>
        <w:rPr>
          <w:sz w:val="24"/>
          <w:lang w:val="bg-BG"/>
        </w:rPr>
      </w:pPr>
      <w:r>
        <w:rPr>
          <w:sz w:val="24"/>
          <w:lang w:val="bg-BG"/>
        </w:rPr>
        <w:t>Непрекъснато подобряване на системата за управление</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r>
    </w:p>
    <w:p>
      <w:pPr>
        <w:pStyle w:val="Normal"/>
        <w:widowControl/>
        <w:numPr>
          <w:ilvl w:val="0"/>
          <w:numId w:val="5"/>
        </w:numPr>
        <w:jc w:val="both"/>
        <w:rPr>
          <w:b/>
          <w:sz w:val="24"/>
          <w:lang w:val="bg-BG"/>
        </w:rPr>
      </w:pPr>
      <w:r>
        <w:rPr>
          <w:b/>
          <w:sz w:val="24"/>
          <w:lang w:val="bg-BG"/>
        </w:rPr>
        <w:t>КРИТЕРИИ ЗА ОЦЕНЯВАНЕ НА ПРОЦЕСА</w:t>
        <w:tab/>
      </w:r>
    </w:p>
    <w:p>
      <w:pPr>
        <w:pStyle w:val="BodyText"/>
        <w:rPr>
          <w:b/>
          <w:sz w:val="24"/>
          <w:lang w:val="bg-BG"/>
        </w:rPr>
      </w:pPr>
      <w:r>
        <w:rPr>
          <w:b/>
          <w:sz w:val="24"/>
          <w:lang w:val="bg-BG"/>
        </w:rPr>
      </w:r>
    </w:p>
    <w:p>
      <w:pPr>
        <w:pStyle w:val="BodyText"/>
        <w:rPr/>
      </w:pPr>
      <w:r>
        <w:rPr/>
        <w:t>Основен критерий за ефективност на процеса по оперативно управление е нормалната и безаварийна работа и намаляването на риска от инциденти, свързани с негативни въздействия върху околната среда, както и намаляване на риска от инциденти за здравето и безопасността на хората.</w:t>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numPr>
          <w:ilvl w:val="0"/>
          <w:numId w:val="5"/>
        </w:numPr>
        <w:jc w:val="both"/>
        <w:rPr>
          <w:b/>
          <w:sz w:val="24"/>
          <w:lang w:val="bg-BG"/>
        </w:rPr>
      </w:pPr>
      <w:r>
        <w:rPr>
          <w:b/>
          <w:sz w:val="24"/>
          <w:lang w:val="bg-BG"/>
        </w:rPr>
        <w:t>ТЕРМИНИ И ОПРЕДЕЛЕНИЯ</w:t>
      </w:r>
    </w:p>
    <w:p>
      <w:pPr>
        <w:pStyle w:val="Normal"/>
        <w:widowControl/>
        <w:numPr>
          <w:ilvl w:val="0"/>
          <w:numId w:val="2"/>
        </w:numPr>
        <w:tabs>
          <w:tab w:val="clear" w:pos="720"/>
          <w:tab w:val="left" w:pos="284" w:leader="none"/>
        </w:tabs>
        <w:ind w:hanging="284" w:start="284" w:end="0"/>
        <w:jc w:val="both"/>
        <w:rPr>
          <w:sz w:val="24"/>
          <w:lang w:val="bg-BG"/>
        </w:rPr>
      </w:pPr>
      <w:r>
        <w:rPr>
          <w:b/>
          <w:bCs/>
          <w:sz w:val="24"/>
          <w:lang w:val="bg-BG"/>
        </w:rPr>
        <w:t>Несъответствие</w:t>
      </w:r>
      <w:r>
        <w:rPr>
          <w:sz w:val="24"/>
          <w:lang w:val="bg-BG"/>
        </w:rPr>
        <w:t xml:space="preserve"> – инциденти и несъответствия от изискванията на СУОС, които са довели или могат да доведат до отрицателни въздействия върху околната среда;</w:t>
      </w:r>
    </w:p>
    <w:p>
      <w:pPr>
        <w:pStyle w:val="Normal"/>
        <w:widowControl/>
        <w:numPr>
          <w:ilvl w:val="0"/>
          <w:numId w:val="2"/>
        </w:numPr>
        <w:tabs>
          <w:tab w:val="clear" w:pos="720"/>
          <w:tab w:val="left" w:pos="284" w:leader="none"/>
        </w:tabs>
        <w:ind w:hanging="284" w:start="284" w:end="0"/>
        <w:jc w:val="both"/>
        <w:rPr>
          <w:sz w:val="24"/>
          <w:lang w:val="bg-BG"/>
        </w:rPr>
      </w:pPr>
      <w:r>
        <w:rPr>
          <w:b/>
          <w:sz w:val="24"/>
          <w:lang w:val="bg-BG"/>
        </w:rPr>
        <w:t xml:space="preserve">Аспект на околната среда - </w:t>
      </w:r>
      <w:r>
        <w:rPr>
          <w:sz w:val="24"/>
          <w:lang w:val="bg-BG"/>
        </w:rPr>
        <w:t>Елемент от дейностите, продуктите или услугите на дадена организация, които могат да взаимодействат с околната среда;</w:t>
      </w:r>
    </w:p>
    <w:p>
      <w:pPr>
        <w:pStyle w:val="Normal"/>
        <w:widowControl/>
        <w:numPr>
          <w:ilvl w:val="0"/>
          <w:numId w:val="2"/>
        </w:numPr>
        <w:tabs>
          <w:tab w:val="clear" w:pos="720"/>
          <w:tab w:val="left" w:pos="284" w:leader="none"/>
        </w:tabs>
        <w:ind w:hanging="284" w:start="284" w:end="0"/>
        <w:jc w:val="both"/>
        <w:rPr>
          <w:sz w:val="24"/>
          <w:lang w:val="bg-BG"/>
        </w:rPr>
      </w:pPr>
      <w:r>
        <w:rPr>
          <w:b/>
          <w:sz w:val="24"/>
          <w:lang w:val="bg-BG"/>
        </w:rPr>
        <w:t xml:space="preserve">Въздействие върху околната среда - </w:t>
      </w:r>
      <w:r>
        <w:rPr>
          <w:sz w:val="24"/>
          <w:lang w:val="bg-BG"/>
        </w:rPr>
        <w:t xml:space="preserve">Всяка неблагоприятна или благоприятна промяна на околната среда, която изцяло или частично е резултат от дейностите, продуктите или услугите на организацията. </w:t>
      </w:r>
    </w:p>
    <w:p>
      <w:pPr>
        <w:pStyle w:val="Normal"/>
        <w:numPr>
          <w:ilvl w:val="0"/>
          <w:numId w:val="2"/>
        </w:numPr>
        <w:tabs>
          <w:tab w:val="clear" w:pos="720"/>
          <w:tab w:val="left" w:pos="284" w:leader="none"/>
        </w:tabs>
        <w:ind w:hanging="284" w:start="284" w:end="0"/>
        <w:rPr>
          <w:color w:val="000000"/>
          <w:sz w:val="24"/>
          <w:szCs w:val="24"/>
          <w:lang w:val="bg-BG"/>
        </w:rPr>
      </w:pPr>
      <w:r>
        <w:rPr>
          <w:b/>
          <w:bCs/>
          <w:color w:val="000000"/>
          <w:sz w:val="24"/>
          <w:szCs w:val="24"/>
          <w:lang w:val="bg-BG"/>
        </w:rPr>
        <w:t xml:space="preserve">Производствени отпадъци - </w:t>
      </w:r>
      <w:r>
        <w:rPr>
          <w:color w:val="000000"/>
          <w:sz w:val="24"/>
          <w:szCs w:val="24"/>
          <w:lang w:val="bg-BG"/>
        </w:rPr>
        <w:t xml:space="preserve"> отпадъците, образувани в резултат на дейност на физическите и юридическите лица. </w:t>
      </w:r>
    </w:p>
    <w:p>
      <w:pPr>
        <w:pStyle w:val="Normal"/>
        <w:numPr>
          <w:ilvl w:val="0"/>
          <w:numId w:val="2"/>
        </w:numPr>
        <w:tabs>
          <w:tab w:val="clear" w:pos="720"/>
          <w:tab w:val="left" w:pos="284" w:leader="none"/>
        </w:tabs>
        <w:ind w:hanging="284" w:start="284" w:end="0"/>
        <w:rPr>
          <w:color w:val="000000"/>
          <w:sz w:val="24"/>
          <w:szCs w:val="24"/>
          <w:lang w:val="bg-BG"/>
        </w:rPr>
      </w:pPr>
      <w:r>
        <w:rPr>
          <w:b/>
          <w:bCs/>
          <w:color w:val="000000"/>
          <w:sz w:val="24"/>
          <w:szCs w:val="24"/>
          <w:lang w:val="bg-BG"/>
        </w:rPr>
        <w:t xml:space="preserve">Опасни отпадъци - </w:t>
      </w:r>
      <w:r>
        <w:rPr>
          <w:color w:val="000000"/>
          <w:sz w:val="24"/>
          <w:szCs w:val="24"/>
          <w:lang w:val="bg-BG"/>
        </w:rPr>
        <w:t xml:space="preserve"> отпадъците, чийто състав, количество и свойства създават риск за човешкото здраве и околната среда, притежават едно или повече свойства, които ги определят като опасни, и/или съдържат компоненти, които ги превръщат в опасни и/или са определени като такива според Базелската конвенция за контрол на трансграничното движение на опасни отпадъци и тяхното обезвреждане. </w:t>
      </w:r>
    </w:p>
    <w:p>
      <w:pPr>
        <w:pStyle w:val="Normal"/>
        <w:numPr>
          <w:ilvl w:val="0"/>
          <w:numId w:val="2"/>
        </w:numPr>
        <w:tabs>
          <w:tab w:val="clear" w:pos="720"/>
          <w:tab w:val="left" w:pos="284" w:leader="none"/>
        </w:tabs>
        <w:ind w:hanging="284" w:start="284" w:end="0"/>
        <w:rPr>
          <w:color w:val="000000"/>
          <w:sz w:val="24"/>
          <w:szCs w:val="24"/>
          <w:lang w:val="bg-BG"/>
        </w:rPr>
      </w:pPr>
      <w:r>
        <w:rPr>
          <w:b/>
          <w:bCs/>
          <w:color w:val="000000"/>
          <w:sz w:val="24"/>
          <w:szCs w:val="24"/>
          <w:lang w:val="bg-BG"/>
        </w:rPr>
        <w:t xml:space="preserve">Причинител на отпадъци - </w:t>
      </w:r>
      <w:r>
        <w:rPr>
          <w:color w:val="000000"/>
          <w:sz w:val="24"/>
          <w:szCs w:val="24"/>
          <w:lang w:val="bg-BG"/>
        </w:rPr>
        <w:t xml:space="preserve"> физическо или юридическо лице, при чиято дейност се образуват отпадъци - първичен причинител и/или всеки, който осъществява предварителна обработка, смесване или други операции, водещи до промяна на свойствата или състава на отпадъка. </w:t>
      </w:r>
    </w:p>
    <w:p>
      <w:pPr>
        <w:pStyle w:val="Normal"/>
        <w:numPr>
          <w:ilvl w:val="0"/>
          <w:numId w:val="2"/>
        </w:numPr>
        <w:tabs>
          <w:tab w:val="clear" w:pos="720"/>
          <w:tab w:val="left" w:pos="284" w:leader="none"/>
        </w:tabs>
        <w:ind w:hanging="284" w:start="284" w:end="0"/>
        <w:rPr>
          <w:color w:val="000000"/>
          <w:sz w:val="24"/>
          <w:szCs w:val="24"/>
          <w:lang w:val="bg-BG"/>
        </w:rPr>
      </w:pPr>
      <w:r>
        <w:rPr>
          <w:b/>
          <w:bCs/>
          <w:color w:val="000000"/>
          <w:sz w:val="24"/>
          <w:szCs w:val="24"/>
          <w:lang w:val="bg-BG"/>
        </w:rPr>
        <w:t xml:space="preserve">Третиране на отпадъците - </w:t>
      </w:r>
      <w:r>
        <w:rPr>
          <w:color w:val="000000"/>
          <w:sz w:val="24"/>
          <w:szCs w:val="24"/>
          <w:lang w:val="bg-BG"/>
        </w:rPr>
        <w:t xml:space="preserve">събирането, съхранението, оползотворяването или обезвреждането на отпадъците и всички междинни операции, както и повторното им използване, рециклиране и възстановяване или производство на енергия и материали от отпадъци. </w:t>
      </w:r>
    </w:p>
    <w:p>
      <w:pPr>
        <w:pStyle w:val="Normal"/>
        <w:numPr>
          <w:ilvl w:val="0"/>
          <w:numId w:val="2"/>
        </w:numPr>
        <w:tabs>
          <w:tab w:val="clear" w:pos="720"/>
          <w:tab w:val="left" w:pos="284" w:leader="none"/>
        </w:tabs>
        <w:ind w:hanging="284" w:start="284" w:end="0"/>
        <w:rPr>
          <w:color w:val="000000"/>
          <w:lang w:val="bg-BG"/>
        </w:rPr>
      </w:pPr>
      <w:r>
        <w:rPr>
          <w:b/>
          <w:bCs/>
          <w:color w:val="000000"/>
          <w:sz w:val="24"/>
          <w:szCs w:val="24"/>
          <w:lang w:val="bg-BG"/>
        </w:rPr>
        <w:t xml:space="preserve">Депониране на отпадъци - </w:t>
      </w:r>
      <w:r>
        <w:rPr>
          <w:color w:val="000000"/>
          <w:sz w:val="24"/>
          <w:szCs w:val="24"/>
          <w:lang w:val="bg-BG"/>
        </w:rPr>
        <w:t xml:space="preserve"> метод, при който не се предвижда последващо третиране на отпадъците и представлява складиране на отпадъци за срок, по-дълъг от три години - за отпадъци, предназначени за оползотворяване, и една година - за отпадъци, предназначени за обезвреждане, по начин, който не представлява опасност за човешкото здраве и околната среда. </w:t>
      </w:r>
    </w:p>
    <w:p>
      <w:pPr>
        <w:pStyle w:val="Normal"/>
        <w:numPr>
          <w:ilvl w:val="0"/>
          <w:numId w:val="2"/>
        </w:numPr>
        <w:tabs>
          <w:tab w:val="clear" w:pos="720"/>
          <w:tab w:val="left" w:pos="284" w:leader="none"/>
        </w:tabs>
        <w:spacing w:lineRule="exact" w:line="240" w:before="5" w:after="0"/>
        <w:ind w:hanging="284" w:start="284" w:end="78"/>
        <w:jc w:val="both"/>
        <w:rPr>
          <w:rFonts w:eastAsia="Tahoma"/>
          <w:lang w:val="bg-BG"/>
        </w:rPr>
      </w:pPr>
      <w:r>
        <w:rPr>
          <w:b/>
          <w:bCs/>
          <w:color w:val="000000"/>
          <w:sz w:val="24"/>
          <w:szCs w:val="24"/>
          <w:lang w:val="bg-BG"/>
        </w:rPr>
        <w:t>Риск -</w:t>
      </w:r>
      <w:r>
        <w:rPr>
          <w:color w:val="000000"/>
          <w:sz w:val="24"/>
          <w:szCs w:val="24"/>
          <w:lang w:val="bg-BG"/>
        </w:rPr>
        <w:t xml:space="preserve">  </w:t>
      </w:r>
      <w:r>
        <w:rPr>
          <w:rFonts w:eastAsia="Tahoma"/>
          <w:spacing w:val="-1"/>
          <w:sz w:val="24"/>
          <w:szCs w:val="24"/>
          <w:lang w:val="bg-BG"/>
        </w:rPr>
        <w:t>к</w:t>
      </w:r>
      <w:r>
        <w:rPr>
          <w:rFonts w:eastAsia="Tahoma"/>
          <w:sz w:val="24"/>
          <w:szCs w:val="24"/>
          <w:lang w:val="bg-BG"/>
        </w:rPr>
        <w:t>омб</w:t>
      </w:r>
      <w:r>
        <w:rPr>
          <w:rFonts w:eastAsia="Tahoma"/>
          <w:spacing w:val="1"/>
          <w:sz w:val="24"/>
          <w:szCs w:val="24"/>
          <w:lang w:val="bg-BG"/>
        </w:rPr>
        <w:t>и</w:t>
      </w:r>
      <w:r>
        <w:rPr>
          <w:rFonts w:eastAsia="Tahoma"/>
          <w:sz w:val="24"/>
          <w:szCs w:val="24"/>
          <w:lang w:val="bg-BG"/>
        </w:rPr>
        <w:t>н</w:t>
      </w:r>
      <w:r>
        <w:rPr>
          <w:rFonts w:eastAsia="Tahoma"/>
          <w:spacing w:val="1"/>
          <w:sz w:val="24"/>
          <w:szCs w:val="24"/>
          <w:lang w:val="bg-BG"/>
        </w:rPr>
        <w:t>а</w:t>
      </w:r>
      <w:r>
        <w:rPr>
          <w:rFonts w:eastAsia="Tahoma"/>
          <w:spacing w:val="-1"/>
          <w:sz w:val="24"/>
          <w:szCs w:val="24"/>
          <w:lang w:val="bg-BG"/>
        </w:rPr>
        <w:t>ц</w:t>
      </w:r>
      <w:r>
        <w:rPr>
          <w:rFonts w:eastAsia="Tahoma"/>
          <w:sz w:val="24"/>
          <w:szCs w:val="24"/>
          <w:lang w:val="bg-BG"/>
        </w:rPr>
        <w:t>ия</w:t>
      </w:r>
      <w:r>
        <w:rPr>
          <w:rFonts w:eastAsia="Tahoma"/>
          <w:spacing w:val="6"/>
          <w:sz w:val="24"/>
          <w:szCs w:val="24"/>
          <w:lang w:val="bg-BG"/>
        </w:rPr>
        <w:t xml:space="preserve"> </w:t>
      </w:r>
      <w:r>
        <w:rPr>
          <w:rFonts w:eastAsia="Tahoma"/>
          <w:sz w:val="24"/>
          <w:szCs w:val="24"/>
          <w:lang w:val="bg-BG"/>
        </w:rPr>
        <w:t>от</w:t>
      </w:r>
      <w:r>
        <w:rPr>
          <w:rFonts w:eastAsia="Tahoma"/>
          <w:spacing w:val="13"/>
          <w:sz w:val="24"/>
          <w:szCs w:val="24"/>
          <w:lang w:val="bg-BG"/>
        </w:rPr>
        <w:t xml:space="preserve"> </w:t>
      </w:r>
      <w:r>
        <w:rPr>
          <w:rFonts w:eastAsia="Tahoma"/>
          <w:spacing w:val="1"/>
          <w:sz w:val="24"/>
          <w:szCs w:val="24"/>
          <w:lang w:val="bg-BG"/>
        </w:rPr>
        <w:t>в</w:t>
      </w:r>
      <w:r>
        <w:rPr>
          <w:rFonts w:eastAsia="Tahoma"/>
          <w:sz w:val="24"/>
          <w:szCs w:val="24"/>
          <w:lang w:val="bg-BG"/>
        </w:rPr>
        <w:t>ъзм</w:t>
      </w:r>
      <w:r>
        <w:rPr>
          <w:rFonts w:eastAsia="Tahoma"/>
          <w:spacing w:val="-1"/>
          <w:sz w:val="24"/>
          <w:szCs w:val="24"/>
          <w:lang w:val="bg-BG"/>
        </w:rPr>
        <w:t>о</w:t>
      </w:r>
      <w:r>
        <w:rPr>
          <w:rFonts w:eastAsia="Tahoma"/>
          <w:spacing w:val="1"/>
          <w:sz w:val="24"/>
          <w:szCs w:val="24"/>
          <w:lang w:val="bg-BG"/>
        </w:rPr>
        <w:t>ж</w:t>
      </w:r>
      <w:r>
        <w:rPr>
          <w:rFonts w:eastAsia="Tahoma"/>
          <w:sz w:val="24"/>
          <w:szCs w:val="24"/>
          <w:lang w:val="bg-BG"/>
        </w:rPr>
        <w:t>н</w:t>
      </w:r>
      <w:r>
        <w:rPr>
          <w:rFonts w:eastAsia="Tahoma"/>
          <w:spacing w:val="2"/>
          <w:sz w:val="24"/>
          <w:szCs w:val="24"/>
          <w:lang w:val="bg-BG"/>
        </w:rPr>
        <w:t>о</w:t>
      </w:r>
      <w:r>
        <w:rPr>
          <w:rFonts w:eastAsia="Tahoma"/>
          <w:spacing w:val="-1"/>
          <w:sz w:val="24"/>
          <w:szCs w:val="24"/>
          <w:lang w:val="bg-BG"/>
        </w:rPr>
        <w:t>с</w:t>
      </w:r>
      <w:r>
        <w:rPr>
          <w:rFonts w:eastAsia="Tahoma"/>
          <w:sz w:val="24"/>
          <w:szCs w:val="24"/>
          <w:lang w:val="bg-BG"/>
        </w:rPr>
        <w:t>т</w:t>
      </w:r>
      <w:r>
        <w:rPr>
          <w:rFonts w:eastAsia="Tahoma"/>
          <w:spacing w:val="1"/>
          <w:sz w:val="24"/>
          <w:szCs w:val="24"/>
          <w:lang w:val="bg-BG"/>
        </w:rPr>
        <w:t>т</w:t>
      </w:r>
      <w:r>
        <w:rPr>
          <w:rFonts w:eastAsia="Tahoma"/>
          <w:sz w:val="24"/>
          <w:szCs w:val="24"/>
          <w:lang w:val="bg-BG"/>
        </w:rPr>
        <w:t>а</w:t>
      </w:r>
      <w:r>
        <w:rPr>
          <w:rFonts w:eastAsia="Tahoma"/>
          <w:spacing w:val="2"/>
          <w:sz w:val="24"/>
          <w:szCs w:val="24"/>
          <w:lang w:val="bg-BG"/>
        </w:rPr>
        <w:t xml:space="preserve"> </w:t>
      </w:r>
      <w:r>
        <w:rPr>
          <w:rFonts w:eastAsia="Tahoma"/>
          <w:sz w:val="24"/>
          <w:szCs w:val="24"/>
          <w:lang w:val="bg-BG"/>
        </w:rPr>
        <w:t>за</w:t>
      </w:r>
      <w:r>
        <w:rPr>
          <w:rFonts w:eastAsia="Tahoma"/>
          <w:spacing w:val="13"/>
          <w:sz w:val="24"/>
          <w:szCs w:val="24"/>
          <w:lang w:val="bg-BG"/>
        </w:rPr>
        <w:t xml:space="preserve"> </w:t>
      </w:r>
      <w:r>
        <w:rPr>
          <w:rFonts w:eastAsia="Tahoma"/>
          <w:sz w:val="24"/>
          <w:szCs w:val="24"/>
          <w:lang w:val="bg-BG"/>
        </w:rPr>
        <w:t>поя</w:t>
      </w:r>
      <w:r>
        <w:rPr>
          <w:rFonts w:eastAsia="Tahoma"/>
          <w:spacing w:val="1"/>
          <w:sz w:val="24"/>
          <w:szCs w:val="24"/>
          <w:lang w:val="bg-BG"/>
        </w:rPr>
        <w:t>в</w:t>
      </w:r>
      <w:r>
        <w:rPr>
          <w:rFonts w:eastAsia="Tahoma"/>
          <w:sz w:val="24"/>
          <w:szCs w:val="24"/>
          <w:lang w:val="bg-BG"/>
        </w:rPr>
        <w:t>а</w:t>
      </w:r>
      <w:r>
        <w:rPr>
          <w:rFonts w:eastAsia="Tahoma"/>
          <w:spacing w:val="10"/>
          <w:sz w:val="24"/>
          <w:szCs w:val="24"/>
          <w:lang w:val="bg-BG"/>
        </w:rPr>
        <w:t xml:space="preserve"> </w:t>
      </w:r>
      <w:r>
        <w:rPr>
          <w:rFonts w:eastAsia="Tahoma"/>
          <w:sz w:val="24"/>
          <w:szCs w:val="24"/>
          <w:lang w:val="bg-BG"/>
        </w:rPr>
        <w:t>на</w:t>
      </w:r>
      <w:r>
        <w:rPr>
          <w:rFonts w:eastAsia="Tahoma"/>
          <w:spacing w:val="13"/>
          <w:sz w:val="24"/>
          <w:szCs w:val="24"/>
          <w:lang w:val="bg-BG"/>
        </w:rPr>
        <w:t xml:space="preserve"> </w:t>
      </w:r>
      <w:r>
        <w:rPr>
          <w:rFonts w:eastAsia="Tahoma"/>
          <w:spacing w:val="-1"/>
          <w:sz w:val="24"/>
          <w:szCs w:val="24"/>
          <w:lang w:val="bg-BG"/>
        </w:rPr>
        <w:t>с</w:t>
      </w:r>
      <w:r>
        <w:rPr>
          <w:rFonts w:eastAsia="Tahoma"/>
          <w:spacing w:val="1"/>
          <w:sz w:val="24"/>
          <w:szCs w:val="24"/>
          <w:lang w:val="bg-BG"/>
        </w:rPr>
        <w:t>в</w:t>
      </w:r>
      <w:r>
        <w:rPr>
          <w:rFonts w:eastAsia="Tahoma"/>
          <w:sz w:val="24"/>
          <w:szCs w:val="24"/>
          <w:lang w:val="bg-BG"/>
        </w:rPr>
        <w:t>ърз</w:t>
      </w:r>
      <w:r>
        <w:rPr>
          <w:rFonts w:eastAsia="Tahoma"/>
          <w:spacing w:val="1"/>
          <w:sz w:val="24"/>
          <w:szCs w:val="24"/>
          <w:lang w:val="bg-BG"/>
        </w:rPr>
        <w:t>а</w:t>
      </w:r>
      <w:r>
        <w:rPr>
          <w:rFonts w:eastAsia="Tahoma"/>
          <w:spacing w:val="3"/>
          <w:sz w:val="24"/>
          <w:szCs w:val="24"/>
          <w:lang w:val="bg-BG"/>
        </w:rPr>
        <w:t>н</w:t>
      </w:r>
      <w:r>
        <w:rPr>
          <w:rFonts w:eastAsia="Tahoma"/>
          <w:sz w:val="24"/>
          <w:szCs w:val="24"/>
          <w:lang w:val="bg-BG"/>
        </w:rPr>
        <w:t>о</w:t>
      </w:r>
      <w:r>
        <w:rPr>
          <w:rFonts w:eastAsia="Tahoma"/>
          <w:spacing w:val="6"/>
          <w:sz w:val="24"/>
          <w:szCs w:val="24"/>
          <w:lang w:val="bg-BG"/>
        </w:rPr>
        <w:t xml:space="preserve"> </w:t>
      </w:r>
      <w:r>
        <w:rPr>
          <w:rFonts w:eastAsia="Tahoma"/>
          <w:sz w:val="24"/>
          <w:szCs w:val="24"/>
          <w:lang w:val="bg-BG"/>
        </w:rPr>
        <w:t>с</w:t>
      </w:r>
      <w:r>
        <w:rPr>
          <w:rFonts w:eastAsia="Tahoma"/>
          <w:spacing w:val="13"/>
          <w:sz w:val="24"/>
          <w:szCs w:val="24"/>
          <w:lang w:val="bg-BG"/>
        </w:rPr>
        <w:t xml:space="preserve"> </w:t>
      </w:r>
      <w:r>
        <w:rPr>
          <w:rFonts w:eastAsia="Tahoma"/>
          <w:sz w:val="24"/>
          <w:szCs w:val="24"/>
          <w:lang w:val="bg-BG"/>
        </w:rPr>
        <w:t>р</w:t>
      </w:r>
      <w:r>
        <w:rPr>
          <w:rFonts w:eastAsia="Tahoma"/>
          <w:spacing w:val="1"/>
          <w:sz w:val="24"/>
          <w:szCs w:val="24"/>
          <w:lang w:val="bg-BG"/>
        </w:rPr>
        <w:t>аб</w:t>
      </w:r>
      <w:r>
        <w:rPr>
          <w:rFonts w:eastAsia="Tahoma"/>
          <w:sz w:val="24"/>
          <w:szCs w:val="24"/>
          <w:lang w:val="bg-BG"/>
        </w:rPr>
        <w:t>от</w:t>
      </w:r>
      <w:r>
        <w:rPr>
          <w:rFonts w:eastAsia="Tahoma"/>
          <w:spacing w:val="1"/>
          <w:sz w:val="24"/>
          <w:szCs w:val="24"/>
          <w:lang w:val="bg-BG"/>
        </w:rPr>
        <w:t>а</w:t>
      </w:r>
      <w:r>
        <w:rPr>
          <w:rFonts w:eastAsia="Tahoma"/>
          <w:sz w:val="24"/>
          <w:szCs w:val="24"/>
          <w:lang w:val="bg-BG"/>
        </w:rPr>
        <w:t>та</w:t>
      </w:r>
      <w:r>
        <w:rPr>
          <w:rFonts w:eastAsia="Tahoma"/>
          <w:spacing w:val="8"/>
          <w:sz w:val="24"/>
          <w:szCs w:val="24"/>
          <w:lang w:val="bg-BG"/>
        </w:rPr>
        <w:t xml:space="preserve"> </w:t>
      </w:r>
      <w:r>
        <w:rPr>
          <w:rFonts w:eastAsia="Tahoma"/>
          <w:sz w:val="24"/>
          <w:szCs w:val="24"/>
          <w:lang w:val="bg-BG"/>
        </w:rPr>
        <w:t>оп</w:t>
      </w:r>
      <w:r>
        <w:rPr>
          <w:rFonts w:eastAsia="Tahoma"/>
          <w:spacing w:val="1"/>
          <w:sz w:val="24"/>
          <w:szCs w:val="24"/>
          <w:lang w:val="bg-BG"/>
        </w:rPr>
        <w:t>а</w:t>
      </w:r>
      <w:r>
        <w:rPr>
          <w:rFonts w:eastAsia="Tahoma"/>
          <w:spacing w:val="-1"/>
          <w:sz w:val="24"/>
          <w:szCs w:val="24"/>
          <w:lang w:val="bg-BG"/>
        </w:rPr>
        <w:t>с</w:t>
      </w:r>
      <w:r>
        <w:rPr>
          <w:rFonts w:eastAsia="Tahoma"/>
          <w:sz w:val="24"/>
          <w:szCs w:val="24"/>
          <w:lang w:val="bg-BG"/>
        </w:rPr>
        <w:t>но</w:t>
      </w:r>
      <w:r>
        <w:rPr>
          <w:rFonts w:eastAsia="Tahoma"/>
          <w:spacing w:val="10"/>
          <w:sz w:val="24"/>
          <w:szCs w:val="24"/>
          <w:lang w:val="bg-BG"/>
        </w:rPr>
        <w:t xml:space="preserve"> </w:t>
      </w:r>
      <w:r>
        <w:rPr>
          <w:rFonts w:eastAsia="Tahoma"/>
          <w:spacing w:val="-1"/>
          <w:sz w:val="24"/>
          <w:szCs w:val="24"/>
          <w:lang w:val="bg-BG"/>
        </w:rPr>
        <w:t>с</w:t>
      </w:r>
      <w:r>
        <w:rPr>
          <w:rFonts w:eastAsia="Tahoma"/>
          <w:sz w:val="24"/>
          <w:szCs w:val="24"/>
          <w:lang w:val="bg-BG"/>
        </w:rPr>
        <w:t>ъб</w:t>
      </w:r>
      <w:r>
        <w:rPr>
          <w:rFonts w:eastAsia="Tahoma"/>
          <w:spacing w:val="3"/>
          <w:sz w:val="24"/>
          <w:szCs w:val="24"/>
          <w:lang w:val="bg-BG"/>
        </w:rPr>
        <w:t>и</w:t>
      </w:r>
      <w:r>
        <w:rPr>
          <w:rFonts w:eastAsia="Tahoma"/>
          <w:sz w:val="24"/>
          <w:szCs w:val="24"/>
          <w:lang w:val="bg-BG"/>
        </w:rPr>
        <w:t>т</w:t>
      </w:r>
      <w:r>
        <w:rPr>
          <w:rFonts w:eastAsia="Tahoma"/>
          <w:spacing w:val="1"/>
          <w:sz w:val="24"/>
          <w:szCs w:val="24"/>
          <w:lang w:val="bg-BG"/>
        </w:rPr>
        <w:t>и</w:t>
      </w:r>
      <w:r>
        <w:rPr>
          <w:rFonts w:eastAsia="Tahoma"/>
          <w:sz w:val="24"/>
          <w:szCs w:val="24"/>
          <w:lang w:val="bg-BG"/>
        </w:rPr>
        <w:t>е</w:t>
      </w:r>
      <w:r>
        <w:rPr>
          <w:rFonts w:eastAsia="Tahoma"/>
          <w:spacing w:val="8"/>
          <w:sz w:val="24"/>
          <w:szCs w:val="24"/>
          <w:lang w:val="bg-BG"/>
        </w:rPr>
        <w:t xml:space="preserve"> </w:t>
      </w:r>
      <w:r>
        <w:rPr>
          <w:rFonts w:eastAsia="Tahoma"/>
          <w:sz w:val="24"/>
          <w:szCs w:val="24"/>
          <w:lang w:val="bg-BG"/>
        </w:rPr>
        <w:t>или</w:t>
      </w:r>
      <w:r>
        <w:rPr>
          <w:rFonts w:eastAsia="Tahoma"/>
          <w:spacing w:val="12"/>
          <w:sz w:val="24"/>
          <w:szCs w:val="24"/>
          <w:lang w:val="bg-BG"/>
        </w:rPr>
        <w:t xml:space="preserve"> </w:t>
      </w:r>
      <w:r>
        <w:rPr>
          <w:rFonts w:eastAsia="Tahoma"/>
          <w:sz w:val="24"/>
          <w:szCs w:val="24"/>
          <w:lang w:val="bg-BG"/>
        </w:rPr>
        <w:t>изл</w:t>
      </w:r>
      <w:r>
        <w:rPr>
          <w:rFonts w:eastAsia="Tahoma"/>
          <w:spacing w:val="1"/>
          <w:sz w:val="24"/>
          <w:szCs w:val="24"/>
          <w:lang w:val="bg-BG"/>
        </w:rPr>
        <w:t>а</w:t>
      </w:r>
      <w:r>
        <w:rPr>
          <w:rFonts w:eastAsia="Tahoma"/>
          <w:spacing w:val="-1"/>
          <w:sz w:val="24"/>
          <w:szCs w:val="24"/>
          <w:lang w:val="bg-BG"/>
        </w:rPr>
        <w:t>г</w:t>
      </w:r>
      <w:r>
        <w:rPr>
          <w:rFonts w:eastAsia="Tahoma"/>
          <w:spacing w:val="1"/>
          <w:sz w:val="24"/>
          <w:szCs w:val="24"/>
          <w:lang w:val="bg-BG"/>
        </w:rPr>
        <w:t>а</w:t>
      </w:r>
      <w:r>
        <w:rPr>
          <w:rFonts w:eastAsia="Tahoma"/>
          <w:sz w:val="24"/>
          <w:szCs w:val="24"/>
          <w:lang w:val="bg-BG"/>
        </w:rPr>
        <w:t>не</w:t>
      </w:r>
      <w:r>
        <w:rPr>
          <w:rFonts w:eastAsia="Tahoma"/>
          <w:spacing w:val="7"/>
          <w:sz w:val="24"/>
          <w:szCs w:val="24"/>
          <w:lang w:val="bg-BG"/>
        </w:rPr>
        <w:t xml:space="preserve"> </w:t>
      </w:r>
      <w:r>
        <w:rPr>
          <w:rFonts w:eastAsia="Tahoma"/>
          <w:sz w:val="24"/>
          <w:szCs w:val="24"/>
          <w:lang w:val="bg-BG"/>
        </w:rPr>
        <w:t>на</w:t>
      </w:r>
      <w:r>
        <w:rPr>
          <w:rFonts w:eastAsia="Tahoma"/>
          <w:spacing w:val="13"/>
          <w:sz w:val="24"/>
          <w:szCs w:val="24"/>
          <w:lang w:val="bg-BG"/>
        </w:rPr>
        <w:t xml:space="preserve"> </w:t>
      </w:r>
      <w:r>
        <w:rPr>
          <w:rFonts w:eastAsia="Tahoma"/>
          <w:spacing w:val="-1"/>
          <w:sz w:val="24"/>
          <w:szCs w:val="24"/>
          <w:lang w:val="bg-BG"/>
        </w:rPr>
        <w:t>д</w:t>
      </w:r>
      <w:r>
        <w:rPr>
          <w:rFonts w:eastAsia="Tahoma"/>
          <w:spacing w:val="1"/>
          <w:sz w:val="24"/>
          <w:szCs w:val="24"/>
          <w:lang w:val="bg-BG"/>
        </w:rPr>
        <w:t>е</w:t>
      </w:r>
      <w:r>
        <w:rPr>
          <w:rFonts w:eastAsia="Tahoma"/>
          <w:spacing w:val="3"/>
          <w:sz w:val="24"/>
          <w:szCs w:val="24"/>
          <w:lang w:val="bg-BG"/>
        </w:rPr>
        <w:t>й</w:t>
      </w:r>
      <w:r>
        <w:rPr>
          <w:rFonts w:eastAsia="Tahoma"/>
          <w:spacing w:val="2"/>
          <w:sz w:val="24"/>
          <w:szCs w:val="24"/>
          <w:lang w:val="bg-BG"/>
        </w:rPr>
        <w:t>с</w:t>
      </w:r>
      <w:r>
        <w:rPr>
          <w:rFonts w:eastAsia="Tahoma"/>
          <w:sz w:val="24"/>
          <w:szCs w:val="24"/>
          <w:lang w:val="bg-BG"/>
        </w:rPr>
        <w:t>т</w:t>
      </w:r>
      <w:r>
        <w:rPr>
          <w:rFonts w:eastAsia="Tahoma"/>
          <w:spacing w:val="2"/>
          <w:sz w:val="24"/>
          <w:szCs w:val="24"/>
          <w:lang w:val="bg-BG"/>
        </w:rPr>
        <w:t>в</w:t>
      </w:r>
      <w:r>
        <w:rPr>
          <w:rFonts w:eastAsia="Tahoma"/>
          <w:sz w:val="24"/>
          <w:szCs w:val="24"/>
          <w:lang w:val="bg-BG"/>
        </w:rPr>
        <w:t>и</w:t>
      </w:r>
      <w:r>
        <w:rPr>
          <w:rFonts w:eastAsia="Tahoma"/>
          <w:spacing w:val="1"/>
          <w:sz w:val="24"/>
          <w:szCs w:val="24"/>
          <w:lang w:val="bg-BG"/>
        </w:rPr>
        <w:t>е</w:t>
      </w:r>
      <w:r>
        <w:rPr>
          <w:rFonts w:eastAsia="Tahoma"/>
          <w:sz w:val="24"/>
          <w:szCs w:val="24"/>
          <w:lang w:val="bg-BG"/>
        </w:rPr>
        <w:t>то му</w:t>
      </w:r>
      <w:r>
        <w:rPr>
          <w:rFonts w:eastAsia="Tahoma"/>
          <w:spacing w:val="23"/>
          <w:sz w:val="24"/>
          <w:szCs w:val="24"/>
          <w:lang w:val="bg-BG"/>
        </w:rPr>
        <w:t xml:space="preserve"> </w:t>
      </w:r>
      <w:r>
        <w:rPr>
          <w:rFonts w:eastAsia="Tahoma"/>
          <w:sz w:val="24"/>
          <w:szCs w:val="24"/>
          <w:lang w:val="bg-BG"/>
        </w:rPr>
        <w:t>и</w:t>
      </w:r>
      <w:r>
        <w:rPr>
          <w:rFonts w:eastAsia="Tahoma"/>
          <w:spacing w:val="26"/>
          <w:sz w:val="24"/>
          <w:szCs w:val="24"/>
          <w:lang w:val="bg-BG"/>
        </w:rPr>
        <w:t xml:space="preserve"> </w:t>
      </w:r>
      <w:r>
        <w:rPr>
          <w:rFonts w:eastAsia="Tahoma"/>
          <w:spacing w:val="-1"/>
          <w:sz w:val="24"/>
          <w:szCs w:val="24"/>
          <w:lang w:val="bg-BG"/>
        </w:rPr>
        <w:t>с</w:t>
      </w:r>
      <w:r>
        <w:rPr>
          <w:rFonts w:eastAsia="Tahoma"/>
          <w:spacing w:val="1"/>
          <w:sz w:val="24"/>
          <w:szCs w:val="24"/>
          <w:lang w:val="bg-BG"/>
        </w:rPr>
        <w:t>е</w:t>
      </w:r>
      <w:r>
        <w:rPr>
          <w:rFonts w:eastAsia="Tahoma"/>
          <w:sz w:val="24"/>
          <w:szCs w:val="24"/>
          <w:lang w:val="bg-BG"/>
        </w:rPr>
        <w:t>р</w:t>
      </w:r>
      <w:r>
        <w:rPr>
          <w:rFonts w:eastAsia="Tahoma"/>
          <w:spacing w:val="1"/>
          <w:sz w:val="24"/>
          <w:szCs w:val="24"/>
          <w:lang w:val="bg-BG"/>
        </w:rPr>
        <w:t>и</w:t>
      </w:r>
      <w:r>
        <w:rPr>
          <w:rFonts w:eastAsia="Tahoma"/>
          <w:sz w:val="24"/>
          <w:szCs w:val="24"/>
          <w:lang w:val="bg-BG"/>
        </w:rPr>
        <w:t>озност</w:t>
      </w:r>
      <w:r>
        <w:rPr>
          <w:rFonts w:eastAsia="Tahoma"/>
          <w:spacing w:val="1"/>
          <w:sz w:val="24"/>
          <w:szCs w:val="24"/>
          <w:lang w:val="bg-BG"/>
        </w:rPr>
        <w:t>т</w:t>
      </w:r>
      <w:r>
        <w:rPr>
          <w:rFonts w:eastAsia="Tahoma"/>
          <w:sz w:val="24"/>
          <w:szCs w:val="24"/>
          <w:lang w:val="bg-BG"/>
        </w:rPr>
        <w:t>а</w:t>
      </w:r>
      <w:r>
        <w:rPr>
          <w:rFonts w:eastAsia="Tahoma"/>
          <w:spacing w:val="15"/>
          <w:sz w:val="24"/>
          <w:szCs w:val="24"/>
          <w:lang w:val="bg-BG"/>
        </w:rPr>
        <w:t xml:space="preserve"> </w:t>
      </w:r>
      <w:r>
        <w:rPr>
          <w:rFonts w:eastAsia="Tahoma"/>
          <w:sz w:val="24"/>
          <w:szCs w:val="24"/>
          <w:lang w:val="bg-BG"/>
        </w:rPr>
        <w:t>на</w:t>
      </w:r>
      <w:r>
        <w:rPr>
          <w:rFonts w:eastAsia="Tahoma"/>
          <w:spacing w:val="28"/>
          <w:sz w:val="24"/>
          <w:szCs w:val="24"/>
          <w:lang w:val="bg-BG"/>
        </w:rPr>
        <w:t xml:space="preserve"> </w:t>
      </w:r>
      <w:r>
        <w:rPr>
          <w:rFonts w:eastAsia="Tahoma"/>
          <w:w w:val="94"/>
          <w:sz w:val="24"/>
          <w:szCs w:val="24"/>
          <w:lang w:val="bg-BG"/>
        </w:rPr>
        <w:t>н</w:t>
      </w:r>
      <w:r>
        <w:rPr>
          <w:rFonts w:eastAsia="Tahoma"/>
          <w:spacing w:val="-1"/>
          <w:w w:val="94"/>
          <w:sz w:val="24"/>
          <w:szCs w:val="24"/>
          <w:lang w:val="bg-BG"/>
        </w:rPr>
        <w:t>а</w:t>
      </w:r>
      <w:r>
        <w:rPr>
          <w:rFonts w:eastAsia="Tahoma"/>
          <w:w w:val="94"/>
          <w:sz w:val="24"/>
          <w:szCs w:val="24"/>
          <w:lang w:val="bg-BG"/>
        </w:rPr>
        <w:t>р</w:t>
      </w:r>
      <w:r>
        <w:rPr>
          <w:rFonts w:eastAsia="Tahoma"/>
          <w:spacing w:val="1"/>
          <w:w w:val="94"/>
          <w:sz w:val="24"/>
          <w:szCs w:val="24"/>
          <w:lang w:val="bg-BG"/>
        </w:rPr>
        <w:t>а</w:t>
      </w:r>
      <w:r>
        <w:rPr>
          <w:rFonts w:eastAsia="Tahoma"/>
          <w:w w:val="94"/>
          <w:sz w:val="24"/>
          <w:szCs w:val="24"/>
          <w:lang w:val="bg-BG"/>
        </w:rPr>
        <w:t>ня</w:t>
      </w:r>
      <w:r>
        <w:rPr>
          <w:rFonts w:eastAsia="Tahoma"/>
          <w:spacing w:val="1"/>
          <w:w w:val="94"/>
          <w:sz w:val="24"/>
          <w:szCs w:val="24"/>
          <w:lang w:val="bg-BG"/>
        </w:rPr>
        <w:t>ва</w:t>
      </w:r>
      <w:r>
        <w:rPr>
          <w:rFonts w:eastAsia="Tahoma"/>
          <w:w w:val="94"/>
          <w:sz w:val="24"/>
          <w:szCs w:val="24"/>
          <w:lang w:val="bg-BG"/>
        </w:rPr>
        <w:t>н</w:t>
      </w:r>
      <w:r>
        <w:rPr>
          <w:rFonts w:eastAsia="Tahoma"/>
          <w:spacing w:val="1"/>
          <w:w w:val="94"/>
          <w:sz w:val="24"/>
          <w:szCs w:val="24"/>
          <w:lang w:val="bg-BG"/>
        </w:rPr>
        <w:t>е</w:t>
      </w:r>
      <w:r>
        <w:rPr>
          <w:rFonts w:eastAsia="Tahoma"/>
          <w:w w:val="94"/>
          <w:sz w:val="24"/>
          <w:szCs w:val="24"/>
          <w:lang w:val="bg-BG"/>
        </w:rPr>
        <w:t>то</w:t>
      </w:r>
      <w:r>
        <w:rPr>
          <w:rFonts w:eastAsia="Tahoma"/>
          <w:spacing w:val="38"/>
          <w:w w:val="94"/>
          <w:sz w:val="24"/>
          <w:szCs w:val="24"/>
          <w:lang w:val="bg-BG"/>
        </w:rPr>
        <w:t xml:space="preserve"> </w:t>
      </w:r>
      <w:r>
        <w:rPr>
          <w:rFonts w:eastAsia="Tahoma"/>
          <w:sz w:val="24"/>
          <w:szCs w:val="24"/>
          <w:lang w:val="bg-BG"/>
        </w:rPr>
        <w:t>и</w:t>
      </w:r>
      <w:r>
        <w:rPr>
          <w:rFonts w:eastAsia="Tahoma"/>
          <w:spacing w:val="17"/>
          <w:sz w:val="24"/>
          <w:szCs w:val="24"/>
          <w:lang w:val="bg-BG"/>
        </w:rPr>
        <w:t xml:space="preserve"> </w:t>
      </w:r>
      <w:r>
        <w:rPr>
          <w:rFonts w:eastAsia="Tahoma"/>
          <w:w w:val="94"/>
          <w:sz w:val="24"/>
          <w:szCs w:val="24"/>
          <w:lang w:val="bg-BG"/>
        </w:rPr>
        <w:t>з</w:t>
      </w:r>
      <w:r>
        <w:rPr>
          <w:rFonts w:eastAsia="Tahoma"/>
          <w:spacing w:val="1"/>
          <w:w w:val="94"/>
          <w:sz w:val="24"/>
          <w:szCs w:val="24"/>
          <w:lang w:val="bg-BG"/>
        </w:rPr>
        <w:t>аб</w:t>
      </w:r>
      <w:r>
        <w:rPr>
          <w:rFonts w:eastAsia="Tahoma"/>
          <w:w w:val="94"/>
          <w:sz w:val="24"/>
          <w:szCs w:val="24"/>
          <w:lang w:val="bg-BG"/>
        </w:rPr>
        <w:t>оля</w:t>
      </w:r>
      <w:r>
        <w:rPr>
          <w:rFonts w:eastAsia="Tahoma"/>
          <w:spacing w:val="1"/>
          <w:w w:val="94"/>
          <w:sz w:val="24"/>
          <w:szCs w:val="24"/>
          <w:lang w:val="bg-BG"/>
        </w:rPr>
        <w:t>ва</w:t>
      </w:r>
      <w:r>
        <w:rPr>
          <w:rFonts w:eastAsia="Tahoma"/>
          <w:w w:val="94"/>
          <w:sz w:val="24"/>
          <w:szCs w:val="24"/>
          <w:lang w:val="bg-BG"/>
        </w:rPr>
        <w:t>н</w:t>
      </w:r>
      <w:r>
        <w:rPr>
          <w:rFonts w:eastAsia="Tahoma"/>
          <w:spacing w:val="-2"/>
          <w:w w:val="94"/>
          <w:sz w:val="24"/>
          <w:szCs w:val="24"/>
          <w:lang w:val="bg-BG"/>
        </w:rPr>
        <w:t>е</w:t>
      </w:r>
      <w:r>
        <w:rPr>
          <w:rFonts w:eastAsia="Tahoma"/>
          <w:w w:val="94"/>
          <w:sz w:val="24"/>
          <w:szCs w:val="24"/>
          <w:lang w:val="bg-BG"/>
        </w:rPr>
        <w:t>то</w:t>
      </w:r>
      <w:r>
        <w:rPr>
          <w:rFonts w:eastAsia="Tahoma"/>
          <w:spacing w:val="37"/>
          <w:w w:val="94"/>
          <w:sz w:val="24"/>
          <w:szCs w:val="24"/>
          <w:lang w:val="bg-BG"/>
        </w:rPr>
        <w:t xml:space="preserve"> </w:t>
      </w:r>
      <w:r>
        <w:rPr>
          <w:rFonts w:eastAsia="Tahoma"/>
          <w:sz w:val="24"/>
          <w:szCs w:val="24"/>
          <w:lang w:val="bg-BG"/>
        </w:rPr>
        <w:t>(3.</w:t>
      </w:r>
      <w:r>
        <w:rPr>
          <w:rFonts w:eastAsia="Tahoma"/>
          <w:spacing w:val="-1"/>
          <w:sz w:val="24"/>
          <w:szCs w:val="24"/>
          <w:lang w:val="bg-BG"/>
        </w:rPr>
        <w:t>18</w:t>
      </w:r>
      <w:r>
        <w:rPr>
          <w:rFonts w:eastAsia="Tahoma"/>
          <w:spacing w:val="3"/>
          <w:sz w:val="24"/>
          <w:szCs w:val="24"/>
          <w:lang w:val="bg-BG"/>
        </w:rPr>
        <w:t>)</w:t>
      </w:r>
      <w:r>
        <w:rPr>
          <w:rFonts w:eastAsia="Tahoma"/>
          <w:sz w:val="24"/>
          <w:szCs w:val="24"/>
          <w:lang w:val="bg-BG"/>
        </w:rPr>
        <w:t>,</w:t>
      </w:r>
      <w:r>
        <w:rPr>
          <w:rFonts w:eastAsia="Tahoma"/>
          <w:spacing w:val="20"/>
          <w:sz w:val="24"/>
          <w:szCs w:val="24"/>
          <w:lang w:val="bg-BG"/>
        </w:rPr>
        <w:t xml:space="preserve"> </w:t>
      </w:r>
      <w:r>
        <w:rPr>
          <w:rFonts w:eastAsia="Tahoma"/>
          <w:spacing w:val="-1"/>
          <w:sz w:val="24"/>
          <w:szCs w:val="24"/>
          <w:lang w:val="bg-BG"/>
        </w:rPr>
        <w:t>к</w:t>
      </w:r>
      <w:r>
        <w:rPr>
          <w:rFonts w:eastAsia="Tahoma"/>
          <w:sz w:val="24"/>
          <w:szCs w:val="24"/>
          <w:lang w:val="bg-BG"/>
        </w:rPr>
        <w:t>ои</w:t>
      </w:r>
      <w:r>
        <w:rPr>
          <w:rFonts w:eastAsia="Tahoma"/>
          <w:spacing w:val="1"/>
          <w:sz w:val="24"/>
          <w:szCs w:val="24"/>
          <w:lang w:val="bg-BG"/>
        </w:rPr>
        <w:t>т</w:t>
      </w:r>
      <w:r>
        <w:rPr>
          <w:rFonts w:eastAsia="Tahoma"/>
          <w:sz w:val="24"/>
          <w:szCs w:val="24"/>
          <w:lang w:val="bg-BG"/>
        </w:rPr>
        <w:t>о</w:t>
      </w:r>
      <w:r>
        <w:rPr>
          <w:rFonts w:eastAsia="Tahoma"/>
          <w:spacing w:val="21"/>
          <w:sz w:val="24"/>
          <w:szCs w:val="24"/>
          <w:lang w:val="bg-BG"/>
        </w:rPr>
        <w:t xml:space="preserve"> </w:t>
      </w:r>
      <w:r>
        <w:rPr>
          <w:rFonts w:eastAsia="Tahoma"/>
          <w:sz w:val="24"/>
          <w:szCs w:val="24"/>
          <w:lang w:val="bg-BG"/>
        </w:rPr>
        <w:t>м</w:t>
      </w:r>
      <w:r>
        <w:rPr>
          <w:rFonts w:eastAsia="Tahoma"/>
          <w:spacing w:val="2"/>
          <w:sz w:val="24"/>
          <w:szCs w:val="24"/>
          <w:lang w:val="bg-BG"/>
        </w:rPr>
        <w:t>о</w:t>
      </w:r>
      <w:r>
        <w:rPr>
          <w:rFonts w:eastAsia="Tahoma"/>
          <w:spacing w:val="-1"/>
          <w:sz w:val="24"/>
          <w:szCs w:val="24"/>
          <w:lang w:val="bg-BG"/>
        </w:rPr>
        <w:t>г</w:t>
      </w:r>
      <w:r>
        <w:rPr>
          <w:rFonts w:eastAsia="Tahoma"/>
          <w:spacing w:val="1"/>
          <w:sz w:val="24"/>
          <w:szCs w:val="24"/>
          <w:lang w:val="bg-BG"/>
        </w:rPr>
        <w:t>а</w:t>
      </w:r>
      <w:r>
        <w:rPr>
          <w:rFonts w:eastAsia="Tahoma"/>
          <w:sz w:val="24"/>
          <w:szCs w:val="24"/>
          <w:lang w:val="bg-BG"/>
        </w:rPr>
        <w:t>т</w:t>
      </w:r>
      <w:r>
        <w:rPr>
          <w:rFonts w:eastAsia="Tahoma"/>
          <w:spacing w:val="22"/>
          <w:sz w:val="24"/>
          <w:szCs w:val="24"/>
          <w:lang w:val="bg-BG"/>
        </w:rPr>
        <w:t xml:space="preserve"> </w:t>
      </w:r>
      <w:r>
        <w:rPr>
          <w:rFonts w:eastAsia="Tahoma"/>
          <w:spacing w:val="-1"/>
          <w:sz w:val="24"/>
          <w:szCs w:val="24"/>
          <w:lang w:val="bg-BG"/>
        </w:rPr>
        <w:t>д</w:t>
      </w:r>
      <w:r>
        <w:rPr>
          <w:rFonts w:eastAsia="Tahoma"/>
          <w:sz w:val="24"/>
          <w:szCs w:val="24"/>
          <w:lang w:val="bg-BG"/>
        </w:rPr>
        <w:t>а</w:t>
      </w:r>
      <w:r>
        <w:rPr>
          <w:rFonts w:eastAsia="Tahoma"/>
          <w:spacing w:val="25"/>
          <w:sz w:val="24"/>
          <w:szCs w:val="24"/>
          <w:lang w:val="bg-BG"/>
        </w:rPr>
        <w:t xml:space="preserve"> </w:t>
      </w:r>
      <w:r>
        <w:rPr>
          <w:rFonts w:eastAsia="Tahoma"/>
          <w:spacing w:val="1"/>
          <w:sz w:val="24"/>
          <w:szCs w:val="24"/>
          <w:lang w:val="bg-BG"/>
        </w:rPr>
        <w:t>б</w:t>
      </w:r>
      <w:r>
        <w:rPr>
          <w:rFonts w:eastAsia="Tahoma"/>
          <w:sz w:val="24"/>
          <w:szCs w:val="24"/>
          <w:lang w:val="bg-BG"/>
        </w:rPr>
        <w:t>ъ</w:t>
      </w:r>
      <w:r>
        <w:rPr>
          <w:rFonts w:eastAsia="Tahoma"/>
          <w:spacing w:val="-1"/>
          <w:sz w:val="24"/>
          <w:szCs w:val="24"/>
          <w:lang w:val="bg-BG"/>
        </w:rPr>
        <w:t>д</w:t>
      </w:r>
      <w:r>
        <w:rPr>
          <w:rFonts w:eastAsia="Tahoma"/>
          <w:spacing w:val="1"/>
          <w:sz w:val="24"/>
          <w:szCs w:val="24"/>
          <w:lang w:val="bg-BG"/>
        </w:rPr>
        <w:t>а</w:t>
      </w:r>
      <w:r>
        <w:rPr>
          <w:rFonts w:eastAsia="Tahoma"/>
          <w:sz w:val="24"/>
          <w:szCs w:val="24"/>
          <w:lang w:val="bg-BG"/>
        </w:rPr>
        <w:t>т</w:t>
      </w:r>
      <w:r>
        <w:rPr>
          <w:rFonts w:eastAsia="Tahoma"/>
          <w:spacing w:val="22"/>
          <w:sz w:val="24"/>
          <w:szCs w:val="24"/>
          <w:lang w:val="bg-BG"/>
        </w:rPr>
        <w:t xml:space="preserve"> </w:t>
      </w:r>
      <w:r>
        <w:rPr>
          <w:rFonts w:eastAsia="Tahoma"/>
          <w:sz w:val="24"/>
          <w:szCs w:val="24"/>
          <w:lang w:val="bg-BG"/>
        </w:rPr>
        <w:t>пр</w:t>
      </w:r>
      <w:r>
        <w:rPr>
          <w:rFonts w:eastAsia="Tahoma"/>
          <w:spacing w:val="1"/>
          <w:sz w:val="24"/>
          <w:szCs w:val="24"/>
          <w:lang w:val="bg-BG"/>
        </w:rPr>
        <w:t>и</w:t>
      </w:r>
      <w:r>
        <w:rPr>
          <w:rFonts w:eastAsia="Tahoma"/>
          <w:sz w:val="24"/>
          <w:szCs w:val="24"/>
          <w:lang w:val="bg-BG"/>
        </w:rPr>
        <w:t>чи</w:t>
      </w:r>
      <w:r>
        <w:rPr>
          <w:rFonts w:eastAsia="Tahoma"/>
          <w:spacing w:val="1"/>
          <w:sz w:val="24"/>
          <w:szCs w:val="24"/>
          <w:lang w:val="bg-BG"/>
        </w:rPr>
        <w:t>не</w:t>
      </w:r>
      <w:r>
        <w:rPr>
          <w:rFonts w:eastAsia="Tahoma"/>
          <w:sz w:val="24"/>
          <w:szCs w:val="24"/>
          <w:lang w:val="bg-BG"/>
        </w:rPr>
        <w:t>ни</w:t>
      </w:r>
      <w:r>
        <w:rPr>
          <w:rFonts w:eastAsia="Tahoma"/>
          <w:spacing w:val="17"/>
          <w:sz w:val="24"/>
          <w:szCs w:val="24"/>
          <w:lang w:val="bg-BG"/>
        </w:rPr>
        <w:t xml:space="preserve"> </w:t>
      </w:r>
      <w:r>
        <w:rPr>
          <w:rFonts w:eastAsia="Tahoma"/>
          <w:sz w:val="24"/>
          <w:szCs w:val="24"/>
          <w:lang w:val="bg-BG"/>
        </w:rPr>
        <w:t>от</w:t>
      </w:r>
      <w:r>
        <w:rPr>
          <w:rFonts w:eastAsia="Tahoma"/>
          <w:spacing w:val="25"/>
          <w:sz w:val="24"/>
          <w:szCs w:val="24"/>
          <w:lang w:val="bg-BG"/>
        </w:rPr>
        <w:t xml:space="preserve"> </w:t>
      </w:r>
      <w:r>
        <w:rPr>
          <w:rFonts w:eastAsia="Tahoma"/>
          <w:spacing w:val="-1"/>
          <w:sz w:val="24"/>
          <w:szCs w:val="24"/>
          <w:lang w:val="bg-BG"/>
        </w:rPr>
        <w:t>с</w:t>
      </w:r>
      <w:r>
        <w:rPr>
          <w:rFonts w:eastAsia="Tahoma"/>
          <w:sz w:val="24"/>
          <w:szCs w:val="24"/>
          <w:lang w:val="bg-BG"/>
        </w:rPr>
        <w:t>ъб</w:t>
      </w:r>
      <w:r>
        <w:rPr>
          <w:rFonts w:eastAsia="Tahoma"/>
          <w:spacing w:val="1"/>
          <w:sz w:val="24"/>
          <w:szCs w:val="24"/>
          <w:lang w:val="bg-BG"/>
        </w:rPr>
        <w:t>и</w:t>
      </w:r>
      <w:r>
        <w:rPr>
          <w:rFonts w:eastAsia="Tahoma"/>
          <w:sz w:val="24"/>
          <w:szCs w:val="24"/>
          <w:lang w:val="bg-BG"/>
        </w:rPr>
        <w:t>т</w:t>
      </w:r>
      <w:r>
        <w:rPr>
          <w:rFonts w:eastAsia="Tahoma"/>
          <w:spacing w:val="1"/>
          <w:sz w:val="24"/>
          <w:szCs w:val="24"/>
          <w:lang w:val="bg-BG"/>
        </w:rPr>
        <w:t>ие</w:t>
      </w:r>
      <w:r>
        <w:rPr>
          <w:rFonts w:eastAsia="Tahoma"/>
          <w:sz w:val="24"/>
          <w:szCs w:val="24"/>
          <w:lang w:val="bg-BG"/>
        </w:rPr>
        <w:t>то или</w:t>
      </w:r>
      <w:r>
        <w:rPr>
          <w:rFonts w:eastAsia="Tahoma"/>
          <w:spacing w:val="-3"/>
          <w:sz w:val="24"/>
          <w:szCs w:val="24"/>
          <w:lang w:val="bg-BG"/>
        </w:rPr>
        <w:t xml:space="preserve"> </w:t>
      </w:r>
      <w:r>
        <w:rPr>
          <w:rFonts w:eastAsia="Tahoma"/>
          <w:spacing w:val="1"/>
          <w:sz w:val="24"/>
          <w:szCs w:val="24"/>
          <w:lang w:val="bg-BG"/>
        </w:rPr>
        <w:t>и</w:t>
      </w:r>
      <w:r>
        <w:rPr>
          <w:rFonts w:eastAsia="Tahoma"/>
          <w:sz w:val="24"/>
          <w:szCs w:val="24"/>
          <w:lang w:val="bg-BG"/>
        </w:rPr>
        <w:t>зл</w:t>
      </w:r>
      <w:r>
        <w:rPr>
          <w:rFonts w:eastAsia="Tahoma"/>
          <w:spacing w:val="1"/>
          <w:sz w:val="24"/>
          <w:szCs w:val="24"/>
          <w:lang w:val="bg-BG"/>
        </w:rPr>
        <w:t>а</w:t>
      </w:r>
      <w:r>
        <w:rPr>
          <w:rFonts w:eastAsia="Tahoma"/>
          <w:spacing w:val="-1"/>
          <w:sz w:val="24"/>
          <w:szCs w:val="24"/>
          <w:lang w:val="bg-BG"/>
        </w:rPr>
        <w:t>г</w:t>
      </w:r>
      <w:r>
        <w:rPr>
          <w:rFonts w:eastAsia="Tahoma"/>
          <w:spacing w:val="1"/>
          <w:sz w:val="24"/>
          <w:szCs w:val="24"/>
          <w:lang w:val="bg-BG"/>
        </w:rPr>
        <w:t>а</w:t>
      </w:r>
      <w:r>
        <w:rPr>
          <w:rFonts w:eastAsia="Tahoma"/>
          <w:sz w:val="24"/>
          <w:szCs w:val="24"/>
          <w:lang w:val="bg-BG"/>
        </w:rPr>
        <w:t>н</w:t>
      </w:r>
      <w:r>
        <w:rPr>
          <w:rFonts w:eastAsia="Tahoma"/>
          <w:spacing w:val="1"/>
          <w:sz w:val="24"/>
          <w:szCs w:val="24"/>
          <w:lang w:val="bg-BG"/>
        </w:rPr>
        <w:t>е</w:t>
      </w:r>
      <w:r>
        <w:rPr>
          <w:rFonts w:eastAsia="Tahoma"/>
          <w:sz w:val="24"/>
          <w:szCs w:val="24"/>
          <w:lang w:val="bg-BG"/>
        </w:rPr>
        <w:t>то</w:t>
      </w:r>
    </w:p>
    <w:p>
      <w:pPr>
        <w:pStyle w:val="Normal"/>
        <w:numPr>
          <w:ilvl w:val="0"/>
          <w:numId w:val="2"/>
        </w:numPr>
        <w:tabs>
          <w:tab w:val="clear" w:pos="720"/>
          <w:tab w:val="left" w:pos="284" w:leader="none"/>
        </w:tabs>
        <w:ind w:hanging="284" w:start="284" w:end="0"/>
        <w:rPr>
          <w:color w:val="000000"/>
          <w:sz w:val="24"/>
          <w:szCs w:val="24"/>
          <w:lang w:val="bg-BG"/>
        </w:rPr>
      </w:pPr>
      <w:r>
        <w:rPr>
          <w:b/>
          <w:color w:val="000000"/>
          <w:sz w:val="24"/>
          <w:szCs w:val="24"/>
          <w:lang w:val="bg-BG"/>
        </w:rPr>
        <w:t>Опасност</w:t>
      </w:r>
      <w:r>
        <w:rPr>
          <w:color w:val="000000"/>
          <w:sz w:val="24"/>
          <w:szCs w:val="24"/>
          <w:lang w:val="bg-BG"/>
        </w:rPr>
        <w:t xml:space="preserve"> – източник, който може да причина нараняване или заболяване</w:t>
      </w:r>
    </w:p>
    <w:p>
      <w:pPr>
        <w:pStyle w:val="Normal"/>
        <w:numPr>
          <w:ilvl w:val="0"/>
          <w:numId w:val="2"/>
        </w:numPr>
        <w:tabs>
          <w:tab w:val="clear" w:pos="720"/>
          <w:tab w:val="left" w:pos="284" w:leader="none"/>
        </w:tabs>
        <w:ind w:hanging="284" w:start="284" w:end="0"/>
        <w:rPr>
          <w:color w:val="000000"/>
          <w:sz w:val="24"/>
          <w:szCs w:val="24"/>
          <w:lang w:val="bg-BG"/>
        </w:rPr>
      </w:pPr>
      <w:r>
        <w:rPr>
          <w:b/>
          <w:color w:val="000000"/>
          <w:sz w:val="24"/>
          <w:szCs w:val="24"/>
          <w:lang w:val="bg-BG"/>
        </w:rPr>
        <w:t xml:space="preserve">Възможност за здравето и безопасността при работа </w:t>
      </w:r>
      <w:r>
        <w:rPr>
          <w:color w:val="000000"/>
          <w:sz w:val="24"/>
          <w:szCs w:val="24"/>
          <w:lang w:val="bg-BG"/>
        </w:rPr>
        <w:t>– обстоятелства или съвкупност от обстоятелства, които могат да доведат до подобряване на резултатността по ЗБР</w:t>
      </w:r>
    </w:p>
    <w:p>
      <w:pPr>
        <w:pStyle w:val="Normal"/>
        <w:numPr>
          <w:ilvl w:val="0"/>
          <w:numId w:val="2"/>
        </w:numPr>
        <w:tabs>
          <w:tab w:val="clear" w:pos="720"/>
          <w:tab w:val="left" w:pos="284" w:leader="none"/>
        </w:tabs>
        <w:ind w:hanging="284" w:start="284" w:end="0"/>
        <w:rPr>
          <w:color w:val="000000"/>
          <w:sz w:val="24"/>
          <w:szCs w:val="24"/>
          <w:lang w:val="bg-BG"/>
        </w:rPr>
      </w:pPr>
      <w:r>
        <w:rPr>
          <w:b/>
          <w:color w:val="000000"/>
          <w:sz w:val="24"/>
          <w:szCs w:val="24"/>
          <w:lang w:val="bg-BG"/>
        </w:rPr>
        <w:t xml:space="preserve">Нараняване или заболяване </w:t>
      </w:r>
      <w:r>
        <w:rPr>
          <w:color w:val="000000"/>
          <w:sz w:val="24"/>
          <w:szCs w:val="24"/>
          <w:lang w:val="bg-BG"/>
        </w:rPr>
        <w:t>– неприятно въздействие върху физическото, умственото или познавателното състояние на човек.</w:t>
      </w:r>
    </w:p>
    <w:p>
      <w:pPr>
        <w:pStyle w:val="Normal"/>
        <w:spacing w:lineRule="exact" w:line="240" w:before="5" w:after="0"/>
        <w:ind w:start="720" w:end="4740"/>
        <w:rPr>
          <w:rFonts w:ascii="Tahoma" w:hAnsi="Tahoma" w:eastAsia="Tahoma" w:cs="Tahoma"/>
          <w:lang w:val="bg-BG"/>
        </w:rPr>
      </w:pPr>
      <w:r>
        <w:rPr>
          <w:rFonts w:eastAsia="Tahoma" w:cs="Tahoma" w:ascii="Tahoma" w:hAnsi="Tahoma"/>
          <w:b/>
          <w:spacing w:val="-1"/>
          <w:lang w:val="bg-BG"/>
        </w:rPr>
        <w:t xml:space="preserve"> </w:t>
      </w:r>
    </w:p>
    <w:p>
      <w:pPr>
        <w:pStyle w:val="Normal"/>
        <w:ind w:start="284" w:end="0"/>
        <w:rPr>
          <w:rFonts w:ascii="Tahoma" w:hAnsi="Tahoma" w:eastAsia="Tahoma" w:cs="Tahoma"/>
          <w:color w:val="000000"/>
          <w:sz w:val="24"/>
          <w:szCs w:val="24"/>
          <w:lang w:val="bg-BG"/>
        </w:rPr>
      </w:pPr>
      <w:r>
        <w:rPr>
          <w:rFonts w:eastAsia="Tahoma" w:cs="Tahoma" w:ascii="Tahoma" w:hAnsi="Tahoma"/>
          <w:color w:val="000000"/>
          <w:sz w:val="24"/>
          <w:szCs w:val="24"/>
          <w:lang w:val="bg-BG"/>
        </w:rPr>
      </w:r>
    </w:p>
    <w:p>
      <w:pPr>
        <w:pStyle w:val="Normal"/>
        <w:ind w:start="284" w:end="0"/>
        <w:rPr>
          <w:color w:val="000000"/>
          <w:sz w:val="24"/>
          <w:szCs w:val="24"/>
          <w:lang w:val="bg-BG"/>
        </w:rPr>
      </w:pPr>
      <w:r>
        <w:rPr>
          <w:color w:val="000000"/>
          <w:sz w:val="24"/>
          <w:szCs w:val="24"/>
          <w:lang w:val="bg-BG"/>
        </w:rPr>
      </w:r>
    </w:p>
    <w:p>
      <w:pPr>
        <w:pStyle w:val="Normal"/>
        <w:ind w:start="284" w:end="0"/>
        <w:rPr>
          <w:color w:val="000000"/>
          <w:sz w:val="24"/>
          <w:szCs w:val="24"/>
          <w:lang w:val="bg-BG"/>
        </w:rPr>
      </w:pPr>
      <w:r>
        <w:rPr>
          <w:color w:val="000000"/>
          <w:sz w:val="24"/>
          <w:szCs w:val="24"/>
          <w:lang w:val="bg-BG"/>
        </w:rPr>
      </w:r>
    </w:p>
    <w:p>
      <w:pPr>
        <w:pStyle w:val="Normal"/>
        <w:widowControl/>
        <w:jc w:val="both"/>
        <w:rPr>
          <w:color w:val="000000"/>
          <w:sz w:val="24"/>
          <w:szCs w:val="24"/>
          <w:lang w:val="bg-BG"/>
        </w:rPr>
      </w:pPr>
      <w:r>
        <w:rPr>
          <w:color w:val="000000"/>
          <w:sz w:val="24"/>
          <w:szCs w:val="24"/>
          <w:lang w:val="bg-BG"/>
        </w:rPr>
      </w:r>
    </w:p>
    <w:p>
      <w:pPr>
        <w:pStyle w:val="Normal"/>
        <w:widowControl/>
        <w:numPr>
          <w:ilvl w:val="0"/>
          <w:numId w:val="5"/>
        </w:numPr>
        <w:jc w:val="both"/>
        <w:rPr>
          <w:b/>
          <w:sz w:val="24"/>
          <w:lang w:val="bg-BG"/>
        </w:rPr>
      </w:pPr>
      <w:r>
        <w:rPr>
          <w:b/>
          <w:sz w:val="24"/>
          <w:lang w:val="bg-BG"/>
        </w:rPr>
        <w:t>ПРОЦЕДУРА</w:t>
      </w:r>
    </w:p>
    <w:p>
      <w:pPr>
        <w:pStyle w:val="Normal"/>
        <w:widowControl/>
        <w:jc w:val="both"/>
        <w:rPr>
          <w:b/>
          <w:bCs/>
          <w:sz w:val="24"/>
          <w:lang w:val="bg-BG"/>
        </w:rPr>
      </w:pPr>
      <w:r>
        <w:rPr>
          <w:b/>
          <w:bCs/>
          <w:sz w:val="24"/>
          <w:lang w:val="bg-BG"/>
        </w:rPr>
      </w:r>
    </w:p>
    <w:p>
      <w:pPr>
        <w:pStyle w:val="Normal"/>
        <w:widowControl/>
        <w:numPr>
          <w:ilvl w:val="1"/>
          <w:numId w:val="5"/>
        </w:numPr>
        <w:jc w:val="both"/>
        <w:rPr>
          <w:b/>
          <w:sz w:val="24"/>
          <w:lang w:val="bg-BG"/>
        </w:rPr>
      </w:pPr>
      <w:r>
        <w:rPr>
          <w:b/>
          <w:sz w:val="24"/>
          <w:lang w:val="bg-BG"/>
        </w:rPr>
        <w:t>Общи положения и нормативна база</w:t>
      </w:r>
    </w:p>
    <w:p>
      <w:pPr>
        <w:pStyle w:val="Normal"/>
        <w:widowControl/>
        <w:jc w:val="both"/>
        <w:rPr>
          <w:bCs/>
          <w:sz w:val="24"/>
          <w:lang w:val="bg-BG"/>
        </w:rPr>
      </w:pPr>
      <w:r>
        <w:rPr>
          <w:bCs/>
          <w:sz w:val="24"/>
          <w:lang w:val="bg-BG"/>
        </w:rPr>
        <w:t>Оперативното управление на дейностите включва три основни елемента:</w:t>
      </w:r>
    </w:p>
    <w:p>
      <w:pPr>
        <w:pStyle w:val="Normal"/>
        <w:widowControl/>
        <w:numPr>
          <w:ilvl w:val="0"/>
          <w:numId w:val="11"/>
        </w:numPr>
        <w:jc w:val="both"/>
        <w:rPr>
          <w:bCs/>
          <w:sz w:val="24"/>
          <w:lang w:val="bg-BG"/>
        </w:rPr>
      </w:pPr>
      <w:r>
        <w:rPr>
          <w:bCs/>
          <w:sz w:val="24"/>
          <w:lang w:val="bg-BG"/>
        </w:rPr>
        <w:t>провеждане на основната дейност на фирмата по такъв начин, който не уврежда околната среда и здравето на хората или минимизира риска за това;</w:t>
      </w:r>
    </w:p>
    <w:p>
      <w:pPr>
        <w:pStyle w:val="Normal"/>
        <w:widowControl/>
        <w:numPr>
          <w:ilvl w:val="0"/>
          <w:numId w:val="11"/>
        </w:numPr>
        <w:jc w:val="both"/>
        <w:rPr>
          <w:bCs/>
          <w:sz w:val="24"/>
          <w:lang w:val="bg-BG"/>
        </w:rPr>
      </w:pPr>
      <w:r>
        <w:rPr>
          <w:bCs/>
          <w:sz w:val="24"/>
          <w:lang w:val="bg-BG"/>
        </w:rPr>
        <w:t>подходящи методи и средства за управление на отпадъците;</w:t>
      </w:r>
    </w:p>
    <w:p>
      <w:pPr>
        <w:pStyle w:val="Normal"/>
        <w:widowControl/>
        <w:numPr>
          <w:ilvl w:val="0"/>
          <w:numId w:val="11"/>
        </w:numPr>
        <w:jc w:val="both"/>
        <w:rPr>
          <w:bCs/>
          <w:sz w:val="24"/>
          <w:lang w:val="bg-BG"/>
        </w:rPr>
      </w:pPr>
      <w:r>
        <w:rPr>
          <w:bCs/>
          <w:sz w:val="24"/>
          <w:lang w:val="bg-BG"/>
        </w:rPr>
        <w:t>подходящи процедури за реакция при негативно въздействие или непосредствена опасност от въздействие върху околната среда и здравето и безопасността на хората.</w:t>
      </w:r>
    </w:p>
    <w:p>
      <w:pPr>
        <w:pStyle w:val="Normal"/>
        <w:widowControl/>
        <w:jc w:val="both"/>
        <w:rPr>
          <w:bCs/>
          <w:sz w:val="24"/>
          <w:lang w:val="bg-BG"/>
        </w:rPr>
      </w:pPr>
      <w:r>
        <w:rPr>
          <w:bCs/>
          <w:sz w:val="24"/>
          <w:lang w:val="bg-BG"/>
        </w:rPr>
      </w:r>
    </w:p>
    <w:p>
      <w:pPr>
        <w:pStyle w:val="Normal"/>
        <w:widowControl/>
        <w:jc w:val="both"/>
        <w:rPr/>
      </w:pPr>
      <w:r>
        <w:rPr>
          <w:bCs/>
          <w:sz w:val="24"/>
          <w:lang w:val="bg-BG"/>
        </w:rPr>
        <w:t>Оперативното управление на дейността се базира на широк спектър от нормативни документи, които трябва да се познават и прилагат. Основните нормативни документи, имащи отношение към  системата за управление са дадени в Приложение към Наръчника.</w:t>
      </w:r>
    </w:p>
    <w:p>
      <w:pPr>
        <w:pStyle w:val="Normal"/>
        <w:widowControl/>
        <w:jc w:val="both"/>
        <w:rPr>
          <w:bCs/>
          <w:sz w:val="24"/>
          <w:lang w:val="bg-BG"/>
        </w:rPr>
      </w:pPr>
      <w:r>
        <w:rPr>
          <w:bCs/>
          <w:sz w:val="24"/>
          <w:lang w:val="bg-BG"/>
        </w:rPr>
      </w:r>
    </w:p>
    <w:p>
      <w:pPr>
        <w:pStyle w:val="Normal"/>
        <w:widowControl/>
        <w:numPr>
          <w:ilvl w:val="1"/>
          <w:numId w:val="5"/>
        </w:numPr>
        <w:tabs>
          <w:tab w:val="clear" w:pos="720"/>
          <w:tab w:val="left" w:pos="851" w:leader="none"/>
        </w:tabs>
        <w:jc w:val="both"/>
        <w:rPr>
          <w:b/>
          <w:sz w:val="24"/>
          <w:lang w:val="bg-BG"/>
        </w:rPr>
      </w:pPr>
      <w:r>
        <w:rPr>
          <w:b/>
          <w:sz w:val="24"/>
          <w:lang w:val="bg-BG"/>
        </w:rPr>
        <w:t>Управление на отпадъците</w:t>
      </w:r>
    </w:p>
    <w:p>
      <w:pPr>
        <w:pStyle w:val="Normal"/>
        <w:widowControl/>
        <w:jc w:val="both"/>
        <w:rPr>
          <w:b/>
          <w:sz w:val="24"/>
          <w:lang w:val="en-US"/>
        </w:rPr>
      </w:pPr>
      <w:r>
        <w:rPr>
          <w:b/>
          <w:sz w:val="24"/>
          <w:lang w:val="en-US"/>
        </w:rPr>
      </w:r>
    </w:p>
    <w:p>
      <w:pPr>
        <w:pStyle w:val="Normal"/>
        <w:widowControl/>
        <w:numPr>
          <w:ilvl w:val="2"/>
          <w:numId w:val="5"/>
        </w:numPr>
        <w:jc w:val="both"/>
        <w:rPr>
          <w:bCs/>
          <w:sz w:val="24"/>
          <w:lang w:val="bg-BG"/>
        </w:rPr>
      </w:pPr>
      <w:r>
        <w:rPr>
          <w:b/>
          <w:sz w:val="24"/>
          <w:lang w:val="bg-BG"/>
        </w:rPr>
        <w:t>Общи изисквания</w:t>
      </w:r>
    </w:p>
    <w:p>
      <w:pPr>
        <w:pStyle w:val="Normal"/>
        <w:rPr/>
      </w:pPr>
      <w:r>
        <w:rPr>
          <w:color w:val="000000"/>
          <w:sz w:val="24"/>
          <w:szCs w:val="24"/>
          <w:lang w:val="bg-BG"/>
        </w:rPr>
        <w:t xml:space="preserve">При дейността си по управление на отпадъците, фирмата се съобразява с действащите Наредби за управление на отпадъците. </w:t>
      </w:r>
    </w:p>
    <w:p>
      <w:pPr>
        <w:pStyle w:val="Normal"/>
        <w:rPr>
          <w:color w:val="000000"/>
          <w:sz w:val="24"/>
          <w:szCs w:val="24"/>
          <w:lang w:val="bg-BG"/>
        </w:rPr>
      </w:pPr>
      <w:r>
        <w:rPr>
          <w:color w:val="000000"/>
          <w:sz w:val="24"/>
          <w:szCs w:val="24"/>
          <w:lang w:val="bg-BG"/>
        </w:rPr>
      </w:r>
    </w:p>
    <w:p>
      <w:pPr>
        <w:pStyle w:val="Normal"/>
        <w:rPr/>
      </w:pPr>
      <w:r>
        <w:rPr>
          <w:color w:val="000000"/>
          <w:sz w:val="24"/>
          <w:szCs w:val="24"/>
          <w:lang w:val="bg-BG"/>
        </w:rPr>
        <w:t xml:space="preserve">Съгласно Закона за управление на отпадъците, притежатели на отпадъци са причинителите на отпадъци, както и лицата, в чието владение се намират те.  Притежателите на отпадъци са длъжни: </w:t>
      </w:r>
    </w:p>
    <w:p>
      <w:pPr>
        <w:pStyle w:val="Normal"/>
        <w:rPr>
          <w:color w:val="000000"/>
          <w:sz w:val="24"/>
          <w:szCs w:val="24"/>
          <w:lang w:val="bg-BG"/>
        </w:rPr>
      </w:pPr>
      <w:r>
        <w:rPr>
          <w:color w:val="000000"/>
          <w:sz w:val="24"/>
          <w:szCs w:val="24"/>
          <w:lang w:val="bg-BG"/>
        </w:rPr>
        <w:t xml:space="preserve">1. да изпълняват разпоредбите за третиране на различните по вид и свойства отпадъци; </w:t>
      </w:r>
    </w:p>
    <w:p>
      <w:pPr>
        <w:pStyle w:val="Normal"/>
        <w:rPr>
          <w:color w:val="000000"/>
          <w:sz w:val="24"/>
          <w:szCs w:val="24"/>
          <w:lang w:val="bg-BG"/>
        </w:rPr>
      </w:pPr>
      <w:r>
        <w:rPr>
          <w:color w:val="000000"/>
          <w:sz w:val="24"/>
          <w:szCs w:val="24"/>
          <w:lang w:val="bg-BG"/>
        </w:rPr>
        <w:t xml:space="preserve">2. да поддържат в постоянна изправност съоръженията си за третиране на отпадъци; </w:t>
      </w:r>
    </w:p>
    <w:p>
      <w:pPr>
        <w:pStyle w:val="Normal"/>
        <w:rPr>
          <w:color w:val="000000"/>
          <w:sz w:val="24"/>
          <w:szCs w:val="24"/>
          <w:lang w:val="bg-BG"/>
        </w:rPr>
      </w:pPr>
      <w:r>
        <w:rPr>
          <w:color w:val="000000"/>
          <w:sz w:val="24"/>
          <w:szCs w:val="24"/>
          <w:lang w:val="bg-BG"/>
        </w:rPr>
        <w:t xml:space="preserve">3. да предприемат всички мерки за несмесване на опасни отпадъци с други отпадъци или на оползотворими отпадъци с неоползотворими; </w:t>
      </w:r>
    </w:p>
    <w:p>
      <w:pPr>
        <w:pStyle w:val="Normal"/>
        <w:rPr>
          <w:color w:val="000000"/>
          <w:sz w:val="24"/>
          <w:szCs w:val="24"/>
          <w:lang w:val="bg-BG"/>
        </w:rPr>
      </w:pPr>
      <w:r>
        <w:rPr>
          <w:color w:val="000000"/>
          <w:sz w:val="24"/>
          <w:szCs w:val="24"/>
          <w:lang w:val="bg-BG"/>
        </w:rPr>
        <w:t xml:space="preserve">4. да организират безопасно съхраняване на отпадъците, за които няма подходящи средства за третирането им; </w:t>
      </w:r>
    </w:p>
    <w:p>
      <w:pPr>
        <w:pStyle w:val="Normal"/>
        <w:rPr>
          <w:color w:val="000000"/>
          <w:sz w:val="24"/>
          <w:szCs w:val="24"/>
          <w:lang w:val="bg-BG"/>
        </w:rPr>
      </w:pPr>
      <w:r>
        <w:rPr>
          <w:color w:val="000000"/>
          <w:sz w:val="24"/>
          <w:szCs w:val="24"/>
          <w:lang w:val="bg-BG"/>
        </w:rPr>
        <w:t xml:space="preserve">5. при наличие на опасни отпадъци да определят отговорно лице и да създадат организация за безопасното им управление; </w:t>
      </w:r>
    </w:p>
    <w:p>
      <w:pPr>
        <w:pStyle w:val="Normal"/>
        <w:rPr/>
      </w:pPr>
      <w:r>
        <w:rPr>
          <w:color w:val="000000"/>
          <w:sz w:val="24"/>
          <w:szCs w:val="24"/>
          <w:lang w:val="bg-BG"/>
        </w:rPr>
        <w:t xml:space="preserve">6. да водят отчетност за отпадъците по ред осигуряващ идентификация и проследимост; </w:t>
      </w:r>
    </w:p>
    <w:p>
      <w:pPr>
        <w:pStyle w:val="Normal"/>
        <w:rPr/>
      </w:pPr>
      <w:r>
        <w:rPr>
          <w:color w:val="000000"/>
          <w:sz w:val="24"/>
          <w:szCs w:val="24"/>
          <w:lang w:val="bg-BG"/>
        </w:rPr>
        <w:t xml:space="preserve">7. да осигурят инструктаж и периодично обучение на персонала, който работи с отпадъци. </w:t>
      </w:r>
    </w:p>
    <w:p>
      <w:pPr>
        <w:pStyle w:val="Normal"/>
        <w:jc w:val="both"/>
        <w:rPr>
          <w:color w:val="000000"/>
          <w:sz w:val="24"/>
          <w:szCs w:val="24"/>
          <w:lang w:val="bg-BG"/>
        </w:rPr>
      </w:pPr>
      <w:r>
        <w:rPr>
          <w:color w:val="000000"/>
          <w:sz w:val="24"/>
          <w:szCs w:val="24"/>
          <w:lang w:val="bg-BG"/>
        </w:rPr>
      </w:r>
    </w:p>
    <w:p>
      <w:pPr>
        <w:pStyle w:val="Normal"/>
        <w:jc w:val="both"/>
        <w:rPr>
          <w:color w:val="000000"/>
          <w:sz w:val="24"/>
          <w:szCs w:val="24"/>
          <w:lang w:val="bg-BG"/>
        </w:rPr>
      </w:pPr>
      <w:r>
        <w:rPr>
          <w:color w:val="000000"/>
          <w:sz w:val="24"/>
          <w:szCs w:val="24"/>
          <w:lang w:val="bg-BG"/>
        </w:rPr>
        <w:t xml:space="preserve">Мониторинг и измерване на дейностите се осъществява съгласно </w:t>
      </w:r>
      <w:r>
        <w:rPr>
          <w:color w:val="000000"/>
          <w:sz w:val="24"/>
          <w:szCs w:val="24"/>
          <w:lang w:val="en-US"/>
        </w:rPr>
        <w:t>IP</w:t>
      </w:r>
      <w:r>
        <w:rPr>
          <w:color w:val="000000"/>
          <w:sz w:val="24"/>
          <w:szCs w:val="24"/>
          <w:lang w:val="bg-BG"/>
        </w:rPr>
        <w:t xml:space="preserve"> 09.01.00 „Мониторинг”. Случаите, които могат да се определят като аварии или извънредни ситуации и които са риск за околната среда се разглеждат в </w:t>
      </w:r>
      <w:r>
        <w:rPr>
          <w:color w:val="000000"/>
          <w:sz w:val="24"/>
          <w:szCs w:val="24"/>
          <w:lang w:val="en-US"/>
        </w:rPr>
        <w:t>IP</w:t>
      </w:r>
      <w:r>
        <w:rPr>
          <w:color w:val="000000"/>
          <w:sz w:val="24"/>
          <w:szCs w:val="24"/>
          <w:lang w:val="bg-BG"/>
        </w:rPr>
        <w:t xml:space="preserve"> 08.02.00 „Управление на извънредни ситуации”. </w:t>
      </w:r>
    </w:p>
    <w:p>
      <w:pPr>
        <w:pStyle w:val="Normal"/>
        <w:widowControl/>
        <w:jc w:val="both"/>
        <w:rPr>
          <w:sz w:val="24"/>
          <w:szCs w:val="24"/>
          <w:lang w:val="ru-RU"/>
        </w:rPr>
      </w:pPr>
      <w:r>
        <w:rPr>
          <w:color w:val="000000"/>
          <w:sz w:val="24"/>
          <w:szCs w:val="24"/>
          <w:lang w:val="bg-BG"/>
        </w:rPr>
        <w:t xml:space="preserve">Контролът на дейностите и документирането на резултатите става по реда на </w:t>
      </w:r>
      <w:r>
        <w:rPr>
          <w:color w:val="000000"/>
          <w:sz w:val="24"/>
          <w:szCs w:val="24"/>
          <w:lang w:val="en-US"/>
        </w:rPr>
        <w:t>IP</w:t>
      </w:r>
      <w:r>
        <w:rPr>
          <w:color w:val="000000"/>
          <w:sz w:val="24"/>
          <w:szCs w:val="24"/>
          <w:lang w:val="bg-BG"/>
        </w:rPr>
        <w:t xml:space="preserve"> 10.02.00 „Несъответствия, коригиращи и превантивни действия” и </w:t>
      </w:r>
      <w:r>
        <w:rPr>
          <w:sz w:val="24"/>
          <w:szCs w:val="24"/>
          <w:lang w:val="en-US"/>
        </w:rPr>
        <w:t>IP</w:t>
      </w:r>
      <w:r>
        <w:rPr>
          <w:sz w:val="24"/>
          <w:szCs w:val="24"/>
          <w:lang w:val="bg-BG"/>
        </w:rPr>
        <w:t xml:space="preserve"> 09.02.00 „Вътрешни одити”.</w:t>
      </w:r>
    </w:p>
    <w:p>
      <w:pPr>
        <w:pStyle w:val="Normal"/>
        <w:jc w:val="both"/>
        <w:rPr>
          <w:color w:val="000000"/>
          <w:sz w:val="24"/>
          <w:szCs w:val="24"/>
          <w:lang w:val="bg-BG"/>
        </w:rPr>
      </w:pPr>
      <w:r>
        <w:rPr>
          <w:color w:val="000000"/>
          <w:sz w:val="24"/>
          <w:szCs w:val="24"/>
          <w:lang w:val="bg-BG"/>
        </w:rPr>
      </w:r>
    </w:p>
    <w:p>
      <w:pPr>
        <w:pStyle w:val="Normal"/>
        <w:widowControl/>
        <w:jc w:val="both"/>
        <w:rPr>
          <w:b/>
          <w:bCs/>
          <w:sz w:val="24"/>
          <w:lang w:val="bg-BG"/>
        </w:rPr>
      </w:pPr>
      <w:r>
        <w:rPr>
          <w:b/>
          <w:bCs/>
          <w:sz w:val="24"/>
          <w:lang w:val="bg-BG"/>
        </w:rPr>
        <w:t>7.2.2</w:t>
        <w:tab/>
        <w:t>Класифициране и разделяне на отпадъците</w:t>
      </w:r>
    </w:p>
    <w:p>
      <w:pPr>
        <w:pStyle w:val="Normal"/>
        <w:widowControl/>
        <w:jc w:val="both"/>
        <w:rPr>
          <w:bCs/>
          <w:sz w:val="24"/>
          <w:lang w:val="bg-BG"/>
        </w:rPr>
      </w:pPr>
      <w:r>
        <w:rPr>
          <w:bCs/>
          <w:sz w:val="24"/>
          <w:lang w:val="bg-BG"/>
        </w:rPr>
        <w:t xml:space="preserve">Отпадъците получавани при основната дейност на фирмата се класифицират в три основни групи на основание </w:t>
      </w:r>
      <w:r>
        <w:rPr>
          <w:color w:val="000000"/>
          <w:sz w:val="24"/>
          <w:szCs w:val="24"/>
          <w:lang w:val="bg-BG"/>
        </w:rPr>
        <w:t>Наредба № 3 за класификация на отпадъците</w:t>
      </w:r>
      <w:r>
        <w:rPr>
          <w:bCs/>
          <w:sz w:val="24"/>
          <w:lang w:val="bg-BG"/>
        </w:rPr>
        <w:t>:</w:t>
      </w:r>
    </w:p>
    <w:p>
      <w:pPr>
        <w:pStyle w:val="Normal"/>
        <w:widowControl/>
        <w:numPr>
          <w:ilvl w:val="0"/>
          <w:numId w:val="7"/>
        </w:numPr>
        <w:tabs>
          <w:tab w:val="clear" w:pos="720"/>
          <w:tab w:val="left" w:pos="540" w:leader="none"/>
        </w:tabs>
        <w:ind w:hanging="540" w:start="540" w:end="0"/>
        <w:jc w:val="both"/>
        <w:rPr>
          <w:color w:val="000000"/>
          <w:sz w:val="24"/>
          <w:szCs w:val="24"/>
          <w:lang w:val="bg-BG"/>
        </w:rPr>
      </w:pPr>
      <w:r>
        <w:rPr>
          <w:b/>
          <w:color w:val="000000"/>
          <w:sz w:val="24"/>
          <w:szCs w:val="24"/>
          <w:lang w:val="bg-BG"/>
        </w:rPr>
        <w:t>инертни отпадъци</w:t>
      </w:r>
      <w:r>
        <w:rPr>
          <w:color w:val="000000"/>
          <w:sz w:val="24"/>
          <w:szCs w:val="24"/>
          <w:lang w:val="bg-BG"/>
        </w:rPr>
        <w:t xml:space="preserve"> - които:</w:t>
      </w:r>
    </w:p>
    <w:p>
      <w:pPr>
        <w:pStyle w:val="Normal"/>
        <w:keepLines/>
        <w:widowControl/>
        <w:numPr>
          <w:ilvl w:val="0"/>
          <w:numId w:val="12"/>
        </w:numPr>
        <w:tabs>
          <w:tab w:val="clear" w:pos="720"/>
          <w:tab w:val="left" w:pos="1080" w:leader="none"/>
        </w:tabs>
        <w:ind w:hanging="540" w:start="1080" w:end="0"/>
        <w:jc w:val="both"/>
        <w:rPr>
          <w:color w:val="000000"/>
          <w:sz w:val="24"/>
          <w:szCs w:val="24"/>
          <w:lang w:val="bg-BG"/>
        </w:rPr>
      </w:pPr>
      <w:r>
        <w:rPr>
          <w:color w:val="000000"/>
          <w:sz w:val="24"/>
          <w:szCs w:val="24"/>
          <w:lang w:val="bg-BG"/>
        </w:rPr>
        <w:t>не претърпяват съществени физични, химични и биологични изменения;</w:t>
      </w:r>
    </w:p>
    <w:p>
      <w:pPr>
        <w:pStyle w:val="Normal"/>
        <w:keepLines/>
        <w:widowControl/>
        <w:numPr>
          <w:ilvl w:val="0"/>
          <w:numId w:val="12"/>
        </w:numPr>
        <w:tabs>
          <w:tab w:val="clear" w:pos="720"/>
          <w:tab w:val="left" w:pos="1080" w:leader="none"/>
        </w:tabs>
        <w:ind w:hanging="540" w:start="1080" w:end="0"/>
        <w:jc w:val="both"/>
        <w:rPr>
          <w:color w:val="000000"/>
          <w:sz w:val="24"/>
          <w:szCs w:val="24"/>
          <w:lang w:val="bg-BG"/>
        </w:rPr>
      </w:pPr>
      <w:r>
        <w:rPr>
          <w:color w:val="000000"/>
          <w:sz w:val="24"/>
          <w:szCs w:val="24"/>
          <w:lang w:val="bg-BG"/>
        </w:rPr>
        <w:t>не са разтворими, не горят и не участват в други физични или химични реакции;</w:t>
      </w:r>
    </w:p>
    <w:p>
      <w:pPr>
        <w:pStyle w:val="Normal"/>
        <w:keepLines/>
        <w:widowControl/>
        <w:numPr>
          <w:ilvl w:val="0"/>
          <w:numId w:val="12"/>
        </w:numPr>
        <w:tabs>
          <w:tab w:val="clear" w:pos="720"/>
          <w:tab w:val="left" w:pos="1080" w:leader="none"/>
        </w:tabs>
        <w:ind w:hanging="540" w:start="1080" w:end="0"/>
        <w:jc w:val="both"/>
        <w:rPr>
          <w:color w:val="000000"/>
          <w:sz w:val="24"/>
          <w:szCs w:val="24"/>
          <w:lang w:val="bg-BG"/>
        </w:rPr>
      </w:pPr>
      <w:r>
        <w:rPr>
          <w:color w:val="000000"/>
          <w:sz w:val="24"/>
          <w:szCs w:val="24"/>
          <w:lang w:val="bg-BG"/>
        </w:rPr>
        <w:t>не са биоразградими и/или не оказват неблагоприятно въздействие върху други вещества, с които влизат в контакт по начин, който води до увреждане на човешкото здраве или до увреждане или замърсяване на околната среда над допустимите норми;</w:t>
      </w:r>
    </w:p>
    <w:p>
      <w:pPr>
        <w:pStyle w:val="Normal"/>
        <w:keepLines/>
        <w:widowControl/>
        <w:numPr>
          <w:ilvl w:val="0"/>
          <w:numId w:val="12"/>
        </w:numPr>
        <w:tabs>
          <w:tab w:val="clear" w:pos="720"/>
          <w:tab w:val="left" w:pos="1080" w:leader="none"/>
        </w:tabs>
        <w:ind w:hanging="540" w:start="1080" w:end="0"/>
        <w:jc w:val="both"/>
        <w:rPr>
          <w:color w:val="000000"/>
          <w:sz w:val="24"/>
          <w:szCs w:val="24"/>
          <w:lang w:val="bg-BG"/>
        </w:rPr>
      </w:pPr>
      <w:r>
        <w:rPr>
          <w:color w:val="000000"/>
          <w:sz w:val="24"/>
          <w:szCs w:val="24"/>
          <w:lang w:val="bg-BG"/>
        </w:rPr>
        <w:t>общата способност за излужване, съдържанието на замърсяващи вещества в отпадъците и екотоксичността на инфилтрата са незначителни и не оказват вредно въздействие върху качеството на повърхностните и/или подземните води.</w:t>
      </w:r>
    </w:p>
    <w:p>
      <w:pPr>
        <w:pStyle w:val="Normal"/>
        <w:widowControl/>
        <w:numPr>
          <w:ilvl w:val="0"/>
          <w:numId w:val="7"/>
        </w:numPr>
        <w:tabs>
          <w:tab w:val="clear" w:pos="720"/>
          <w:tab w:val="left" w:pos="540" w:leader="none"/>
        </w:tabs>
        <w:ind w:hanging="360" w:start="540" w:end="0"/>
        <w:jc w:val="both"/>
        <w:rPr>
          <w:color w:val="000000"/>
          <w:sz w:val="24"/>
          <w:szCs w:val="24"/>
          <w:lang w:val="ru-RU"/>
        </w:rPr>
      </w:pPr>
      <w:r>
        <w:rPr>
          <w:b/>
          <w:color w:val="000000"/>
          <w:sz w:val="24"/>
          <w:szCs w:val="24"/>
          <w:lang w:val="bg-BG"/>
        </w:rPr>
        <w:t>неопасни отпадъци</w:t>
      </w:r>
      <w:r>
        <w:rPr>
          <w:color w:val="000000"/>
          <w:sz w:val="24"/>
          <w:szCs w:val="24"/>
          <w:lang w:val="bg-BG"/>
        </w:rPr>
        <w:t xml:space="preserve"> са отпадъци, които не притежават опасни свойства, не съдържат компоненти, които ги превръщат в опасни, в резултат на което не са класифицирани като опасни отпадъци съгласно Наредба № 3 за класификация на отпадъците;</w:t>
      </w:r>
    </w:p>
    <w:p>
      <w:pPr>
        <w:pStyle w:val="Normal"/>
        <w:widowControl/>
        <w:numPr>
          <w:ilvl w:val="0"/>
          <w:numId w:val="7"/>
        </w:numPr>
        <w:tabs>
          <w:tab w:val="clear" w:pos="720"/>
          <w:tab w:val="left" w:pos="540" w:leader="none"/>
        </w:tabs>
        <w:ind w:hanging="360" w:start="540" w:end="0"/>
        <w:jc w:val="both"/>
        <w:rPr>
          <w:color w:val="000000"/>
          <w:sz w:val="24"/>
          <w:szCs w:val="24"/>
          <w:lang w:val="bg-BG"/>
        </w:rPr>
      </w:pPr>
      <w:r>
        <w:rPr>
          <w:b/>
          <w:color w:val="000000"/>
          <w:sz w:val="24"/>
          <w:szCs w:val="24"/>
          <w:lang w:val="bg-BG"/>
        </w:rPr>
        <w:t>опасни отпадъци</w:t>
      </w:r>
      <w:r>
        <w:rPr>
          <w:color w:val="000000"/>
          <w:sz w:val="24"/>
          <w:szCs w:val="24"/>
          <w:lang w:val="bg-BG"/>
        </w:rPr>
        <w:t xml:space="preserve"> са отпадъците, чийто състав, количество и свойства създават риск за човешкото здраве и околната среда, притежават едно или повече свойства, които ги определят като опасни, и/или съдържат компоненти, които ги превръщат в опасни и/или са определени като такива според Базелската конвенция за контрол на трансграничното движение на опасни отпадъци и тяхното обезвреждане. </w:t>
      </w:r>
    </w:p>
    <w:p>
      <w:pPr>
        <w:pStyle w:val="Normal"/>
        <w:widowControl/>
        <w:jc w:val="both"/>
        <w:rPr/>
      </w:pPr>
      <w:r>
        <w:rPr>
          <w:color w:val="000000"/>
          <w:sz w:val="24"/>
          <w:szCs w:val="24"/>
          <w:lang w:val="bg-BG"/>
        </w:rPr>
        <w:t xml:space="preserve">В случай, когато съставът на отпадъците е неизвестен, анализите на състава и свойствата на отпадъците с цел точното установяване на декларираните данни и класификацията на отпадъците се извършват от акредитирани лаборатории. </w:t>
      </w:r>
    </w:p>
    <w:p>
      <w:pPr>
        <w:pStyle w:val="Normal"/>
        <w:rPr>
          <w:color w:val="000000"/>
          <w:sz w:val="24"/>
          <w:szCs w:val="24"/>
          <w:lang w:val="bg-BG"/>
        </w:rPr>
      </w:pPr>
      <w:r>
        <w:rPr>
          <w:color w:val="000000"/>
          <w:sz w:val="24"/>
          <w:szCs w:val="24"/>
          <w:lang w:val="bg-BG"/>
        </w:rPr>
      </w:r>
    </w:p>
    <w:p>
      <w:pPr>
        <w:pStyle w:val="Normal"/>
        <w:widowControl/>
        <w:jc w:val="both"/>
        <w:rPr/>
      </w:pPr>
      <w:r>
        <w:rPr>
          <w:bCs/>
          <w:sz w:val="24"/>
          <w:lang w:val="bg-BG"/>
        </w:rPr>
        <w:t>За правилното класифициране, идентифициране и управление на отпадъците се прилагат подходящи методи и средства за тяхното разделно събиране,  временно съхраняване и транспортиране.</w:t>
      </w:r>
    </w:p>
    <w:p>
      <w:pPr>
        <w:pStyle w:val="Normal"/>
        <w:widowControl/>
        <w:jc w:val="both"/>
        <w:rPr>
          <w:bCs/>
          <w:sz w:val="24"/>
          <w:lang w:val="bg-BG"/>
        </w:rPr>
      </w:pPr>
      <w:r>
        <w:rPr>
          <w:bCs/>
          <w:sz w:val="24"/>
          <w:lang w:val="bg-BG"/>
        </w:rPr>
      </w:r>
    </w:p>
    <w:p>
      <w:pPr>
        <w:pStyle w:val="Normal"/>
        <w:widowControl/>
        <w:jc w:val="both"/>
        <w:rPr/>
      </w:pPr>
      <w:r>
        <w:rPr>
          <w:b/>
          <w:sz w:val="24"/>
          <w:lang w:val="bg-BG"/>
        </w:rPr>
        <w:t>7.3</w:t>
        <w:tab/>
        <w:t>Депониране  и преработка</w:t>
      </w:r>
    </w:p>
    <w:p>
      <w:pPr>
        <w:pStyle w:val="Normal"/>
        <w:jc w:val="both"/>
        <w:rPr/>
      </w:pPr>
      <w:r>
        <w:rPr>
          <w:color w:val="000000"/>
          <w:sz w:val="24"/>
          <w:szCs w:val="24"/>
          <w:lang w:val="bg-BG"/>
        </w:rPr>
        <w:t xml:space="preserve">Отпадъците се предоставят за събиране, транспортиране, оползотворяване или обезвреждане само на лица, които имат право да извършват съответните дейности, или ги оползотворяват и/или обезвреждат сами в съответствие с изискванията на Закона за управление на отпадъците. </w:t>
      </w:r>
    </w:p>
    <w:p>
      <w:pPr>
        <w:pStyle w:val="Normal"/>
        <w:jc w:val="both"/>
        <w:rPr>
          <w:color w:val="000000"/>
          <w:sz w:val="24"/>
          <w:szCs w:val="24"/>
          <w:lang w:val="bg-BG"/>
        </w:rPr>
      </w:pPr>
      <w:r>
        <w:rPr>
          <w:color w:val="000000"/>
          <w:sz w:val="24"/>
          <w:szCs w:val="24"/>
          <w:lang w:val="bg-BG"/>
        </w:rPr>
        <w:t xml:space="preserve">Забранява се изоставянето, нерегламентираното изхвърляне и изгаряне или друга форма на неконтролирано обезвреждане на отпадъците. </w:t>
      </w:r>
    </w:p>
    <w:p>
      <w:pPr>
        <w:pStyle w:val="Normal"/>
        <w:jc w:val="both"/>
        <w:rPr>
          <w:rFonts w:ascii="Arial" w:hAnsi="Arial" w:cs="Arial"/>
          <w:color w:val="000000"/>
          <w:sz w:val="24"/>
          <w:szCs w:val="24"/>
          <w:lang w:val="bg-BG"/>
        </w:rPr>
      </w:pPr>
      <w:r>
        <w:rPr>
          <w:rFonts w:cs="Arial" w:ascii="Arial" w:hAnsi="Arial"/>
          <w:color w:val="000000"/>
          <w:sz w:val="24"/>
          <w:szCs w:val="24"/>
          <w:lang w:val="bg-BG"/>
        </w:rPr>
      </w:r>
    </w:p>
    <w:p>
      <w:pPr>
        <w:pStyle w:val="Normal"/>
        <w:jc w:val="both"/>
        <w:rPr/>
      </w:pPr>
      <w:r>
        <w:rPr>
          <w:color w:val="000000"/>
          <w:sz w:val="24"/>
          <w:szCs w:val="24"/>
          <w:lang w:val="bg-BG"/>
        </w:rPr>
        <w:t xml:space="preserve">Когато причинителите на отпадъци са неизвестни, разходите по възстановяването на качествата на околната среда се поемат от лицата, в чието държане се намират отпадъците. Всички разходи за възстановяване на околната среда и за разкриване на действителния причинител се възстановяват от тези лица. </w:t>
      </w:r>
    </w:p>
    <w:p>
      <w:pPr>
        <w:pStyle w:val="BodyText"/>
        <w:rPr/>
      </w:pPr>
      <w:r>
        <w:rPr/>
        <w:t xml:space="preserve">Изискванията за депониране на отпадъци и към площадките за разполагане на депа за отпадъци са регламентирани в съответните Наредби. </w:t>
      </w:r>
    </w:p>
    <w:p>
      <w:pPr>
        <w:pStyle w:val="Normal"/>
        <w:widowControl/>
        <w:jc w:val="both"/>
        <w:rPr>
          <w:sz w:val="24"/>
          <w:lang w:val="bg-BG"/>
        </w:rPr>
      </w:pPr>
      <w:r>
        <w:rPr>
          <w:sz w:val="24"/>
          <w:lang w:val="bg-BG"/>
        </w:rPr>
      </w:r>
    </w:p>
    <w:p>
      <w:pPr>
        <w:pStyle w:val="Normal"/>
        <w:widowControl/>
        <w:jc w:val="both"/>
        <w:rPr>
          <w:b/>
          <w:sz w:val="24"/>
          <w:lang w:val="bg-BG"/>
        </w:rPr>
      </w:pPr>
      <w:r>
        <w:rPr>
          <w:b/>
          <w:sz w:val="24"/>
          <w:lang w:val="bg-BG"/>
        </w:rPr>
        <w:t>7.4</w:t>
        <w:tab/>
        <w:t>Мерки и действия при управление на отпадъците</w:t>
      </w:r>
    </w:p>
    <w:p>
      <w:pPr>
        <w:pStyle w:val="Normal"/>
        <w:widowControl/>
        <w:jc w:val="both"/>
        <w:rPr>
          <w:sz w:val="24"/>
          <w:lang w:val="bg-BG"/>
        </w:rPr>
      </w:pPr>
      <w:r>
        <w:rPr>
          <w:sz w:val="24"/>
          <w:lang w:val="bg-BG"/>
        </w:rPr>
        <w:t>За по ефективно управление на дейността във фирмата се прилагат подходящи мерки, технически средства и дейности по управление на отпадъци. Такива са:</w:t>
      </w:r>
    </w:p>
    <w:p>
      <w:pPr>
        <w:pStyle w:val="Normal"/>
        <w:widowControl/>
        <w:numPr>
          <w:ilvl w:val="0"/>
          <w:numId w:val="10"/>
        </w:numPr>
        <w:jc w:val="both"/>
        <w:rPr>
          <w:sz w:val="24"/>
          <w:lang w:val="bg-BG"/>
        </w:rPr>
      </w:pPr>
      <w:r>
        <w:rPr>
          <w:sz w:val="24"/>
          <w:lang w:val="bg-BG"/>
        </w:rPr>
        <w:t>специални мерки при доставка, разтоварни работи и съхранение на материали, представляващи опасност за околната среда, като химически средства, масла, горива,  бои, лакове, лепила и други вещества – потенциални замърсители;</w:t>
      </w:r>
    </w:p>
    <w:p>
      <w:pPr>
        <w:pStyle w:val="Normal"/>
        <w:widowControl/>
        <w:numPr>
          <w:ilvl w:val="0"/>
          <w:numId w:val="10"/>
        </w:numPr>
        <w:jc w:val="both"/>
        <w:rPr>
          <w:sz w:val="24"/>
          <w:lang w:val="bg-BG"/>
        </w:rPr>
      </w:pPr>
      <w:r>
        <w:rPr>
          <w:sz w:val="24"/>
          <w:lang w:val="bg-BG"/>
        </w:rPr>
        <w:t>осигуряване на временни опаковки и съдове при разфасоване и употреба на материали;</w:t>
      </w:r>
    </w:p>
    <w:p>
      <w:pPr>
        <w:pStyle w:val="Normal"/>
        <w:widowControl/>
        <w:numPr>
          <w:ilvl w:val="0"/>
          <w:numId w:val="10"/>
        </w:numPr>
        <w:jc w:val="both"/>
        <w:rPr>
          <w:sz w:val="24"/>
          <w:lang w:val="bg-BG"/>
        </w:rPr>
      </w:pPr>
      <w:r>
        <w:rPr>
          <w:sz w:val="24"/>
          <w:lang w:val="bg-BG"/>
        </w:rPr>
        <w:t>осигуряване на временни контейнери, торби и други съдове и опаковки за съхранение на опаковки от химически материали, бои, лакове, лепила и др.;</w:t>
      </w:r>
    </w:p>
    <w:p>
      <w:pPr>
        <w:pStyle w:val="Normal"/>
        <w:widowControl/>
        <w:numPr>
          <w:ilvl w:val="0"/>
          <w:numId w:val="10"/>
        </w:numPr>
        <w:jc w:val="both"/>
        <w:rPr>
          <w:sz w:val="24"/>
          <w:lang w:val="bg-BG"/>
        </w:rPr>
      </w:pPr>
      <w:r>
        <w:rPr>
          <w:sz w:val="24"/>
          <w:lang w:val="bg-BG"/>
        </w:rPr>
        <w:t>осигуряване на методи и средства за разделно временно съхранение на отпадъци, преди транспортирането им до съответните депа;</w:t>
      </w:r>
    </w:p>
    <w:p>
      <w:pPr>
        <w:pStyle w:val="Normal"/>
        <w:widowControl/>
        <w:numPr>
          <w:ilvl w:val="0"/>
          <w:numId w:val="10"/>
        </w:numPr>
        <w:jc w:val="both"/>
        <w:rPr>
          <w:sz w:val="24"/>
          <w:lang w:val="bg-BG"/>
        </w:rPr>
      </w:pPr>
      <w:r>
        <w:rPr>
          <w:sz w:val="24"/>
          <w:lang w:val="bg-BG"/>
        </w:rPr>
        <w:t>мерки за почистване на гуми и части от превозни средства и друга техника при опасност от замърсяване на пътната мрежа;</w:t>
      </w:r>
    </w:p>
    <w:p>
      <w:pPr>
        <w:pStyle w:val="Normal"/>
        <w:widowControl/>
        <w:numPr>
          <w:ilvl w:val="0"/>
          <w:numId w:val="10"/>
        </w:numPr>
        <w:jc w:val="both"/>
        <w:rPr>
          <w:sz w:val="24"/>
          <w:lang w:val="bg-BG"/>
        </w:rPr>
      </w:pPr>
      <w:r>
        <w:rPr>
          <w:sz w:val="24"/>
          <w:lang w:val="bg-BG"/>
        </w:rPr>
        <w:t>доставяне на отпадъци само на определени за целта депа.</w:t>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en-US"/>
        </w:rPr>
        <w:t xml:space="preserve">7.5      </w:t>
      </w:r>
      <w:r>
        <w:rPr>
          <w:b/>
          <w:sz w:val="24"/>
          <w:lang w:val="bg-BG"/>
        </w:rPr>
        <w:t>Управление на дейностите, свързани с намаляване на рискове и елиминиране на опасности, управление на измененията, доставките и подизпълнителите</w:t>
      </w:r>
    </w:p>
    <w:p>
      <w:pPr>
        <w:pStyle w:val="Normal"/>
        <w:widowControl/>
        <w:jc w:val="both"/>
        <w:rPr>
          <w:b/>
          <w:sz w:val="24"/>
          <w:lang w:val="bg-BG"/>
        </w:rPr>
      </w:pPr>
      <w:r>
        <w:rPr>
          <w:b/>
          <w:sz w:val="24"/>
          <w:lang w:val="bg-BG"/>
        </w:rPr>
      </w:r>
    </w:p>
    <w:p>
      <w:pPr>
        <w:pStyle w:val="Normal"/>
        <w:widowControl/>
        <w:jc w:val="both"/>
        <w:rPr>
          <w:sz w:val="24"/>
          <w:lang w:val="bg-BG"/>
        </w:rPr>
      </w:pPr>
      <w:r>
        <w:rPr>
          <w:sz w:val="24"/>
          <w:lang w:val="bg-BG"/>
        </w:rPr>
        <w:t>С цел намаляване на рисковете и елиминиране на опасностите, организацията извършва периодична оценка на риска на работните места, особено когато настъпят изменения. Приоритетно се предприемат технически или административни мерки за тяхното овладяване.</w:t>
      </w:r>
    </w:p>
    <w:p>
      <w:pPr>
        <w:pStyle w:val="Normal"/>
        <w:widowControl/>
        <w:jc w:val="both"/>
        <w:rPr>
          <w:sz w:val="24"/>
          <w:lang w:val="en-US"/>
        </w:rPr>
      </w:pPr>
      <w:r>
        <w:rPr>
          <w:sz w:val="24"/>
          <w:lang w:val="bg-BG"/>
        </w:rPr>
        <w:t xml:space="preserve">Управлението на доставките се извършва, като преди доставка са изясняват всички възможни рискове, които могат да възникнат от доставката – изменение на факторите на работната среда като шум, прах, осветление и т.н. При доставката се извършва проверка за съответствие със нормативни или стандартизационни документи, удостоверяващо че предмета на доставка отговаря на тези изисквания. По отношение на оперативния контрол на подизпълнителите, работещи на територията на фирмата или на обекти на фирмата, отговорника по монтажа извършва преглед относно спазването на изискванията по безопасност от страна на подизпълнителя. Това се отразява с подпис в ежедневния инструктаж.  </w:t>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t>8. СВЪРЗАНИ ДОКУМЕНТИ</w:t>
      </w:r>
    </w:p>
    <w:p>
      <w:pPr>
        <w:pStyle w:val="Normal"/>
        <w:widowControl/>
        <w:jc w:val="both"/>
        <w:rPr>
          <w:b/>
          <w:sz w:val="24"/>
          <w:lang w:val="bg-BG"/>
        </w:rPr>
      </w:pPr>
      <w:r>
        <w:rPr>
          <w:b/>
          <w:sz w:val="24"/>
          <w:lang w:val="bg-BG"/>
        </w:rPr>
      </w:r>
    </w:p>
    <w:p>
      <w:pPr>
        <w:pStyle w:val="Normal"/>
        <w:widowControl/>
        <w:numPr>
          <w:ilvl w:val="0"/>
          <w:numId w:val="4"/>
        </w:numPr>
        <w:jc w:val="both"/>
        <w:rPr>
          <w:color w:val="000000"/>
          <w:sz w:val="24"/>
          <w:szCs w:val="24"/>
          <w:lang w:val="bg-BG"/>
        </w:rPr>
      </w:pPr>
      <w:r>
        <w:rPr>
          <w:sz w:val="24"/>
          <w:szCs w:val="24"/>
          <w:lang w:val="en-US"/>
        </w:rPr>
        <w:t>IP</w:t>
      </w:r>
      <w:r>
        <w:rPr>
          <w:sz w:val="24"/>
          <w:szCs w:val="24"/>
          <w:lang w:val="bg-BG"/>
        </w:rPr>
        <w:t xml:space="preserve"> 07.05.01 „Управление на документирана информация”</w:t>
      </w:r>
      <w:r>
        <w:rPr>
          <w:sz w:val="24"/>
          <w:szCs w:val="24"/>
          <w:lang w:val="ru-RU"/>
        </w:rPr>
        <w:t>;</w:t>
      </w:r>
    </w:p>
    <w:p>
      <w:pPr>
        <w:pStyle w:val="Normal"/>
        <w:widowControl/>
        <w:numPr>
          <w:ilvl w:val="0"/>
          <w:numId w:val="4"/>
        </w:numPr>
        <w:jc w:val="both"/>
        <w:rPr>
          <w:color w:val="000000"/>
          <w:sz w:val="24"/>
          <w:szCs w:val="24"/>
          <w:lang w:val="bg-BG"/>
        </w:rPr>
      </w:pPr>
      <w:r>
        <w:rPr>
          <w:color w:val="000000"/>
          <w:sz w:val="24"/>
          <w:szCs w:val="24"/>
          <w:lang w:val="en-US"/>
        </w:rPr>
        <w:t>POS</w:t>
      </w:r>
      <w:r>
        <w:rPr>
          <w:color w:val="000000"/>
          <w:sz w:val="24"/>
          <w:szCs w:val="24"/>
          <w:lang w:val="bg-BG"/>
        </w:rPr>
        <w:t xml:space="preserve"> 08.02.00 „Управление на извънредни ситуации”;</w:t>
      </w:r>
    </w:p>
    <w:p>
      <w:pPr>
        <w:pStyle w:val="Normal"/>
        <w:widowControl/>
        <w:numPr>
          <w:ilvl w:val="0"/>
          <w:numId w:val="4"/>
        </w:numPr>
        <w:jc w:val="both"/>
        <w:rPr>
          <w:color w:val="000000"/>
          <w:sz w:val="24"/>
          <w:szCs w:val="24"/>
          <w:lang w:val="bg-BG"/>
        </w:rPr>
      </w:pPr>
      <w:r>
        <w:rPr>
          <w:color w:val="000000"/>
          <w:sz w:val="24"/>
          <w:szCs w:val="24"/>
          <w:lang w:val="en-US"/>
        </w:rPr>
        <w:t>POS</w:t>
      </w:r>
      <w:r>
        <w:rPr>
          <w:color w:val="000000"/>
          <w:sz w:val="24"/>
          <w:szCs w:val="24"/>
          <w:lang w:val="bg-BG"/>
        </w:rPr>
        <w:t xml:space="preserve"> 09.01.00 „Мониторинг”</w:t>
      </w:r>
      <w:r>
        <w:rPr>
          <w:color w:val="000000"/>
          <w:sz w:val="24"/>
          <w:szCs w:val="24"/>
          <w:lang w:val="en-US"/>
        </w:rPr>
        <w:t>;</w:t>
      </w:r>
    </w:p>
    <w:p>
      <w:pPr>
        <w:pStyle w:val="Normal"/>
        <w:widowControl/>
        <w:numPr>
          <w:ilvl w:val="0"/>
          <w:numId w:val="4"/>
        </w:numPr>
        <w:jc w:val="both"/>
        <w:rPr>
          <w:bCs/>
          <w:sz w:val="24"/>
          <w:lang w:val="bg-BG"/>
        </w:rPr>
      </w:pPr>
      <w:r>
        <w:rPr>
          <w:color w:val="000000"/>
          <w:sz w:val="24"/>
          <w:szCs w:val="24"/>
          <w:lang w:val="en-US"/>
        </w:rPr>
        <w:t>IP</w:t>
      </w:r>
      <w:r>
        <w:rPr>
          <w:color w:val="000000"/>
          <w:sz w:val="24"/>
          <w:szCs w:val="24"/>
          <w:lang w:val="bg-BG"/>
        </w:rPr>
        <w:t xml:space="preserve"> 10.02.00 „Несъответствия и коригиращи действия”</w:t>
      </w:r>
      <w:r>
        <w:rPr>
          <w:color w:val="000000"/>
          <w:sz w:val="24"/>
          <w:szCs w:val="24"/>
          <w:lang w:val="en-US"/>
        </w:rPr>
        <w:t>:</w:t>
      </w:r>
    </w:p>
    <w:p>
      <w:pPr>
        <w:pStyle w:val="Normal"/>
        <w:widowControl/>
        <w:numPr>
          <w:ilvl w:val="0"/>
          <w:numId w:val="4"/>
        </w:numPr>
        <w:jc w:val="both"/>
        <w:rPr>
          <w:sz w:val="24"/>
          <w:szCs w:val="24"/>
          <w:lang w:val="ru-RU"/>
        </w:rPr>
      </w:pPr>
      <w:r>
        <w:rPr>
          <w:sz w:val="24"/>
          <w:szCs w:val="24"/>
          <w:lang w:val="en-US"/>
        </w:rPr>
        <w:t>IP</w:t>
      </w:r>
      <w:r>
        <w:rPr>
          <w:sz w:val="24"/>
          <w:szCs w:val="24"/>
          <w:lang w:val="bg-BG"/>
        </w:rPr>
        <w:t xml:space="preserve"> 09.02.02 „Вътрешни одити”</w:t>
      </w:r>
      <w:r>
        <w:rPr>
          <w:sz w:val="24"/>
          <w:szCs w:val="24"/>
          <w:lang w:val="ru-RU"/>
        </w:rPr>
        <w:t>.</w:t>
      </w:r>
    </w:p>
    <w:sectPr>
      <w:headerReference w:type="default" r:id="rId2"/>
      <w:headerReference w:type="first" r:id="rId3"/>
      <w:type w:val="nextPage"/>
      <w:pgSz w:w="11906" w:h="16838"/>
      <w:pgMar w:left="1418" w:right="567" w:gutter="0" w:header="567" w:top="851" w:footer="0"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Liberation Sans">
    <w:altName w:val="Arial"/>
    <w:charset w:val="cc" w:characterSet="windows-1251"/>
    <w:family w:val="swiss"/>
    <w:pitch w:val="variable"/>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31" w:type="dxa"/>
      <w:jc w:val="start"/>
      <w:tblInd w:w="0" w:type="dxa"/>
      <w:tblLayout w:type="fixed"/>
      <w:tblCellMar>
        <w:top w:w="0" w:type="dxa"/>
        <w:start w:w="108" w:type="dxa"/>
        <w:bottom w:w="0" w:type="dxa"/>
        <w:end w:w="108" w:type="dxa"/>
      </w:tblCellMar>
    </w:tblPr>
    <w:tblGrid>
      <w:gridCol w:w="7905"/>
      <w:gridCol w:w="1134"/>
      <w:gridCol w:w="992"/>
    </w:tblGrid>
    <w:tr>
      <w:trPr>
        <w:cantSplit/>
      </w:trPr>
      <w:tc>
        <w:tcPr>
          <w:tcW w:w="7905" w:type="dxa"/>
          <w:tcBorders>
            <w:top w:val="single" w:sz="12" w:space="0" w:color="000000"/>
            <w:start w:val="single" w:sz="12" w:space="0" w:color="000000"/>
            <w:bottom w:val="single" w:sz="6" w:space="0" w:color="000000"/>
            <w:end w:val="single" w:sz="12" w:space="0" w:color="000000"/>
          </w:tcBorders>
        </w:tcPr>
        <w:p>
          <w:pPr>
            <w:pStyle w:val="Header"/>
            <w:widowControl/>
            <w:rPr>
              <w:lang w:val="bg-BG"/>
            </w:rPr>
          </w:pPr>
          <w:r>
            <w:rPr>
              <w:b/>
              <w:lang w:val="en-US"/>
            </w:rPr>
            <w:t xml:space="preserve">IP </w:t>
          </w:r>
          <w:r>
            <w:rPr>
              <w:b/>
              <w:lang w:val="ru-RU"/>
            </w:rPr>
            <w:t>08</w:t>
          </w:r>
          <w:r>
            <w:rPr>
              <w:b/>
              <w:lang w:val="bg-BG"/>
            </w:rPr>
            <w:t>.01.00</w:t>
          </w:r>
        </w:p>
      </w:tc>
      <w:tc>
        <w:tcPr>
          <w:tcW w:w="1134" w:type="dxa"/>
          <w:tcBorders>
            <w:top w:val="single" w:sz="12" w:space="0" w:color="000000"/>
            <w:bottom w:val="single" w:sz="6" w:space="0" w:color="000000"/>
            <w:end w:val="single" w:sz="6" w:space="0" w:color="000000"/>
          </w:tcBorders>
          <w:vAlign w:val="center"/>
        </w:tcPr>
        <w:p>
          <w:pPr>
            <w:pStyle w:val="Header"/>
            <w:widowControl/>
            <w:jc w:val="end"/>
            <w:rPr>
              <w:lang w:val="bg-BG"/>
            </w:rPr>
          </w:pPr>
          <w:r>
            <w:rPr>
              <w:lang w:val="ru-RU"/>
            </w:rPr>
            <w:t>Версия</w:t>
          </w:r>
        </w:p>
      </w:tc>
      <w:tc>
        <w:tcPr>
          <w:tcW w:w="992" w:type="dxa"/>
          <w:tcBorders>
            <w:top w:val="single" w:sz="12" w:space="0" w:color="000000"/>
            <w:start w:val="single" w:sz="6" w:space="0" w:color="000000"/>
            <w:bottom w:val="single" w:sz="6" w:space="0" w:color="000000"/>
            <w:end w:val="single" w:sz="12" w:space="0" w:color="000000"/>
          </w:tcBorders>
          <w:vAlign w:val="center"/>
        </w:tcPr>
        <w:p>
          <w:pPr>
            <w:pStyle w:val="Header"/>
            <w:widowControl/>
            <w:jc w:val="center"/>
            <w:rPr>
              <w:lang w:val="bg-BG"/>
            </w:rPr>
          </w:pPr>
          <w:r>
            <w:rPr>
              <w:lang w:val="bg-BG"/>
            </w:rPr>
            <w:t>01</w:t>
          </w:r>
        </w:p>
      </w:tc>
    </w:tr>
    <w:tr>
      <w:trPr>
        <w:cantSplit/>
      </w:trPr>
      <w:tc>
        <w:tcPr>
          <w:tcW w:w="7905" w:type="dxa"/>
          <w:tcBorders>
            <w:top w:val="single" w:sz="6" w:space="0" w:color="000000"/>
            <w:start w:val="single" w:sz="12" w:space="0" w:color="000000"/>
            <w:bottom w:val="single" w:sz="12" w:space="0" w:color="000000"/>
            <w:end w:val="single" w:sz="12" w:space="0" w:color="000000"/>
          </w:tcBorders>
        </w:tcPr>
        <w:p>
          <w:pPr>
            <w:pStyle w:val="Header"/>
            <w:widowControl/>
            <w:rPr>
              <w:lang w:val="bg-BG"/>
            </w:rPr>
          </w:pPr>
          <w:r>
            <w:rPr>
              <w:lang w:val="en-US"/>
            </w:rPr>
            <w:t>ISO 14001:2015; ISO 45001:2018</w:t>
          </w:r>
        </w:p>
      </w:tc>
      <w:tc>
        <w:tcPr>
          <w:tcW w:w="1134" w:type="dxa"/>
          <w:tcBorders>
            <w:top w:val="single" w:sz="6" w:space="0" w:color="000000"/>
            <w:bottom w:val="single" w:sz="12" w:space="0" w:color="000000"/>
            <w:end w:val="single" w:sz="6" w:space="0" w:color="000000"/>
          </w:tcBorders>
          <w:vAlign w:val="center"/>
        </w:tcPr>
        <w:p>
          <w:pPr>
            <w:pStyle w:val="Header"/>
            <w:widowControl/>
            <w:jc w:val="end"/>
            <w:rPr>
              <w:lang w:val="bg-BG"/>
            </w:rPr>
          </w:pPr>
          <w:r>
            <w:rPr>
              <w:lang w:val="bg-BG"/>
            </w:rPr>
            <w:t>Стр.</w:t>
          </w:r>
        </w:p>
      </w:tc>
      <w:tc>
        <w:tcPr>
          <w:tcW w:w="992" w:type="dxa"/>
          <w:tcBorders>
            <w:top w:val="single" w:sz="6" w:space="0" w:color="000000"/>
            <w:start w:val="single" w:sz="6" w:space="0" w:color="000000"/>
            <w:bottom w:val="single" w:sz="12" w:space="0" w:color="000000"/>
            <w:end w:val="single" w:sz="12" w:space="0" w:color="000000"/>
          </w:tcBorders>
          <w:vAlign w:val="center"/>
        </w:tcPr>
        <w:p>
          <w:pPr>
            <w:pStyle w:val="Header"/>
            <w:widowControl/>
            <w:jc w:val="center"/>
            <w:rPr>
              <w:lang w:val="bg-BG"/>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r>
            <w:rPr>
              <w:lang w:val="bg-BG"/>
            </w:rPr>
            <w:t>/</w:t>
          </w:r>
          <w:r>
            <w:rPr>
              <w:rStyle w:val="PageNumber"/>
            </w:rPr>
            <w:fldChar w:fldCharType="begin"/>
          </w:r>
          <w:r>
            <w:rPr>
              <w:rStyle w:val="PageNumber"/>
            </w:rPr>
            <w:instrText xml:space="preserve"> NUMPAGES \* ARABIC </w:instrText>
          </w:r>
          <w:r>
            <w:rPr>
              <w:rStyle w:val="PageNumber"/>
            </w:rPr>
            <w:fldChar w:fldCharType="separate"/>
          </w:r>
          <w:r>
            <w:rPr>
              <w:rStyle w:val="PageNumber"/>
            </w:rPr>
            <w:t>5</w:t>
          </w:r>
          <w:r>
            <w:rPr>
              <w:rStyle w:val="PageNumber"/>
            </w:rPr>
            <w:fldChar w:fldCharType="end"/>
          </w:r>
        </w:p>
      </w:tc>
    </w:tr>
    <w:tr>
      <w:trPr>
        <w:cantSplit/>
      </w:trPr>
      <w:tc>
        <w:tcPr>
          <w:tcW w:w="10031" w:type="dxa"/>
          <w:gridSpan w:val="3"/>
          <w:tcBorders>
            <w:top w:val="single" w:sz="12" w:space="0" w:color="000000"/>
            <w:start w:val="single" w:sz="12" w:space="0" w:color="000000"/>
            <w:bottom w:val="single" w:sz="12" w:space="0" w:color="000000"/>
            <w:end w:val="single" w:sz="12" w:space="0" w:color="000000"/>
          </w:tcBorders>
        </w:tcPr>
        <w:p>
          <w:pPr>
            <w:pStyle w:val="Header"/>
            <w:widowControl/>
            <w:jc w:val="center"/>
            <w:rPr>
              <w:b/>
              <w:lang w:val="bg-BG"/>
            </w:rPr>
          </w:pPr>
          <w:r>
            <w:rPr>
              <w:b/>
              <w:lang w:val="bg-BG"/>
            </w:rPr>
            <w:t>ОПЕРАТИВНО УПРАВЛЕНИЕ</w:t>
          </w:r>
        </w:p>
      </w:tc>
    </w:tr>
  </w:tbl>
  <w:p>
    <w:pPr>
      <w:pStyle w:val="Header"/>
      <w:rPr>
        <w:lang w:val="ru-RU"/>
      </w:rPr>
    </w:pPr>
    <w:r>
      <w:rPr>
        <w:lang w:val="ru-RU"/>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42" w:type="dxa"/>
      <w:jc w:val="start"/>
      <w:tblInd w:w="-34" w:type="dxa"/>
      <w:tblLayout w:type="fixed"/>
      <w:tblCellMar>
        <w:top w:w="0" w:type="dxa"/>
        <w:start w:w="108" w:type="dxa"/>
        <w:bottom w:w="0" w:type="dxa"/>
        <w:end w:w="108" w:type="dxa"/>
      </w:tblCellMar>
    </w:tblPr>
    <w:tblGrid>
      <w:gridCol w:w="3119"/>
      <w:gridCol w:w="4403"/>
      <w:gridCol w:w="1260"/>
      <w:gridCol w:w="1260"/>
    </w:tblGrid>
    <w:tr>
      <w:trPr>
        <w:cantSplit/>
      </w:trPr>
      <w:tc>
        <w:tcPr>
          <w:tcW w:w="3119" w:type="dxa"/>
          <w:vMerge w:val="restart"/>
          <w:tcBorders>
            <w:top w:val="single" w:sz="12" w:space="0" w:color="000000"/>
            <w:start w:val="single" w:sz="12" w:space="0" w:color="000000"/>
            <w:end w:val="single" w:sz="12" w:space="0" w:color="000000"/>
          </w:tcBorders>
          <w:vAlign w:val="center"/>
        </w:tcPr>
        <w:p>
          <w:pPr>
            <w:pStyle w:val="Normal"/>
            <w:jc w:val="center"/>
            <w:rPr>
              <w:lang w:val="en-US"/>
            </w:rPr>
          </w:pPr>
          <w:r>
            <w:rPr>
              <w:rFonts w:cs="Arial" w:ascii="Arial" w:hAnsi="Arial"/>
            </w:rPr>
            <w:t>"ЕКОБУЛ ПАРТНЕР" ООД</w:t>
          </w:r>
        </w:p>
      </w:tc>
      <w:tc>
        <w:tcPr>
          <w:tcW w:w="4403" w:type="dxa"/>
          <w:tcBorders>
            <w:top w:val="single" w:sz="12" w:space="0" w:color="000000"/>
            <w:bottom w:val="single" w:sz="6" w:space="0" w:color="000000"/>
            <w:end w:val="single" w:sz="12" w:space="0" w:color="000000"/>
          </w:tcBorders>
        </w:tcPr>
        <w:p>
          <w:pPr>
            <w:pStyle w:val="Header"/>
            <w:widowControl/>
            <w:rPr>
              <w:lang w:val="bg-BG"/>
            </w:rPr>
          </w:pPr>
          <w:r>
            <w:rPr>
              <w:b/>
              <w:lang w:val="en-US"/>
            </w:rPr>
            <w:t>IP 0</w:t>
          </w:r>
          <w:r>
            <w:rPr>
              <w:b/>
              <w:lang w:val="bg-BG"/>
            </w:rPr>
            <w:t>8</w:t>
          </w:r>
          <w:r>
            <w:rPr>
              <w:b/>
              <w:lang w:val="en-US"/>
            </w:rPr>
            <w:t>.0</w:t>
          </w:r>
          <w:r>
            <w:rPr>
              <w:b/>
              <w:lang w:val="bg-BG"/>
            </w:rPr>
            <w:t>1.00</w:t>
          </w:r>
        </w:p>
      </w:tc>
      <w:tc>
        <w:tcPr>
          <w:tcW w:w="1260" w:type="dxa"/>
          <w:tcBorders>
            <w:top w:val="single" w:sz="12" w:space="0" w:color="000000"/>
            <w:bottom w:val="single" w:sz="6" w:space="0" w:color="000000"/>
            <w:end w:val="single" w:sz="6" w:space="0" w:color="000000"/>
          </w:tcBorders>
        </w:tcPr>
        <w:p>
          <w:pPr>
            <w:pStyle w:val="Header"/>
            <w:widowControl/>
            <w:rPr>
              <w:lang w:val="bg-BG"/>
            </w:rPr>
          </w:pPr>
          <w:r>
            <w:rPr>
              <w:lang w:val="en-US"/>
            </w:rPr>
            <w:t>Версия</w:t>
          </w:r>
        </w:p>
      </w:tc>
      <w:tc>
        <w:tcPr>
          <w:tcW w:w="1260" w:type="dxa"/>
          <w:tcBorders>
            <w:top w:val="single" w:sz="12" w:space="0" w:color="000000"/>
            <w:start w:val="single" w:sz="6" w:space="0" w:color="000000"/>
            <w:bottom w:val="single" w:sz="6" w:space="0" w:color="000000"/>
            <w:end w:val="single" w:sz="12" w:space="0" w:color="000000"/>
          </w:tcBorders>
        </w:tcPr>
        <w:p>
          <w:pPr>
            <w:pStyle w:val="Header"/>
            <w:widowControl/>
            <w:jc w:val="center"/>
            <w:rPr>
              <w:lang w:val="bg-BG"/>
            </w:rPr>
          </w:pPr>
          <w:r>
            <w:rPr>
              <w:lang w:val="bg-BG"/>
            </w:rPr>
            <w:t>01</w:t>
          </w:r>
        </w:p>
      </w:tc>
    </w:tr>
    <w:tr>
      <w:trPr>
        <w:cantSplit/>
      </w:trPr>
      <w:tc>
        <w:tcPr>
          <w:tcW w:w="3119" w:type="dxa"/>
          <w:vMerge w:val="continue"/>
          <w:tcBorders>
            <w:top w:val="single" w:sz="12" w:space="0" w:color="000000"/>
            <w:start w:val="single" w:sz="12" w:space="0" w:color="000000"/>
            <w:end w:val="single" w:sz="12" w:space="0" w:color="000000"/>
          </w:tcBorders>
          <w:vAlign w:val="center"/>
        </w:tcPr>
        <w:p>
          <w:pPr>
            <w:pStyle w:val="Header"/>
            <w:snapToGrid w:val="false"/>
            <w:jc w:val="center"/>
            <w:rPr>
              <w:lang w:val="en-US"/>
            </w:rPr>
          </w:pPr>
          <w:r>
            <w:rPr>
              <w:lang w:val="en-US"/>
            </w:rPr>
          </w:r>
        </w:p>
      </w:tc>
      <w:tc>
        <w:tcPr>
          <w:tcW w:w="4403" w:type="dxa"/>
          <w:tcBorders>
            <w:top w:val="single" w:sz="6" w:space="0" w:color="000000"/>
            <w:bottom w:val="single" w:sz="12" w:space="0" w:color="000000"/>
            <w:end w:val="single" w:sz="12" w:space="0" w:color="000000"/>
          </w:tcBorders>
        </w:tcPr>
        <w:p>
          <w:pPr>
            <w:pStyle w:val="Header"/>
            <w:widowControl/>
            <w:rPr>
              <w:lang w:val="bg-BG"/>
            </w:rPr>
          </w:pPr>
          <w:r>
            <w:rPr>
              <w:lang w:val="en-US"/>
            </w:rPr>
            <w:t>ISO 14001:2015; ISO 45001:2018</w:t>
          </w:r>
        </w:p>
      </w:tc>
      <w:tc>
        <w:tcPr>
          <w:tcW w:w="1260" w:type="dxa"/>
          <w:tcBorders>
            <w:top w:val="single" w:sz="6" w:space="0" w:color="000000"/>
            <w:bottom w:val="single" w:sz="12" w:space="0" w:color="000000"/>
            <w:end w:val="single" w:sz="6" w:space="0" w:color="000000"/>
          </w:tcBorders>
        </w:tcPr>
        <w:p>
          <w:pPr>
            <w:pStyle w:val="Header"/>
            <w:widowControl/>
            <w:rPr>
              <w:lang w:val="bg-BG"/>
            </w:rPr>
          </w:pPr>
          <w:r>
            <w:rPr>
              <w:lang w:val="bg-BG"/>
            </w:rPr>
            <w:t>Стр.</w:t>
          </w:r>
        </w:p>
      </w:tc>
      <w:tc>
        <w:tcPr>
          <w:tcW w:w="1260" w:type="dxa"/>
          <w:tcBorders>
            <w:top w:val="single" w:sz="6" w:space="0" w:color="000000"/>
            <w:start w:val="single" w:sz="6" w:space="0" w:color="000000"/>
            <w:bottom w:val="single" w:sz="12" w:space="0" w:color="000000"/>
            <w:end w:val="single" w:sz="12" w:space="0" w:color="000000"/>
          </w:tcBorders>
        </w:tcPr>
        <w:p>
          <w:pPr>
            <w:pStyle w:val="Header"/>
            <w:widowControl/>
            <w:jc w:val="center"/>
            <w:rPr>
              <w:lang w:val="bg-BG"/>
            </w:rPr>
          </w:pPr>
          <w:r>
            <w:rPr>
              <w:lang w:val="bg-BG"/>
            </w:rPr>
            <w:t>1/</w:t>
          </w:r>
          <w:r>
            <w:rPr>
              <w:lang w:val="en-US"/>
            </w:rPr>
            <w:t>4</w:t>
          </w:r>
        </w:p>
      </w:tc>
    </w:tr>
    <w:tr>
      <w:trPr>
        <w:trHeight w:val="833" w:hRule="atLeast"/>
        <w:cantSplit/>
      </w:trPr>
      <w:tc>
        <w:tcPr>
          <w:tcW w:w="3119" w:type="dxa"/>
          <w:vMerge w:val="continue"/>
          <w:tcBorders>
            <w:top w:val="single" w:sz="12" w:space="0" w:color="000000"/>
            <w:start w:val="single" w:sz="12" w:space="0" w:color="000000"/>
            <w:end w:val="single" w:sz="12" w:space="0" w:color="000000"/>
          </w:tcBorders>
          <w:vAlign w:val="center"/>
        </w:tcPr>
        <w:p>
          <w:pPr>
            <w:pStyle w:val="Header"/>
            <w:widowControl/>
            <w:snapToGrid w:val="false"/>
            <w:jc w:val="center"/>
            <w:rPr>
              <w:lang w:val="bg-BG"/>
            </w:rPr>
          </w:pPr>
          <w:r>
            <w:rPr>
              <w:lang w:val="bg-BG"/>
            </w:rPr>
          </w:r>
        </w:p>
      </w:tc>
      <w:tc>
        <w:tcPr>
          <w:tcW w:w="4403" w:type="dxa"/>
          <w:tcBorders>
            <w:top w:val="single" w:sz="12" w:space="0" w:color="000000"/>
            <w:bottom w:val="single" w:sz="12" w:space="0" w:color="000000"/>
            <w:end w:val="single" w:sz="12" w:space="0" w:color="000000"/>
          </w:tcBorders>
          <w:vAlign w:val="center"/>
        </w:tcPr>
        <w:p>
          <w:pPr>
            <w:pStyle w:val="Header"/>
            <w:widowControl/>
            <w:jc w:val="center"/>
            <w:rPr>
              <w:lang w:val="bg-BG"/>
            </w:rPr>
          </w:pPr>
          <w:r>
            <w:rPr>
              <w:b/>
              <w:lang w:val="bg-BG"/>
            </w:rPr>
            <w:t>ОПЕРАТИВНО УПРАВЛЕНИЕ</w:t>
          </w:r>
        </w:p>
      </w:tc>
      <w:tc>
        <w:tcPr>
          <w:tcW w:w="1260" w:type="dxa"/>
          <w:tcBorders>
            <w:top w:val="single" w:sz="12" w:space="0" w:color="000000"/>
            <w:bottom w:val="single" w:sz="12" w:space="0" w:color="000000"/>
            <w:end w:val="single" w:sz="6" w:space="0" w:color="000000"/>
          </w:tcBorders>
          <w:vAlign w:val="bottom"/>
        </w:tcPr>
        <w:p>
          <w:pPr>
            <w:pStyle w:val="Header"/>
            <w:widowControl/>
            <w:rPr>
              <w:lang w:val="bg-BG"/>
            </w:rPr>
          </w:pPr>
          <w:r>
            <w:rPr>
              <w:lang w:val="bg-BG"/>
            </w:rPr>
            <w:t>Подпис:</w:t>
          </w:r>
        </w:p>
      </w:tc>
      <w:tc>
        <w:tcPr>
          <w:tcW w:w="1260" w:type="dxa"/>
          <w:tcBorders>
            <w:top w:val="single" w:sz="12" w:space="0" w:color="000000"/>
            <w:start w:val="single" w:sz="6" w:space="0" w:color="000000"/>
            <w:bottom w:val="single" w:sz="12" w:space="0" w:color="000000"/>
            <w:end w:val="single" w:sz="12" w:space="0" w:color="000000"/>
          </w:tcBorders>
          <w:vAlign w:val="bottom"/>
        </w:tcPr>
        <w:p>
          <w:pPr>
            <w:pStyle w:val="Header"/>
            <w:widowControl/>
            <w:rPr>
              <w:lang w:val="bg-BG"/>
            </w:rPr>
          </w:pPr>
          <w:r>
            <w:rPr>
              <w:lang w:val="bg-BG"/>
            </w:rPr>
            <w:t>Дата:</w:t>
          </w:r>
        </w:p>
      </w:tc>
    </w:tr>
    <w:tr>
      <w:trPr>
        <w:cantSplit/>
      </w:trPr>
      <w:tc>
        <w:tcPr>
          <w:tcW w:w="3119" w:type="dxa"/>
          <w:tcBorders>
            <w:top w:val="single" w:sz="12" w:space="0" w:color="000000"/>
            <w:start w:val="single" w:sz="12" w:space="0" w:color="000000"/>
            <w:bottom w:val="single" w:sz="6" w:space="0" w:color="000000"/>
            <w:end w:val="single" w:sz="12" w:space="0" w:color="000000"/>
          </w:tcBorders>
        </w:tcPr>
        <w:p>
          <w:pPr>
            <w:pStyle w:val="Header"/>
            <w:widowControl/>
            <w:rPr>
              <w:lang w:val="bg-BG"/>
            </w:rPr>
          </w:pPr>
          <w:r>
            <w:rPr>
              <w:lang w:val="bg-BG"/>
            </w:rPr>
            <w:t>Разработил:</w:t>
          </w:r>
        </w:p>
      </w:tc>
      <w:tc>
        <w:tcPr>
          <w:tcW w:w="4403" w:type="dxa"/>
          <w:tcBorders>
            <w:top w:val="single" w:sz="12" w:space="0" w:color="000000"/>
            <w:start w:val="single" w:sz="12" w:space="0" w:color="000000"/>
            <w:bottom w:val="single" w:sz="6" w:space="0" w:color="000000"/>
            <w:end w:val="single" w:sz="12" w:space="0" w:color="000000"/>
          </w:tcBorders>
        </w:tcPr>
        <w:p>
          <w:pPr>
            <w:pStyle w:val="Header"/>
            <w:widowControl/>
            <w:rPr>
              <w:lang w:val="bg-BG"/>
            </w:rPr>
          </w:pPr>
          <w:r>
            <w:rPr>
              <w:lang w:val="bg-BG"/>
            </w:rPr>
            <w:t>Мениджър по управление</w:t>
          </w:r>
        </w:p>
      </w:tc>
      <w:tc>
        <w:tcPr>
          <w:tcW w:w="1260" w:type="dxa"/>
          <w:tcBorders>
            <w:top w:val="single" w:sz="12" w:space="0" w:color="000000"/>
            <w:bottom w:val="single" w:sz="6" w:space="0" w:color="000000"/>
            <w:end w:val="single" w:sz="6" w:space="0" w:color="000000"/>
          </w:tcBorders>
        </w:tcPr>
        <w:p>
          <w:pPr>
            <w:pStyle w:val="Header"/>
            <w:widowControl/>
            <w:snapToGrid w:val="false"/>
            <w:rPr>
              <w:lang w:val="bg-BG"/>
            </w:rPr>
          </w:pPr>
          <w:r>
            <w:rPr>
              <w:lang w:val="bg-BG"/>
            </w:rPr>
          </w:r>
        </w:p>
      </w:tc>
      <w:tc>
        <w:tcPr>
          <w:tcW w:w="1260" w:type="dxa"/>
          <w:tcBorders>
            <w:top w:val="single" w:sz="12" w:space="0" w:color="000000"/>
            <w:start w:val="single" w:sz="6" w:space="0" w:color="000000"/>
            <w:bottom w:val="single" w:sz="6" w:space="0" w:color="000000"/>
            <w:end w:val="single" w:sz="12" w:space="0" w:color="000000"/>
          </w:tcBorders>
        </w:tcPr>
        <w:p>
          <w:pPr>
            <w:pStyle w:val="Normal"/>
            <w:rPr>
              <w:lang w:val="bg-BG"/>
            </w:rPr>
          </w:pPr>
          <w:r>
            <w:rPr/>
            <w:t>03</w:t>
          </w:r>
          <w:r>
            <w:rPr>
              <w:lang w:val="bg-BG"/>
            </w:rPr>
            <w:t>.</w:t>
          </w:r>
          <w:r>
            <w:rPr/>
            <w:t>07</w:t>
          </w:r>
          <w:r>
            <w:rPr>
              <w:lang w:val="bg-BG"/>
            </w:rPr>
            <w:t>.</w:t>
          </w:r>
          <w:r>
            <w:rPr/>
            <w:t>20</w:t>
          </w:r>
          <w:r>
            <w:rPr>
              <w:lang w:val="bg-BG"/>
            </w:rPr>
            <w:t>21</w:t>
          </w:r>
        </w:p>
      </w:tc>
    </w:tr>
    <w:tr>
      <w:trPr>
        <w:cantSplit/>
      </w:trPr>
      <w:tc>
        <w:tcPr>
          <w:tcW w:w="3119" w:type="dxa"/>
          <w:tcBorders>
            <w:top w:val="single" w:sz="6" w:space="0" w:color="000000"/>
            <w:start w:val="single" w:sz="12" w:space="0" w:color="000000"/>
            <w:bottom w:val="single" w:sz="12" w:space="0" w:color="000000"/>
            <w:end w:val="single" w:sz="12" w:space="0" w:color="000000"/>
          </w:tcBorders>
        </w:tcPr>
        <w:p>
          <w:pPr>
            <w:pStyle w:val="Header"/>
            <w:widowControl/>
            <w:rPr/>
          </w:pPr>
          <w:r>
            <w:rPr>
              <w:lang w:val="en-US"/>
            </w:rPr>
            <w:t>Утвърдил</w:t>
          </w:r>
          <w:r>
            <w:rPr>
              <w:lang w:val="bg-BG"/>
            </w:rPr>
            <w:t>:</w:t>
          </w:r>
        </w:p>
      </w:tc>
      <w:tc>
        <w:tcPr>
          <w:tcW w:w="4403" w:type="dxa"/>
          <w:tcBorders>
            <w:top w:val="single" w:sz="6" w:space="0" w:color="000000"/>
            <w:start w:val="single" w:sz="12" w:space="0" w:color="000000"/>
            <w:bottom w:val="single" w:sz="12" w:space="0" w:color="000000"/>
            <w:end w:val="single" w:sz="12" w:space="0" w:color="000000"/>
          </w:tcBorders>
        </w:tcPr>
        <w:p>
          <w:pPr>
            <w:pStyle w:val="Header"/>
            <w:widowControl/>
            <w:rPr>
              <w:lang w:val="bg-BG"/>
            </w:rPr>
          </w:pPr>
          <w:r>
            <w:rPr>
              <w:lang w:val="bg-BG"/>
            </w:rPr>
            <w:t>Управител</w:t>
          </w:r>
        </w:p>
      </w:tc>
      <w:tc>
        <w:tcPr>
          <w:tcW w:w="1260" w:type="dxa"/>
          <w:tcBorders>
            <w:top w:val="single" w:sz="6" w:space="0" w:color="000000"/>
            <w:bottom w:val="single" w:sz="12" w:space="0" w:color="000000"/>
            <w:end w:val="single" w:sz="6" w:space="0" w:color="000000"/>
          </w:tcBorders>
        </w:tcPr>
        <w:p>
          <w:pPr>
            <w:pStyle w:val="Header"/>
            <w:widowControl/>
            <w:snapToGrid w:val="false"/>
            <w:rPr>
              <w:lang w:val="bg-BG"/>
            </w:rPr>
          </w:pPr>
          <w:r>
            <w:rPr>
              <w:lang w:val="bg-BG"/>
            </w:rPr>
          </w:r>
        </w:p>
      </w:tc>
      <w:tc>
        <w:tcPr>
          <w:tcW w:w="1260" w:type="dxa"/>
          <w:tcBorders>
            <w:top w:val="single" w:sz="6" w:space="0" w:color="000000"/>
            <w:start w:val="single" w:sz="6" w:space="0" w:color="000000"/>
            <w:bottom w:val="single" w:sz="12" w:space="0" w:color="000000"/>
            <w:end w:val="single" w:sz="12" w:space="0" w:color="000000"/>
          </w:tcBorders>
        </w:tcPr>
        <w:p>
          <w:pPr>
            <w:pStyle w:val="Normal"/>
            <w:rPr>
              <w:lang w:val="bg-BG"/>
            </w:rPr>
          </w:pPr>
          <w:r>
            <w:rPr/>
            <w:t>03</w:t>
          </w:r>
          <w:r>
            <w:rPr>
              <w:lang w:val="bg-BG"/>
            </w:rPr>
            <w:t>.</w:t>
          </w:r>
          <w:r>
            <w:rPr/>
            <w:t>07</w:t>
          </w:r>
          <w:r>
            <w:rPr>
              <w:lang w:val="bg-BG"/>
            </w:rPr>
            <w:t>.</w:t>
          </w:r>
          <w:r>
            <w:rPr/>
            <w:t>20</w:t>
          </w:r>
          <w:r>
            <w:rPr>
              <w:lang w:val="bg-BG"/>
            </w:rPr>
            <w:t>21</w:t>
          </w:r>
        </w:p>
      </w:tc>
    </w:tr>
  </w:tbl>
  <w:p>
    <w:pPr>
      <w:pStyle w:val="Header"/>
      <w:rPr>
        <w:lang w:val="en-US"/>
      </w:rPr>
    </w:pPr>
    <w:r>
      <w:rPr>
        <w:lang w:val="en-U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360"/>
        </w:tabs>
        <w:ind w:start="340" w:hanging="340"/>
      </w:pPr>
      <w:rPr>
        <w:rFonts w:ascii="Symbol" w:hAnsi="Symbol" w:cs="Symbol" w:hint="default"/>
      </w:rPr>
    </w:lvl>
  </w:abstractNum>
  <w:abstractNum w:abstractNumId="4">
    <w:lvl w:ilvl="0">
      <w:start w:val="1"/>
      <w:numFmt w:val="bullet"/>
      <w:lvlText w:val=""/>
      <w:lvlJc w:val="start"/>
      <w:pPr>
        <w:tabs>
          <w:tab w:val="num" w:pos="360"/>
        </w:tabs>
        <w:ind w:start="360" w:hanging="360"/>
      </w:pPr>
      <w:rPr>
        <w:rFonts w:ascii="Symbol" w:hAnsi="Symbol" w:cs="Symbol" w:hint="default"/>
      </w:rPr>
    </w:lvl>
  </w:abstractNum>
  <w:abstractNum w:abstractNumId="5">
    <w:lvl w:ilvl="0">
      <w:start w:val="1"/>
      <w:numFmt w:val="decimal"/>
      <w:lvlText w:val="%1."/>
      <w:lvlJc w:val="start"/>
      <w:pPr>
        <w:tabs>
          <w:tab w:val="num" w:pos="720"/>
        </w:tabs>
        <w:ind w:start="720" w:hanging="720"/>
      </w:pPr>
      <w:rPr/>
    </w:lvl>
    <w:lvl w:ilvl="1">
      <w:start w:val="1"/>
      <w:numFmt w:val="decimal"/>
      <w:lvlText w:val="%1.%2."/>
      <w:lvlJc w:val="start"/>
      <w:pPr>
        <w:tabs>
          <w:tab w:val="num" w:pos="720"/>
        </w:tabs>
        <w:ind w:start="720" w:hanging="72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6">
    <w:lvl w:ilvl="0">
      <w:start w:val="1"/>
      <w:numFmt w:val="bullet"/>
      <w:lvlText w:val=""/>
      <w:lvlJc w:val="start"/>
      <w:pPr>
        <w:tabs>
          <w:tab w:val="num" w:pos="360"/>
        </w:tabs>
        <w:ind w:start="0" w:hanging="0"/>
      </w:pPr>
      <w:rPr>
        <w:rFonts w:ascii="Symbol" w:hAnsi="Symbol" w:cs="Symbol" w:hint="default"/>
      </w:r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abstractNum w:abstractNumId="8">
    <w:lvl w:ilvl="0">
      <w:start w:val="1"/>
      <w:numFmt w:val="bullet"/>
      <w:lvlText w:val=""/>
      <w:lvlJc w:val="start"/>
      <w:pPr>
        <w:tabs>
          <w:tab w:val="num" w:pos="360"/>
        </w:tabs>
        <w:ind w:start="0" w:hanging="0"/>
      </w:pPr>
      <w:rPr>
        <w:rFonts w:ascii="Symbol" w:hAnsi="Symbol" w:cs="Symbol" w:hint="default"/>
      </w:rPr>
    </w:lvl>
  </w:abstractNum>
  <w:abstractNum w:abstractNumId="9">
    <w:lvl w:ilvl="0">
      <w:start w:val="1"/>
      <w:numFmt w:val="bullet"/>
      <w:lvlText w:val=""/>
      <w:lvlJc w:val="start"/>
      <w:pPr>
        <w:tabs>
          <w:tab w:val="num" w:pos="360"/>
        </w:tabs>
        <w:ind w:start="0" w:hanging="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80"/>
        </w:tabs>
        <w:ind w:start="780" w:hanging="360"/>
      </w:pPr>
      <w:rPr>
        <w:rFonts w:ascii="Symbol" w:hAnsi="Symbol" w:cs="Symbol" w:hint="default"/>
      </w:rPr>
    </w:lvl>
  </w:abstractNum>
  <w:abstractNum w:abstractNumId="12">
    <w:lvl w:ilvl="0">
      <w:start w:val="1"/>
      <w:numFmt w:val="bullet"/>
      <w:lvlText w:val="-"/>
      <w:lvlJc w:val="start"/>
      <w:pPr>
        <w:tabs>
          <w:tab w:val="num" w:pos="360"/>
        </w:tabs>
        <w:ind w:start="360" w:hanging="360"/>
      </w:pPr>
      <w:rPr>
        <w:rFonts w:ascii="Liberation Serif" w:hAnsi="Liberation Serif" w:cs="Liberation Serif" w:hint="default"/>
      </w:rPr>
    </w:lvl>
  </w:abstractNum>
  <w:abstractNum w:abstractNumId="13">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widowControl/>
      <w:numPr>
        <w:ilvl w:val="0"/>
        <w:numId w:val="1"/>
      </w:numPr>
      <w:outlineLvl w:val="0"/>
    </w:pPr>
    <w:rPr>
      <w:rFonts w:ascii="Arial" w:hAnsi="Arial" w:cs="Arial"/>
      <w:b/>
      <w:lang w:val="bg-BG"/>
    </w:rPr>
  </w:style>
  <w:style w:type="paragraph" w:styleId="Heading2">
    <w:name w:val="heading 2"/>
    <w:basedOn w:val="Normal"/>
    <w:next w:val="Normal"/>
    <w:qFormat/>
    <w:pPr>
      <w:keepNext w:val="true"/>
      <w:widowControl/>
      <w:numPr>
        <w:ilvl w:val="1"/>
        <w:numId w:val="1"/>
      </w:numPr>
      <w:jc w:val="both"/>
      <w:outlineLvl w:val="1"/>
    </w:pPr>
    <w:rPr>
      <w:bCs/>
      <w:i/>
      <w:sz w:val="24"/>
      <w:lang w:val="bg-BG"/>
    </w:rPr>
  </w:style>
  <w:style w:type="paragraph" w:styleId="Heading7">
    <w:name w:val="heading 7"/>
    <w:basedOn w:val="Normal"/>
    <w:next w:val="Normal"/>
    <w:qFormat/>
    <w:pPr>
      <w:numPr>
        <w:ilvl w:val="6"/>
        <w:numId w:val="1"/>
      </w:numPr>
      <w:spacing w:before="240" w:after="60"/>
      <w:outlineLvl w:val="6"/>
    </w:pPr>
    <w:rPr>
      <w:sz w:val="24"/>
      <w:szCs w:val="24"/>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style>
  <w:style w:type="character" w:styleId="WW8Num17z0">
    <w:name w:val="WW8Num17z0"/>
    <w:qFormat/>
    <w:rPr>
      <w:rFonts w:ascii="Symbol" w:hAnsi="Symbol" w:cs="Symbol"/>
    </w:rPr>
  </w:style>
  <w:style w:type="character" w:styleId="Style11">
    <w:name w:val="Шрифт на абзаца по подразбиране"/>
    <w:qFormat/>
    <w:rPr/>
  </w:style>
  <w:style w:type="character" w:styleId="PageNumber">
    <w:name w:val="page number"/>
    <w:rPr>
      <w:sz w:val="20"/>
    </w:rPr>
  </w:style>
  <w:style w:type="character" w:styleId="Style12">
    <w:name w:val="Препратка към коментар"/>
    <w:qFormat/>
    <w:rPr>
      <w:sz w:val="16"/>
    </w:rPr>
  </w:style>
  <w:style w:type="character" w:styleId="ldef">
    <w:name w:val="ldef"/>
    <w:basedOn w:val="Style11"/>
    <w:qFormat/>
    <w:rPr/>
  </w:style>
  <w:style w:type="character" w:styleId="Style13">
    <w:name w:val="Горен колонтитул Знак"/>
    <w:qFormat/>
    <w:rPr>
      <w:lang w:val="en-GB"/>
    </w:rPr>
  </w:style>
  <w:style w:type="paragraph" w:styleId="Style14">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widowControl/>
      <w:jc w:val="both"/>
    </w:pPr>
    <w:rPr>
      <w:sz w:val="24"/>
      <w:lang w:val="bg-BG"/>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5">
    <w:name w:val="Указател"/>
    <w:basedOn w:val="Normal"/>
    <w:qFormat/>
    <w:pPr>
      <w:suppressLineNumbers/>
    </w:pPr>
    <w:rPr>
      <w:rFonts w:cs="Arial"/>
    </w:rPr>
  </w:style>
  <w:style w:type="paragraph" w:styleId="Style16">
    <w:name w:val="Колонтитули"/>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Style17">
    <w:name w:val="Текст на коментар"/>
    <w:basedOn w:val="Normal"/>
    <w:qFormat/>
    <w:pPr/>
    <w:rPr/>
  </w:style>
  <w:style w:type="paragraph" w:styleId="BodyTextIndent">
    <w:name w:val="Body Text Indent"/>
    <w:basedOn w:val="Normal"/>
    <w:pPr>
      <w:widowControl/>
      <w:overflowPunct w:val="false"/>
      <w:autoSpaceDE w:val="false"/>
      <w:spacing w:before="0" w:after="120"/>
      <w:ind w:hanging="0" w:start="283" w:end="0"/>
      <w:textAlignment w:val="baseline"/>
    </w:pPr>
    <w:rPr>
      <w:sz w:val="24"/>
    </w:rPr>
  </w:style>
  <w:style w:type="paragraph" w:styleId="zaglawie">
    <w:name w:val="zaglawie"/>
    <w:basedOn w:val="Normal"/>
    <w:qFormat/>
    <w:pPr>
      <w:widowControl/>
      <w:spacing w:before="100" w:after="100"/>
      <w:ind w:hanging="0" w:start="200" w:end="0"/>
      <w:jc w:val="center"/>
    </w:pPr>
    <w:rPr>
      <w:rFonts w:eastAsia="MS Mincho;Yu Gothic UI"/>
      <w:b/>
      <w:bCs/>
      <w:color w:val="000000"/>
      <w:sz w:val="28"/>
      <w:szCs w:val="28"/>
      <w:lang w:val="en-US" w:eastAsia="ja-JP"/>
    </w:rPr>
  </w:style>
  <w:style w:type="paragraph" w:styleId="firstline">
    <w:name w:val="firstline"/>
    <w:basedOn w:val="Normal"/>
    <w:qFormat/>
    <w:pPr>
      <w:widowControl/>
      <w:spacing w:lineRule="atLeast" w:line="240"/>
      <w:ind w:firstLine="640" w:start="0" w:end="0"/>
      <w:jc w:val="both"/>
    </w:pPr>
    <w:rPr>
      <w:rFonts w:eastAsia="MS Mincho;Yu Gothic UI"/>
      <w:color w:val="000000"/>
      <w:sz w:val="24"/>
      <w:szCs w:val="24"/>
      <w:lang w:val="en-US" w:eastAsia="ja-JP"/>
    </w:rPr>
  </w:style>
  <w:style w:type="paragraph" w:styleId="HTML">
    <w:name w:val="HTML стандартен"/>
    <w:basedOn w:val="Normal"/>
    <w:qFormat/>
    <w:pPr>
      <w:widowContro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MS Mincho;Yu Gothic UI" w:cs="Courier New"/>
      <w:lang w:val="en-US" w:eastAsia="ja-JP"/>
    </w:rPr>
  </w:style>
  <w:style w:type="paragraph" w:styleId="Style18">
    <w:name w:val="Нормален (уеб)"/>
    <w:basedOn w:val="Normal"/>
    <w:qFormat/>
    <w:pPr>
      <w:widowControl/>
      <w:spacing w:before="100" w:after="100"/>
    </w:pPr>
    <w:rPr>
      <w:rFonts w:eastAsia="MS Mincho;Yu Gothic UI"/>
      <w:sz w:val="24"/>
      <w:szCs w:val="24"/>
      <w:lang w:val="en-US" w:eastAsia="ja-JP"/>
    </w:rPr>
  </w:style>
  <w:style w:type="paragraph" w:styleId="Char">
    <w:name w:val=" Char"/>
    <w:basedOn w:val="Normal"/>
    <w:qFormat/>
    <w:pPr>
      <w:widowControl/>
      <w:tabs>
        <w:tab w:val="clear" w:pos="720"/>
        <w:tab w:val="left" w:pos="709" w:leader="none"/>
      </w:tabs>
    </w:pPr>
    <w:rPr>
      <w:rFonts w:ascii="Tahoma" w:hAnsi="Tahoma" w:cs="Tahoma"/>
      <w:sz w:val="24"/>
      <w:szCs w:val="24"/>
      <w:lang w:val="pl-PL"/>
    </w:rPr>
  </w:style>
  <w:style w:type="paragraph" w:styleId="-">
    <w:name w:val="Рамка - съдържание"/>
    <w:basedOn w:val="Normal"/>
    <w:qFormat/>
    <w:pPr/>
    <w:rPr/>
  </w:style>
  <w:style w:type="paragraph" w:styleId="-1">
    <w:name w:val="Таблица - съдържание"/>
    <w:basedOn w:val="Normal"/>
    <w:qFormat/>
    <w:pPr>
      <w:widowControl w:val="false"/>
      <w:suppressLineNumbers/>
    </w:pPr>
    <w:rPr/>
  </w:style>
  <w:style w:type="paragraph" w:styleId="-2">
    <w:name w:val="Таблица - заглавие"/>
    <w:basedOn w:val="-1"/>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462</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2005-06-29T15:26:00Z</dcterms:created>
  <dc:creator>МТ</dc:creator>
  <dc:description/>
  <cp:keywords/>
  <dc:language>bg-BG</dc:language>
  <cp:lastModifiedBy>Силвия Мирчева</cp:lastModifiedBy>
  <cp:lastPrinted>2004-12-10T16:33:00Z</cp:lastPrinted>
  <dcterms:modified xsi:type="dcterms:W3CDTF">2022-04-02T15:11:00Z</dcterms:modified>
  <cp:revision>77</cp:revision>
  <dc:subject>ПК</dc:subject>
  <dc:title>Управление на документите</dc:title>
</cp:coreProperties>
</file>