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numPr>
          <w:ilvl w:val="0"/>
          <w:numId w:val="5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ЦЕЛ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Процедурата има за цел да определи реда за действие и отговорностите при възникване на извънредна ситуация, при която има негативно въздействие върху околната среда и здравето на работниците или има реална възможност за такова въздействие.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numPr>
          <w:ilvl w:val="0"/>
          <w:numId w:val="5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СЪДЪРЖАНИЕ НА ПРОЦЕСА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BodyText"/>
        <w:rPr/>
      </w:pPr>
      <w:r>
        <w:rPr/>
        <w:t>За реализирането на процесите, свързани с управление на извънредните ситуации, е необходимо да бъдат извършени следните дейности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ind w:firstLine="720" w:end="0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ВХОД</w:t>
        <w:tab/>
        <w:tab/>
        <w:tab/>
        <w:tab/>
        <w:t>ДЕЙНОСТИ</w:t>
        <w:tab/>
        <w:tab/>
        <w:tab/>
        <w:tab/>
        <w:t>ИЗХОД</w:t>
      </w:r>
    </w:p>
    <w:p>
      <w:pPr>
        <w:pStyle w:val="Normal"/>
        <w:widowControl/>
        <w:jc w:val="both"/>
        <w:rPr>
          <w:b/>
          <w:sz w:val="24"/>
          <w:lang w:val="bg-BG" w:eastAsia="bg-BG"/>
        </w:rPr>
      </w:pPr>
      <w:r>
        <w:rPr>
          <w:b/>
          <w:sz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34925</wp:posOffset>
                </wp:positionV>
                <wp:extent cx="1970405" cy="2107565"/>
                <wp:effectExtent l="10160" t="10160" r="86995" b="85725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0280" cy="2107440"/>
                        </a:xfrm>
                        <a:custGeom>
                          <a:avLst/>
                          <a:gdLst>
                            <a:gd name="textAreaLeft" fmla="*/ 0 w 1117080"/>
                            <a:gd name="textAreaRight" fmla="*/ 1117440 w 1117080"/>
                            <a:gd name="textAreaTop" fmla="*/ 0 h 1194840"/>
                            <a:gd name="textAreaBottom" fmla="*/ 1195200 h 11948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16200" y="0"/>
                              </a:lnTo>
                              <a:lnTo>
                                <a:pt x="21600" y="10800"/>
                              </a:lnTo>
                              <a:lnTo>
                                <a:pt x="162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80">
                          <a:solidFill>
                            <a:srgbClr val="000000"/>
                          </a:solidFill>
                          <a:miter/>
                        </a:ln>
                        <a:effectLst>
                          <a:outerShdw dist="107932" dir="2700000" rotWithShape="0">
                            <a:srgbClr val="808080"/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>Резултати от идентификация на опасностите, оценката и контрола на риска;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>Законови и други изисквания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>Опит от предишни инциденти, злополуки и извънредни ситуации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>Оценка на практическите упражнения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5" coordsize="21600,21600" o:spt="15" adj="10800" path="m,l@2,l21600,10800l@2,21600l,21600xe">
                <v:stroke joinstyle="miter"/>
                <v:formulas>
                  <v:f eqn="val 21600"/>
                  <v:f eqn="val #0"/>
                  <v:f eqn="sum width 0 @1"/>
                  <v:f eqn="sum @2 width 0"/>
                  <v:f eqn="prod 1 @3 2"/>
                  <v:f eqn="prod @2 1 2"/>
                </v:formulas>
                <v:path gradientshapeok="t" o:connecttype="rect" textboxrect="0,0,@4,21600"/>
                <v:handles>
                  <v:h position="@2,0"/>
                </v:handles>
              </v:shapetype>
              <v:shape id="shape_0" fillcolor="white" stroked="t" o:allowincell="f" style="position:absolute;margin-left:3pt;margin-top:2.75pt;width:155.1pt;height:165.9pt;mso-wrap-style:square;v-text-anchor:top" type="_x0000_t15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>Резултати от идентификация на опасностите, оценката и контрола на риска;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>Законови и други изисквания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>Опит от предишни инциденти, злополуки и извънредни ситуации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>Оценка на практическите упражнения</w:t>
                      </w:r>
                    </w:p>
                  </w:txbxContent>
                </v:textbox>
                <v:fill o:detectmouseclick="t" type="solid" color2="black"/>
                <v:stroke color="black" weight="19080" joinstyle="miter" endcap="flat"/>
                <v:shadow on="t" obscured="f" color="gray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4435475</wp:posOffset>
                </wp:positionH>
                <wp:positionV relativeFrom="paragraph">
                  <wp:posOffset>9525</wp:posOffset>
                </wp:positionV>
                <wp:extent cx="1727200" cy="2132965"/>
                <wp:effectExtent l="10160" t="10160" r="87630" b="85725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80" cy="2133000"/>
                        </a:xfrm>
                        <a:custGeom>
                          <a:avLst/>
                          <a:gdLst>
                            <a:gd name="textAreaLeft" fmla="*/ 0 w 979200"/>
                            <a:gd name="textAreaRight" fmla="*/ 979560 w 979200"/>
                            <a:gd name="textAreaTop" fmla="*/ 0 h 1209240"/>
                            <a:gd name="textAreaBottom" fmla="*/ 1209600 h 12092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16200" y="0"/>
                              </a:lnTo>
                              <a:lnTo>
                                <a:pt x="21600" y="10800"/>
                              </a:lnTo>
                              <a:lnTo>
                                <a:pt x="162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80">
                          <a:solidFill>
                            <a:srgbClr val="000000"/>
                          </a:solidFill>
                          <a:miter/>
                        </a:ln>
                        <a:effectLst>
                          <a:outerShdw dist="107932" dir="2700000" rotWithShape="0">
                            <a:srgbClr val="808080"/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>Адекватно и навременно реагиране на възникнала извънредна ситуация;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>Обучен персонал;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>Намаляване щетите в резултат от възникване на извънредни ситуации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fillcolor="white" stroked="t" o:allowincell="f" style="position:absolute;margin-left:349.25pt;margin-top:0.75pt;width:135.95pt;height:167.9pt;mso-wrap-style:square;v-text-anchor:top" type="_x0000_t15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>Адекватно и навременно реагиране на възникнала извънредна ситуация;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>Обучен персонал;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>Намаляване щетите в резултат от възникване на извънредни ситуации</w:t>
                      </w:r>
                    </w:p>
                  </w:txbxContent>
                </v:textbox>
                <v:fill o:detectmouseclick="t" type="solid" color2="black"/>
                <v:stroke color="black" weight="19080" joinstyle="miter" endcap="flat"/>
                <v:shadow on="t" obscured="f" color="gray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2113280</wp:posOffset>
                </wp:positionH>
                <wp:positionV relativeFrom="paragraph">
                  <wp:posOffset>12700</wp:posOffset>
                </wp:positionV>
                <wp:extent cx="2039620" cy="1713230"/>
                <wp:effectExtent l="0" t="0" r="76200" b="76200"/>
                <wp:wrapNone/>
                <wp:docPr id="3" name="Рамка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5820" cy="1789430"/>
                        </a:xfrm>
                        <a:prstGeom prst="rect"/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</a:ln>
                        <a:effectLst>
                          <a:outerShdw dist="107315" dir="2700000">
                            <a:srgbClr val="808080"/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8"/>
                              </w:numPr>
                              <w:ind w:hanging="227" w:start="340" w:end="0"/>
                              <w:rPr/>
                            </w:pPr>
                            <w:r>
                              <w:rPr>
                                <w:lang w:val="bg-BG"/>
                              </w:rPr>
                              <w:t>План за действие при извънредни ситуации;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8"/>
                              </w:numPr>
                              <w:ind w:hanging="227" w:start="340" w:end="0"/>
                              <w:rPr/>
                            </w:pPr>
                            <w:r>
                              <w:rPr>
                                <w:lang w:val="bg-BG"/>
                              </w:rPr>
                              <w:t>Осигуряване на необходимото оборудване;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8"/>
                              </w:numPr>
                              <w:ind w:hanging="227" w:start="340" w:end="0"/>
                              <w:rPr/>
                            </w:pPr>
                            <w:r>
                              <w:rPr>
                                <w:lang w:val="bg-BG"/>
                              </w:rPr>
                              <w:t>Провеждане на практически упражнения;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8"/>
                              </w:numPr>
                              <w:ind w:hanging="227" w:start="340" w:end="0"/>
                              <w:rPr/>
                            </w:pPr>
                            <w:r>
                              <w:rPr>
                                <w:lang w:val="bg-BG"/>
                              </w:rPr>
                              <w:t>Оценка на резултатите от практическите упражнения</w:t>
                            </w:r>
                          </w:p>
                        </w:txbxContent>
                      </wps:txbx>
                      <wps:bodyPr anchor="t" lIns="17780" tIns="10795" rIns="17780" bIns="107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66.6pt;height:140.9pt;mso-wrap-distance-left:9.05pt;mso-wrap-distance-right:9.05pt;mso-wrap-distance-top:0pt;mso-wrap-distance-bottom:0pt;margin-top:1pt;mso-position-vertical-relative:text;margin-left:166.4pt;mso-position-horizontal-relative:text">
                <v:shadow on="t" color="#808080" offset="6pt,6pt"/>
                <v:textbox inset="0.0194444444444444in,0.0118055555555556in,0.0194444444444444in,0.0118055555555556in">
                  <w:txbxContent>
                    <w:p>
                      <w:pPr>
                        <w:pStyle w:val="Normal"/>
                        <w:numPr>
                          <w:ilvl w:val="0"/>
                          <w:numId w:val="8"/>
                        </w:numPr>
                        <w:ind w:hanging="227" w:start="340" w:end="0"/>
                        <w:rPr/>
                      </w:pPr>
                      <w:r>
                        <w:rPr>
                          <w:lang w:val="bg-BG"/>
                        </w:rPr>
                        <w:t>План за действие при извънредни ситуации;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8"/>
                        </w:numPr>
                        <w:ind w:hanging="227" w:start="340" w:end="0"/>
                        <w:rPr/>
                      </w:pPr>
                      <w:r>
                        <w:rPr>
                          <w:lang w:val="bg-BG"/>
                        </w:rPr>
                        <w:t>Осигуряване на необходимото оборудване;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8"/>
                        </w:numPr>
                        <w:ind w:hanging="227" w:start="340" w:end="0"/>
                        <w:rPr/>
                      </w:pPr>
                      <w:r>
                        <w:rPr>
                          <w:lang w:val="bg-BG"/>
                        </w:rPr>
                        <w:t>Провеждане на практически упражнения;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8"/>
                        </w:numPr>
                        <w:ind w:hanging="227" w:start="340" w:end="0"/>
                        <w:rPr/>
                      </w:pPr>
                      <w:r>
                        <w:rPr>
                          <w:lang w:val="bg-BG"/>
                        </w:rPr>
                        <w:t>Оценка на резултатите от практическите упражнения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numPr>
          <w:ilvl w:val="0"/>
          <w:numId w:val="5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 xml:space="preserve">ОТГОВОРНОСТИ ЗА ИЗВЪРШВАНЕ НА ПРОЦЕСА  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 xml:space="preserve">Управител: </w:t>
      </w:r>
    </w:p>
    <w:p>
      <w:pPr>
        <w:pStyle w:val="Normal"/>
        <w:widowControl/>
        <w:numPr>
          <w:ilvl w:val="0"/>
          <w:numId w:val="3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Организира и ръководи действията при възникване на извънредни ситуации;</w:t>
      </w:r>
    </w:p>
    <w:p>
      <w:pPr>
        <w:pStyle w:val="Normal"/>
        <w:widowControl/>
        <w:numPr>
          <w:ilvl w:val="0"/>
          <w:numId w:val="3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Утвърждава План за действие при възникване на извънредна ситуация;</w:t>
      </w:r>
    </w:p>
    <w:p>
      <w:pPr>
        <w:pStyle w:val="Normal"/>
        <w:widowControl/>
        <w:numPr>
          <w:ilvl w:val="0"/>
          <w:numId w:val="4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Осигурява необходимите ресурси за оборудване за извънредни ситуации;</w:t>
      </w:r>
    </w:p>
    <w:p>
      <w:pPr>
        <w:pStyle w:val="Normal"/>
        <w:widowControl/>
        <w:numPr>
          <w:ilvl w:val="0"/>
          <w:numId w:val="4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Контролира провеждането на подготовка за действие при извънредни ситуации.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Мениджър по управление:</w:t>
      </w:r>
    </w:p>
    <w:p>
      <w:pPr>
        <w:pStyle w:val="Normal"/>
        <w:widowControl/>
        <w:numPr>
          <w:ilvl w:val="0"/>
          <w:numId w:val="3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Съдейства на Управителя при управление на действията при извънредни ситуации;</w:t>
      </w:r>
    </w:p>
    <w:p>
      <w:pPr>
        <w:pStyle w:val="Normal"/>
        <w:widowControl/>
        <w:numPr>
          <w:ilvl w:val="0"/>
          <w:numId w:val="3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Изготвя План за действие при възникване на извънредна ситуация; </w:t>
      </w:r>
    </w:p>
    <w:p>
      <w:pPr>
        <w:pStyle w:val="Normal"/>
        <w:widowControl/>
        <w:numPr>
          <w:ilvl w:val="0"/>
          <w:numId w:val="3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Осигурява необходимото оборудване за извънредни ситуации;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Организира и провежда практически упражнения за действия при извънредни ситуации;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Прави оценка и анализ на резултатите от практическите упражнения;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Персонал на фирмата:</w:t>
      </w:r>
    </w:p>
    <w:p>
      <w:pPr>
        <w:pStyle w:val="Normal"/>
        <w:widowControl/>
        <w:numPr>
          <w:ilvl w:val="0"/>
          <w:numId w:val="6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Познава добре Планът за действие при възникване на извънредна ситуация;</w:t>
      </w:r>
    </w:p>
    <w:p>
      <w:pPr>
        <w:pStyle w:val="Normal"/>
        <w:widowControl/>
        <w:numPr>
          <w:ilvl w:val="0"/>
          <w:numId w:val="6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Участва активно в провежданите практически действия при извънредни ситуации.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numPr>
          <w:ilvl w:val="0"/>
          <w:numId w:val="5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 xml:space="preserve">ПОТРЕБИТЕЛ НА ПРОЦЕСА </w:t>
      </w:r>
    </w:p>
    <w:p>
      <w:pPr>
        <w:pStyle w:val="BodyText"/>
        <w:rPr/>
      </w:pPr>
      <w:r>
        <w:rPr/>
        <w:t>Потребители на процес “Управление на извънредните ситуации” са процесите по оперативно управление на, непрекъснато подобряване, управление на одитите и др.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numPr>
          <w:ilvl w:val="0"/>
          <w:numId w:val="5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КРИТЕРИИ ЗА ОЦЕНЯВАНЕ НА ПРОЦЕСА</w:t>
        <w:tab/>
      </w:r>
    </w:p>
    <w:p>
      <w:pPr>
        <w:pStyle w:val="BodyText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BodyText"/>
        <w:rPr>
          <w:b/>
        </w:rPr>
      </w:pPr>
      <w:r>
        <w:rPr/>
        <w:t>Основен критерий за ефективност на управлението на извънредните ситуации е липсата на извънредни ситуации по време на работа във фирмата.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numPr>
          <w:ilvl w:val="0"/>
          <w:numId w:val="5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ТЕРМИНИ И ОПРЕДЕЛЕНИЯ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b/>
          <w:bCs/>
          <w:sz w:val="24"/>
          <w:lang w:val="bg-BG"/>
        </w:rPr>
        <w:t>Несъответствие</w:t>
      </w:r>
      <w:r>
        <w:rPr>
          <w:sz w:val="24"/>
          <w:lang w:val="bg-BG"/>
        </w:rPr>
        <w:t xml:space="preserve"> – инциденти и несъответствия от изискванията на, които са довели или могат да доведат до отрицателни въздействия върху околната среда или условията на труд;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numPr>
          <w:ilvl w:val="0"/>
          <w:numId w:val="5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ПРОЦЕДУРА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7.1. Общи положения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Извънредните ситуации могат да са два вида – такива, които са предизвикани или са следствие от дейността на фирмата, и такива, които са породени от външни непреодолими сили като природни бедствия, пожари, наводнения, промишлени аварии и др.  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Мениджърът по управление извършва следните действия: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Изготвя План за действие при възникване на извънредна ситуация, съгласуван със съответните отговорни институции и иорганизации;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Планира и осигурява, съгласувано с ръководството необходимото оборудване;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Организира и провежда практическа подготовка за действия при извънредни ситуации;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Прави оценка и анализ на резултатите от дейността.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numPr>
          <w:ilvl w:val="1"/>
          <w:numId w:val="9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План за действие при извънредна ситуация</w:t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Планът за действие при извънредна ситуация може да включва: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идентификация на възможните инциденти и извънредни ситуации и информация за най-вероятния вид и мащаб на извънредна ситуация или инцидент;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характерът на опасностите за всеки конкретен обект в зависимост от съществуващите рискове (например запалителни течности, цистерни, газови инсталации и други сгъстени газове, съдове и инсталации под налягане, радиоактивни материали и др.)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възможностите за извънредна ситуация в съседен обект (например, газопровод, промишлено предприятие, железопътна линия, автомобилен път, летище и др.)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iCs/>
          <w:color w:val="000000"/>
          <w:sz w:val="24"/>
          <w:szCs w:val="24"/>
          <w:lang w:val="bg-BG" w:eastAsia="bg-BG"/>
        </w:rPr>
        <w:t>информация за опасни материали и за въздействието на всеки материал върху околната среда, както и мерките, които трябва да се вземат в случай на изпускане на вредни вещества;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списък на най-подходящите действия за отстраняване или намаляване на вредите за ОС; 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определяне на лицето, което на място трябва да поеме оперативното ръководство по време на извънредната ситуация;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iCs/>
          <w:color w:val="000000"/>
          <w:sz w:val="24"/>
          <w:szCs w:val="24"/>
          <w:lang w:val="bg-BG" w:eastAsia="bg-BG"/>
        </w:rPr>
        <w:t>организация на вътрешна и външна комуникация;</w:t>
      </w:r>
    </w:p>
    <w:p>
      <w:pPr>
        <w:pStyle w:val="Normal"/>
        <w:widowControl/>
        <w:numPr>
          <w:ilvl w:val="0"/>
          <w:numId w:val="7"/>
        </w:numPr>
        <w:jc w:val="both"/>
        <w:rPr>
          <w:iCs/>
          <w:color w:val="000000"/>
          <w:sz w:val="24"/>
          <w:szCs w:val="24"/>
          <w:lang w:val="bg-BG" w:eastAsia="bg-BG"/>
        </w:rPr>
      </w:pPr>
      <w:r>
        <w:rPr>
          <w:iCs/>
          <w:color w:val="000000"/>
          <w:sz w:val="24"/>
          <w:szCs w:val="24"/>
          <w:lang w:val="bg-BG" w:eastAsia="bg-BG"/>
        </w:rPr>
        <w:t>списък на членове от персонала с ключова важност;</w:t>
      </w:r>
    </w:p>
    <w:p>
      <w:pPr>
        <w:pStyle w:val="Normal"/>
        <w:widowControl/>
        <w:numPr>
          <w:ilvl w:val="0"/>
          <w:numId w:val="7"/>
        </w:numPr>
        <w:jc w:val="both"/>
        <w:rPr>
          <w:iCs/>
          <w:color w:val="000000"/>
          <w:sz w:val="24"/>
          <w:szCs w:val="24"/>
          <w:lang w:val="bg-BG" w:eastAsia="bg-BG"/>
        </w:rPr>
      </w:pPr>
      <w:r>
        <w:rPr>
          <w:iCs/>
          <w:color w:val="000000"/>
          <w:sz w:val="24"/>
          <w:szCs w:val="24"/>
          <w:lang w:val="bg-BG" w:eastAsia="bg-BG"/>
        </w:rPr>
        <w:t>маршрути за евакуация и сборни пунктове;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осигуряване комуникация с външни служби за реагиране при извънредна ситуация;</w:t>
      </w:r>
    </w:p>
    <w:p>
      <w:pPr>
        <w:pStyle w:val="Normal"/>
        <w:widowControl/>
        <w:numPr>
          <w:ilvl w:val="0"/>
          <w:numId w:val="7"/>
        </w:numPr>
        <w:jc w:val="both"/>
        <w:rPr>
          <w:iCs/>
          <w:color w:val="000000"/>
          <w:sz w:val="24"/>
          <w:szCs w:val="24"/>
          <w:lang w:val="bg-BG" w:eastAsia="bg-BG"/>
        </w:rPr>
      </w:pPr>
      <w:r>
        <w:rPr>
          <w:iCs/>
          <w:color w:val="000000"/>
          <w:sz w:val="24"/>
          <w:szCs w:val="24"/>
          <w:lang w:val="bg-BG" w:eastAsia="bg-BG"/>
        </w:rPr>
        <w:t>осигуряване достоверна информация за службите за справяне с извънредни ситуации (напр. Противопожарна охрана, служби за почистване от замърсяващи вещества и др.);</w:t>
      </w:r>
    </w:p>
    <w:p>
      <w:pPr>
        <w:pStyle w:val="Normal"/>
        <w:widowControl/>
        <w:numPr>
          <w:ilvl w:val="0"/>
          <w:numId w:val="7"/>
        </w:numPr>
        <w:jc w:val="both"/>
        <w:rPr>
          <w:iCs/>
          <w:color w:val="000000"/>
          <w:sz w:val="24"/>
          <w:szCs w:val="24"/>
          <w:lang w:val="bg-BG" w:eastAsia="bg-BG"/>
        </w:rPr>
      </w:pPr>
      <w:r>
        <w:rPr>
          <w:iCs/>
          <w:color w:val="000000"/>
          <w:sz w:val="24"/>
          <w:szCs w:val="24"/>
          <w:lang w:val="bg-BG" w:eastAsia="bg-BG"/>
        </w:rPr>
        <w:t>възможности за взаимодействие и взаимопомощ със съседни обекти и организации;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описание на действията, които персоналът трябва да предприеме при извънредна ситуация, вкл. действията на външния персонал (доставчици, подизпълнители и др.);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наличие на необходимата информация и документация, необходима за действие по време на извънредната ситуация;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периодично тестване на процедурата и действията, произтичащи от нея в условия симулиращи реалните; 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iCs/>
          <w:color w:val="000000"/>
          <w:sz w:val="24"/>
          <w:szCs w:val="24"/>
          <w:lang w:val="bg-BG" w:eastAsia="bg-BG"/>
        </w:rPr>
        <w:t>планове за обучение и проверки на ефективността им;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iCs/>
          <w:color w:val="000000"/>
          <w:sz w:val="24"/>
          <w:szCs w:val="24"/>
          <w:lang w:val="bg-BG" w:eastAsia="bg-BG"/>
        </w:rPr>
        <w:t>действия за анализ и оценка на ефективността на работата след инциденти и определяне на коригиращи и превантивни действия.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 xml:space="preserve">Документирането на извънредните ситуации се извършва от Мениджъра по управление в „Дневник за мониторинг” </w:t>
      </w:r>
      <w:r>
        <w:rPr>
          <w:sz w:val="24"/>
          <w:lang w:val="en-US"/>
        </w:rPr>
        <w:t>OD</w:t>
      </w:r>
      <w:r>
        <w:rPr>
          <w:sz w:val="24"/>
          <w:lang w:val="bg-BG"/>
        </w:rPr>
        <w:t xml:space="preserve"> 09.01.00-1, съгласно </w:t>
      </w:r>
      <w:r>
        <w:rPr>
          <w:sz w:val="24"/>
          <w:lang w:val="en-US"/>
        </w:rPr>
        <w:t>IP</w:t>
      </w:r>
      <w:r>
        <w:rPr>
          <w:sz w:val="24"/>
          <w:lang w:val="bg-BG"/>
        </w:rPr>
        <w:t xml:space="preserve"> 09.01.00 „Мониторинг”.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7.3 Оборудване за извънредни ситуации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Ръководството осигурява необходимите средства  и необходимото оборудване за действие при извънредна ситуация. Оборудването включва според ситуацията: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транспортни средства;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техника за разчистване, укрепване, отводняване и др.;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съдове, контейнери, опаковки и др. за събиране на отпадъци;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резервно осветление и резервно захранване;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средства за сигнализация, маркиране обозначаване;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комуникационни средства;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горива, компоненти и консумативи за оборудването.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В случаи в които ситуацията застрашава здравето и безопасността на персонала приоритетно се осигуряват необходимите спасителни и евакуационни средства, както и оборудване за оказване на първа помощ.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Мениджърът по управление изготвя Списък на оборудването за извънредни ситуации и планира достатъчни количество от него. Поддръжката на това оборудване в изправност, вкл. плановите му ремонти е по реда на процедурите за управление на инфраструктурата.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8. СВЪРЗАНИ ДОКУМЕНТИ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numPr>
          <w:ilvl w:val="0"/>
          <w:numId w:val="2"/>
        </w:numPr>
        <w:jc w:val="both"/>
        <w:rPr>
          <w:sz w:val="24"/>
          <w:lang w:val="en-US"/>
        </w:rPr>
      </w:pPr>
      <w:r>
        <w:rPr>
          <w:sz w:val="24"/>
          <w:lang w:val="bg-BG"/>
        </w:rPr>
        <w:t>План за действие при извънредна ситуация</w:t>
      </w:r>
      <w:r>
        <w:rPr>
          <w:sz w:val="24"/>
          <w:lang w:val="en-US"/>
        </w:rPr>
        <w:t>;</w:t>
      </w:r>
    </w:p>
    <w:p>
      <w:pPr>
        <w:pStyle w:val="Normal"/>
        <w:widowControl/>
        <w:numPr>
          <w:ilvl w:val="0"/>
          <w:numId w:val="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Списък на оборудването за извънредни ситуации</w:t>
      </w:r>
      <w:r>
        <w:rPr>
          <w:sz w:val="24"/>
          <w:lang w:val="en-US"/>
        </w:rPr>
        <w:t>;</w:t>
      </w:r>
    </w:p>
    <w:p>
      <w:pPr>
        <w:pStyle w:val="Normal"/>
        <w:widowControl/>
        <w:numPr>
          <w:ilvl w:val="0"/>
          <w:numId w:val="2"/>
        </w:numPr>
        <w:jc w:val="both"/>
        <w:rPr>
          <w:sz w:val="24"/>
          <w:lang w:val="bg-BG"/>
        </w:rPr>
      </w:pPr>
      <w:r>
        <w:rPr>
          <w:sz w:val="24"/>
          <w:lang w:val="en-US"/>
        </w:rPr>
        <w:t>IP</w:t>
      </w:r>
      <w:r>
        <w:rPr>
          <w:sz w:val="24"/>
          <w:lang w:val="bg-BG"/>
        </w:rPr>
        <w:t xml:space="preserve"> 09.01.00 „Мониторинг”.</w:t>
      </w:r>
    </w:p>
    <w:sectPr>
      <w:headerReference w:type="default" r:id="rId2"/>
      <w:headerReference w:type="first" r:id="rId3"/>
      <w:type w:val="nextPage"/>
      <w:pgSz w:w="11906" w:h="16838"/>
      <w:pgMar w:left="1418" w:right="708" w:gutter="0" w:header="567" w:top="851" w:footer="0" w:bottom="1135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031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7905"/>
      <w:gridCol w:w="1134"/>
      <w:gridCol w:w="992"/>
    </w:tblGrid>
    <w:tr>
      <w:trPr>
        <w:cantSplit/>
      </w:trPr>
      <w:tc>
        <w:tcPr>
          <w:tcW w:w="7905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b/>
              <w:lang w:val="en-US"/>
            </w:rPr>
            <w:t>IP</w:t>
          </w:r>
          <w:r>
            <w:rPr>
              <w:b/>
              <w:lang w:val="ru-RU"/>
            </w:rPr>
            <w:t xml:space="preserve"> 08</w:t>
          </w:r>
          <w:r>
            <w:rPr>
              <w:b/>
              <w:lang w:val="bg-BG"/>
            </w:rPr>
            <w:t>.02.00</w:t>
          </w:r>
        </w:p>
      </w:tc>
      <w:tc>
        <w:tcPr>
          <w:tcW w:w="1134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jc w:val="end"/>
            <w:rPr>
              <w:lang w:val="bg-BG"/>
            </w:rPr>
          </w:pPr>
          <w:r>
            <w:rPr>
              <w:lang w:val="ru-RU"/>
            </w:rPr>
            <w:t>Версия</w:t>
          </w:r>
        </w:p>
      </w:tc>
      <w:tc>
        <w:tcPr>
          <w:tcW w:w="992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7905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en-US"/>
            </w:rPr>
            <w:t>ISO</w:t>
          </w:r>
          <w:r>
            <w:rPr>
              <w:lang w:val="bg-BG"/>
            </w:rPr>
            <w:t xml:space="preserve"> 14001:2015</w:t>
          </w:r>
          <w:r>
            <w:rPr>
              <w:lang w:val="en-US"/>
            </w:rPr>
            <w:t>; ISO 45001:2018</w:t>
          </w:r>
        </w:p>
      </w:tc>
      <w:tc>
        <w:tcPr>
          <w:tcW w:w="1134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jc w:val="end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992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3</w:t>
          </w:r>
          <w:r>
            <w:rPr>
              <w:rStyle w:val="PageNumber"/>
            </w:rPr>
            <w:fldChar w:fldCharType="end"/>
          </w:r>
          <w:r>
            <w:rPr>
              <w:lang w:val="bg-BG"/>
            </w:rPr>
            <w:t>/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\* ARABIC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3</w:t>
          </w:r>
          <w:r>
            <w:rPr>
              <w:rStyle w:val="PageNumber"/>
            </w:rPr>
            <w:fldChar w:fldCharType="end"/>
          </w:r>
        </w:p>
      </w:tc>
    </w:tr>
    <w:tr>
      <w:trPr>
        <w:cantSplit/>
      </w:trPr>
      <w:tc>
        <w:tcPr>
          <w:tcW w:w="10031" w:type="dxa"/>
          <w:gridSpan w:val="3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УПРАВЛЕНИЕ НА ИЗВЪНРЕДНИТЕ СИТУАЦИИ</w:t>
          </w:r>
        </w:p>
      </w:tc>
    </w:tr>
  </w:tbl>
  <w:p>
    <w:pPr>
      <w:pStyle w:val="Header"/>
      <w:rPr>
        <w:lang w:val="ru-RU"/>
      </w:rPr>
    </w:pPr>
    <w:r>
      <w:rPr>
        <w:lang w:val="ru-RU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042" w:type="dxa"/>
      <w:jc w:val="start"/>
      <w:tblInd w:w="-34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119"/>
      <w:gridCol w:w="4403"/>
      <w:gridCol w:w="1260"/>
      <w:gridCol w:w="1260"/>
    </w:tblGrid>
    <w:tr>
      <w:trPr>
        <w:cantSplit/>
      </w:trPr>
      <w:tc>
        <w:tcPr>
          <w:tcW w:w="3119" w:type="dxa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rPr>
              <w:lang w:val="en-US"/>
            </w:rPr>
          </w:pPr>
          <w:r>
            <w:rPr>
              <w:rFonts w:cs="Arial" w:ascii="Arial" w:hAnsi="Arial"/>
            </w:rPr>
            <w:t>"ЕКОБУЛ ПАРТНЕР" ООД</w:t>
          </w:r>
        </w:p>
      </w:tc>
      <w:tc>
        <w:tcPr>
          <w:tcW w:w="4403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b/>
              <w:lang w:val="en-US"/>
            </w:rPr>
            <w:t>IP 08.02</w:t>
          </w:r>
          <w:r>
            <w:rPr>
              <w:b/>
              <w:lang w:val="bg-BG"/>
            </w:rPr>
            <w:t>.0</w:t>
          </w:r>
          <w:r>
            <w:rPr>
              <w:b/>
              <w:lang w:val="en-US"/>
            </w:rPr>
            <w:t>0</w:t>
          </w:r>
        </w:p>
      </w:tc>
      <w:tc>
        <w:tcPr>
          <w:tcW w:w="1260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en-US"/>
            </w:rPr>
            <w:t>Версия</w:t>
          </w:r>
        </w:p>
      </w:tc>
      <w:tc>
        <w:tcPr>
          <w:tcW w:w="1260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3119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en-US"/>
            </w:rPr>
          </w:pPr>
          <w:r>
            <w:rPr>
              <w:lang w:val="en-US"/>
            </w:rPr>
          </w:r>
        </w:p>
      </w:tc>
      <w:tc>
        <w:tcPr>
          <w:tcW w:w="4403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en-US"/>
            </w:rPr>
          </w:pPr>
          <w:r>
            <w:rPr>
              <w:lang w:val="en-US"/>
            </w:rPr>
            <w:t>ISO</w:t>
          </w:r>
          <w:r>
            <w:rPr>
              <w:lang w:val="bg-BG"/>
            </w:rPr>
            <w:t xml:space="preserve"> 14001:2015</w:t>
          </w:r>
          <w:r>
            <w:rPr>
              <w:lang w:val="en-US"/>
            </w:rPr>
            <w:t>; ISO 45001:2018</w:t>
          </w:r>
        </w:p>
      </w:tc>
      <w:tc>
        <w:tcPr>
          <w:tcW w:w="1260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260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1/3</w:t>
          </w:r>
        </w:p>
      </w:tc>
    </w:tr>
    <w:tr>
      <w:trPr>
        <w:trHeight w:val="833" w:hRule="atLeast"/>
        <w:cantSplit/>
      </w:trPr>
      <w:tc>
        <w:tcPr>
          <w:tcW w:w="3119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4403" w:type="dxa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b/>
              <w:lang w:val="bg-BG"/>
            </w:rPr>
            <w:t>УПРАВЛЕНИЕ НА ИЗВЪНРЕДНИТЕ СИТУАЦИИ</w:t>
          </w:r>
        </w:p>
      </w:tc>
      <w:tc>
        <w:tcPr>
          <w:tcW w:w="1260" w:type="dxa"/>
          <w:tcBorders>
            <w:top w:val="single" w:sz="12" w:space="0" w:color="000000"/>
            <w:bottom w:val="single" w:sz="12" w:space="0" w:color="000000"/>
            <w:end w:val="single" w:sz="6" w:space="0" w:color="000000"/>
          </w:tcBorders>
          <w:vAlign w:val="bottom"/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260" w:type="dxa"/>
          <w:tcBorders>
            <w:top w:val="single" w:sz="12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  <w:vAlign w:val="bottom"/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Дата:</w:t>
          </w:r>
        </w:p>
      </w:tc>
    </w:tr>
    <w:tr>
      <w:trPr>
        <w:cantSplit/>
      </w:trPr>
      <w:tc>
        <w:tcPr>
          <w:tcW w:w="3119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4403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Мениджър по управление</w:t>
          </w:r>
        </w:p>
      </w:tc>
      <w:tc>
        <w:tcPr>
          <w:tcW w:w="1260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snapToGrid w:val="false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260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Normal"/>
            <w:rPr>
              <w:lang w:val="bg-BG"/>
            </w:rPr>
          </w:pPr>
          <w:r>
            <w:rPr/>
            <w:t>03</w:t>
          </w:r>
          <w:r>
            <w:rPr>
              <w:lang w:val="bg-BG"/>
            </w:rPr>
            <w:t>.</w:t>
          </w:r>
          <w:r>
            <w:rPr/>
            <w:t>07</w:t>
          </w:r>
          <w:r>
            <w:rPr>
              <w:lang w:val="bg-BG"/>
            </w:rPr>
            <w:t>.</w:t>
          </w:r>
          <w:r>
            <w:rPr/>
            <w:t>20</w:t>
          </w:r>
          <w:r>
            <w:rPr>
              <w:lang w:val="bg-BG"/>
            </w:rPr>
            <w:t>21</w:t>
          </w:r>
        </w:p>
      </w:tc>
    </w:tr>
    <w:tr>
      <w:trPr>
        <w:cantSplit/>
      </w:trPr>
      <w:tc>
        <w:tcPr>
          <w:tcW w:w="3119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rPr/>
          </w:pPr>
          <w:r>
            <w:rPr>
              <w:lang w:val="en-US"/>
            </w:rPr>
            <w:t>Утвърдил</w:t>
          </w:r>
          <w:r>
            <w:rPr>
              <w:lang w:val="bg-BG"/>
            </w:rPr>
            <w:t>:</w:t>
          </w:r>
        </w:p>
      </w:tc>
      <w:tc>
        <w:tcPr>
          <w:tcW w:w="4403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1260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widowControl/>
            <w:snapToGrid w:val="false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260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rPr>
              <w:lang w:val="bg-BG"/>
            </w:rPr>
          </w:pPr>
          <w:r>
            <w:rPr/>
            <w:t>03</w:t>
          </w:r>
          <w:r>
            <w:rPr>
              <w:lang w:val="bg-BG"/>
            </w:rPr>
            <w:t>.</w:t>
          </w:r>
          <w:r>
            <w:rPr/>
            <w:t>07</w:t>
          </w:r>
          <w:r>
            <w:rPr>
              <w:lang w:val="bg-BG"/>
            </w:rPr>
            <w:t>.</w:t>
          </w:r>
          <w:r>
            <w:rPr/>
            <w:t>20</w:t>
          </w:r>
          <w:r>
            <w:rPr>
              <w:lang w:val="bg-BG"/>
            </w:rPr>
            <w:t>21</w:t>
          </w:r>
        </w:p>
      </w:tc>
    </w:tr>
  </w:tbl>
  <w:p>
    <w:pPr>
      <w:pStyle w:val="Header"/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360"/>
        </w:tabs>
        <w:ind w:start="340" w:hanging="34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851" w:hanging="851"/>
      </w:pPr>
      <w:rPr/>
    </w:lvl>
    <w:lvl w:ilvl="1">
      <w:start w:val="1"/>
      <w:numFmt w:val="decimal"/>
      <w:lvlText w:val="%1.%2."/>
      <w:lvlJc w:val="start"/>
      <w:pPr>
        <w:tabs>
          <w:tab w:val="num" w:pos="851"/>
        </w:tabs>
        <w:ind w:start="1701" w:hanging="1701"/>
      </w:pPr>
      <w:rPr/>
    </w:lvl>
    <w:lvl w:ilvl="2">
      <w:start w:val="1"/>
      <w:numFmt w:val="decimal"/>
      <w:lvlText w:val="%1.%2.%3."/>
      <w:lvlJc w:val="start"/>
      <w:pPr>
        <w:tabs>
          <w:tab w:val="num" w:pos="851"/>
        </w:tabs>
        <w:ind w:start="2552" w:hanging="2552"/>
      </w:pPr>
      <w:rPr/>
    </w:lvl>
    <w:lvl w:ilvl="3">
      <w:start w:val="1"/>
      <w:numFmt w:val="decimal"/>
      <w:lvlText w:val="%1.%2.%3.%4."/>
      <w:lvlJc w:val="start"/>
      <w:pPr>
        <w:tabs>
          <w:tab w:val="num" w:pos="2160"/>
        </w:tabs>
        <w:ind w:start="3175" w:hanging="3175"/>
      </w:pPr>
      <w:rPr/>
    </w:lvl>
    <w:lvl w:ilvl="4">
      <w:start w:val="1"/>
      <w:numFmt w:val="decimal"/>
      <w:lvlText w:val="%1.%2.%3.%4.%5."/>
      <w:lvlJc w:val="start"/>
      <w:pPr>
        <w:tabs>
          <w:tab w:val="num" w:pos="252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324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360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432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4680"/>
        </w:tabs>
        <w:ind w:start="4320" w:hanging="144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9">
    <w:lvl w:ilvl="0">
      <w:start w:val="7"/>
      <w:numFmt w:val="decimal"/>
      <w:lvlText w:val="%1"/>
      <w:lvlJc w:val="start"/>
      <w:pPr>
        <w:tabs>
          <w:tab w:val="num" w:pos="420"/>
        </w:tabs>
        <w:ind w:start="420" w:hanging="420"/>
      </w:pPr>
      <w:rPr/>
    </w:lvl>
    <w:lvl w:ilvl="1">
      <w:start w:val="2"/>
      <w:numFmt w:val="decimal"/>
      <w:lvlText w:val="%1.%2"/>
      <w:lvlJc w:val="start"/>
      <w:pPr>
        <w:tabs>
          <w:tab w:val="num" w:pos="420"/>
        </w:tabs>
        <w:ind w:start="420" w:hanging="420"/>
      </w:pPr>
      <w:rPr/>
    </w:lvl>
    <w:lvl w:ilvl="2">
      <w:start w:val="1"/>
      <w:numFmt w:val="decimal"/>
      <w:lvlText w:val="%1.%2.%3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720"/>
        </w:tabs>
        <w:ind w:start="720" w:hanging="720"/>
      </w:pPr>
      <w:rPr/>
    </w:lvl>
    <w:lvl w:ilvl="4">
      <w:start w:val="1"/>
      <w:numFmt w:val="decimal"/>
      <w:lvlText w:val="%1.%2.%3.%4.%5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1800"/>
        </w:tabs>
        <w:ind w:start="1800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outlineLvl w:val="0"/>
    </w:pPr>
    <w:rPr>
      <w:rFonts w:ascii="Arial" w:hAnsi="Arial" w:cs="Arial"/>
      <w:b/>
      <w:lang w:val="bg-BG"/>
    </w:rPr>
  </w:style>
  <w:style w:type="paragraph" w:styleId="Heading2">
    <w:name w:val="heading 2"/>
    <w:basedOn w:val="Normal"/>
    <w:next w:val="Normal"/>
    <w:qFormat/>
    <w:pPr>
      <w:keepNext w:val="true"/>
      <w:widowControl/>
      <w:numPr>
        <w:ilvl w:val="1"/>
        <w:numId w:val="1"/>
      </w:numPr>
      <w:jc w:val="both"/>
      <w:outlineLvl w:val="1"/>
    </w:pPr>
    <w:rPr>
      <w:bCs/>
      <w:i/>
      <w:sz w:val="24"/>
      <w:lang w:val="bg-BG"/>
    </w:rPr>
  </w:style>
  <w:style w:type="character" w:styleId="WW8Num2z0">
    <w:name w:val="WW8Num2z0"/>
    <w:qFormat/>
    <w:rPr>
      <w:rFonts w:ascii="Symbol" w:hAnsi="Symbol" w:cs="Symbol"/>
      <w:spacing w:val="0"/>
      <w:kern w:val="2"/>
      <w:position w:val="0"/>
      <w:sz w:val="24"/>
      <w:vertAlign w:val="baseline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  <w:spacing w:val="0"/>
      <w:kern w:val="2"/>
      <w:position w:val="0"/>
      <w:sz w:val="24"/>
      <w:vertAlign w:val="baseline"/>
    </w:rPr>
  </w:style>
  <w:style w:type="character" w:styleId="WW8Num8z0">
    <w:name w:val="WW8Num8z0"/>
    <w:qFormat/>
    <w:rPr>
      <w:rFonts w:ascii="Symbol" w:hAnsi="Symbol" w:cs="Symbol"/>
      <w:spacing w:val="0"/>
      <w:kern w:val="2"/>
      <w:position w:val="0"/>
      <w:sz w:val="24"/>
      <w:vertAlign w:val="baseline"/>
    </w:rPr>
  </w:style>
  <w:style w:type="character" w:styleId="WW8Num9z0">
    <w:name w:val="WW8Num9z0"/>
    <w:qFormat/>
    <w:rPr>
      <w:rFonts w:ascii="Symbol" w:hAnsi="Symbol" w:cs="Symbol"/>
      <w:spacing w:val="0"/>
      <w:kern w:val="2"/>
      <w:position w:val="0"/>
      <w:sz w:val="24"/>
      <w:vertAlign w:val="baseline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9z0">
    <w:name w:val="WW8Num19z0"/>
    <w:qFormat/>
    <w:rPr>
      <w:rFonts w:ascii="Symbol" w:hAnsi="Symbol" w:cs="Symbol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1z0">
    <w:name w:val="WW8Num21z0"/>
    <w:qFormat/>
    <w:rPr>
      <w:rFonts w:ascii="Symbol" w:hAnsi="Symbol" w:cs="Symbol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2z0">
    <w:name w:val="WW8Num22z0"/>
    <w:qFormat/>
    <w:rPr>
      <w:rFonts w:ascii="Symbol" w:hAnsi="Symbol" w:cs="Symbol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3z0">
    <w:name w:val="WW8Num23z0"/>
    <w:qFormat/>
    <w:rPr>
      <w:rFonts w:ascii="Symbol" w:hAnsi="Symbol" w:cs="Symbol"/>
      <w:spacing w:val="0"/>
      <w:kern w:val="2"/>
      <w:position w:val="0"/>
      <w:sz w:val="24"/>
      <w:vertAlign w:val="baseline"/>
    </w:rPr>
  </w:style>
  <w:style w:type="character" w:styleId="WW8Num24z0">
    <w:name w:val="WW8Num24z0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4z3">
    <w:name w:val="WW8Num24z3"/>
    <w:qFormat/>
    <w:rPr>
      <w:rFonts w:ascii="Symbol" w:hAnsi="Symbol" w:cs="Symbol"/>
    </w:rPr>
  </w:style>
  <w:style w:type="character" w:styleId="WW8Num25z0">
    <w:name w:val="WW8Num25z0"/>
    <w:qFormat/>
    <w:rPr/>
  </w:style>
  <w:style w:type="character" w:styleId="WW8Num26z0">
    <w:name w:val="WW8Num26z0"/>
    <w:qFormat/>
    <w:rPr>
      <w:rFonts w:ascii="Symbol" w:hAnsi="Symbol" w:cs="Symbol"/>
      <w:spacing w:val="0"/>
      <w:kern w:val="2"/>
      <w:position w:val="0"/>
      <w:sz w:val="24"/>
      <w:vertAlign w:val="baseline"/>
    </w:rPr>
  </w:style>
  <w:style w:type="character" w:styleId="WW8Num27z0">
    <w:name w:val="WW8Num27z0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7z3">
    <w:name w:val="WW8Num27z3"/>
    <w:qFormat/>
    <w:rPr>
      <w:rFonts w:ascii="Symbol" w:hAnsi="Symbol" w:cs="Symbol"/>
    </w:rPr>
  </w:style>
  <w:style w:type="character" w:styleId="WW8Num28z0">
    <w:name w:val="WW8Num28z0"/>
    <w:qFormat/>
    <w:rPr>
      <w:rFonts w:ascii="Symbol" w:hAnsi="Symbol" w:cs="Symbol"/>
    </w:rPr>
  </w:style>
  <w:style w:type="character" w:styleId="WW8Num28z1">
    <w:name w:val="WW8Num28z1"/>
    <w:qFormat/>
    <w:rPr>
      <w:rFonts w:ascii="Courier New" w:hAnsi="Courier New" w:cs="Courier New"/>
    </w:rPr>
  </w:style>
  <w:style w:type="character" w:styleId="WW8Num28z2">
    <w:name w:val="WW8Num28z2"/>
    <w:qFormat/>
    <w:rPr>
      <w:rFonts w:ascii="Wingdings" w:hAnsi="Wingdings" w:cs="Wingdings"/>
    </w:rPr>
  </w:style>
  <w:style w:type="character" w:styleId="WW8Num29z0">
    <w:name w:val="WW8Num29z0"/>
    <w:qFormat/>
    <w:rPr>
      <w:rFonts w:ascii="Symbol" w:hAnsi="Symbol" w:cs="Symbol"/>
      <w:spacing w:val="0"/>
      <w:kern w:val="2"/>
      <w:position w:val="0"/>
      <w:sz w:val="24"/>
      <w:vertAlign w:val="baseline"/>
    </w:rPr>
  </w:style>
  <w:style w:type="character" w:styleId="WW8Num30z0">
    <w:name w:val="WW8Num30z0"/>
    <w:qFormat/>
    <w:rPr>
      <w:rFonts w:ascii="Symbol" w:hAnsi="Symbol" w:cs="Symbol"/>
    </w:rPr>
  </w:style>
  <w:style w:type="character" w:styleId="WW8Num31z0">
    <w:name w:val="WW8Num31z0"/>
    <w:qFormat/>
    <w:rPr>
      <w:rFonts w:ascii="Symbol" w:hAnsi="Symbol" w:cs="Symbol"/>
    </w:rPr>
  </w:style>
  <w:style w:type="character" w:styleId="WW8Num31z1">
    <w:name w:val="WW8Num31z1"/>
    <w:qFormat/>
    <w:rPr>
      <w:rFonts w:ascii="Courier New" w:hAnsi="Courier New" w:cs="Courier New"/>
    </w:rPr>
  </w:style>
  <w:style w:type="character" w:styleId="WW8Num31z2">
    <w:name w:val="WW8Num31z2"/>
    <w:qFormat/>
    <w:rPr>
      <w:rFonts w:ascii="Wingdings" w:hAnsi="Wingdings" w:cs="Wingdings"/>
    </w:rPr>
  </w:style>
  <w:style w:type="character" w:styleId="WW8Num32z0">
    <w:name w:val="WW8Num32z0"/>
    <w:qFormat/>
    <w:rPr>
      <w:rFonts w:ascii="Courier New" w:hAnsi="Courier New" w:cs="Courier New"/>
    </w:rPr>
  </w:style>
  <w:style w:type="character" w:styleId="WW8Num32z2">
    <w:name w:val="WW8Num32z2"/>
    <w:qFormat/>
    <w:rPr>
      <w:rFonts w:ascii="Wingdings" w:hAnsi="Wingdings" w:cs="Wingdings"/>
    </w:rPr>
  </w:style>
  <w:style w:type="character" w:styleId="WW8Num32z3">
    <w:name w:val="WW8Num32z3"/>
    <w:qFormat/>
    <w:rPr>
      <w:rFonts w:ascii="Symbol" w:hAnsi="Symbol" w:cs="Symbol"/>
    </w:rPr>
  </w:style>
  <w:style w:type="character" w:styleId="WW8Num33z0">
    <w:name w:val="WW8Num33z0"/>
    <w:qFormat/>
    <w:rPr>
      <w:rFonts w:ascii="Symbol" w:hAnsi="Symbol" w:cs="Symbol"/>
    </w:rPr>
  </w:style>
  <w:style w:type="character" w:styleId="WW8Num33z1">
    <w:name w:val="WW8Num33z1"/>
    <w:qFormat/>
    <w:rPr>
      <w:rFonts w:ascii="Courier New" w:hAnsi="Courier New" w:cs="Courier New"/>
    </w:rPr>
  </w:style>
  <w:style w:type="character" w:styleId="WW8Num33z2">
    <w:name w:val="WW8Num33z2"/>
    <w:qFormat/>
    <w:rPr>
      <w:rFonts w:ascii="Wingdings" w:hAnsi="Wingdings" w:cs="Wingdings"/>
    </w:rPr>
  </w:style>
  <w:style w:type="character" w:styleId="WW8Num34z0">
    <w:name w:val="WW8Num34z0"/>
    <w:qFormat/>
    <w:rPr>
      <w:rFonts w:ascii="Symbol" w:hAnsi="Symbol" w:cs="Symbol"/>
    </w:rPr>
  </w:style>
  <w:style w:type="character" w:styleId="WW8Num34z2">
    <w:name w:val="WW8Num34z2"/>
    <w:qFormat/>
    <w:rPr>
      <w:rFonts w:ascii="Wingdings" w:hAnsi="Wingdings" w:cs="Wingdings"/>
    </w:rPr>
  </w:style>
  <w:style w:type="character" w:styleId="WW8Num34z4">
    <w:name w:val="WW8Num34z4"/>
    <w:qFormat/>
    <w:rPr>
      <w:rFonts w:ascii="Courier New" w:hAnsi="Courier New" w:cs="Courier New"/>
    </w:rPr>
  </w:style>
  <w:style w:type="character" w:styleId="WW8Num35z0">
    <w:name w:val="WW8Num35z0"/>
    <w:qFormat/>
    <w:rPr>
      <w:rFonts w:ascii="Symbol" w:hAnsi="Symbol" w:cs="Symbol"/>
    </w:rPr>
  </w:style>
  <w:style w:type="character" w:styleId="WW8Num36z0">
    <w:name w:val="WW8Num36z0"/>
    <w:qFormat/>
    <w:rPr>
      <w:rFonts w:ascii="Symbol" w:hAnsi="Symbol" w:cs="Symbol"/>
    </w:rPr>
  </w:style>
  <w:style w:type="character" w:styleId="WW8Num37z0">
    <w:name w:val="WW8Num37z0"/>
    <w:qFormat/>
    <w:rPr>
      <w:rFonts w:ascii="Symbol" w:hAnsi="Symbol" w:cs="Symbol"/>
    </w:rPr>
  </w:style>
  <w:style w:type="character" w:styleId="WW8Num37z1">
    <w:name w:val="WW8Num37z1"/>
    <w:qFormat/>
    <w:rPr>
      <w:rFonts w:ascii="Courier New" w:hAnsi="Courier New" w:cs="Courier New"/>
    </w:rPr>
  </w:style>
  <w:style w:type="character" w:styleId="WW8Num37z2">
    <w:name w:val="WW8Num37z2"/>
    <w:qFormat/>
    <w:rPr>
      <w:rFonts w:ascii="Wingdings" w:hAnsi="Wingdings" w:cs="Wingdings"/>
    </w:rPr>
  </w:style>
  <w:style w:type="character" w:styleId="WW8Num38z0">
    <w:name w:val="WW8Num38z0"/>
    <w:qFormat/>
    <w:rPr>
      <w:rFonts w:ascii="Symbol" w:hAnsi="Symbol" w:cs="Symbol"/>
      <w:spacing w:val="0"/>
      <w:kern w:val="2"/>
      <w:position w:val="0"/>
      <w:sz w:val="24"/>
      <w:vertAlign w:val="baseline"/>
    </w:rPr>
  </w:style>
  <w:style w:type="character" w:styleId="WW8Num39z0">
    <w:name w:val="WW8Num39z0"/>
    <w:qFormat/>
    <w:rPr>
      <w:rFonts w:ascii="Symbol" w:hAnsi="Symbol" w:cs="Symbol"/>
    </w:rPr>
  </w:style>
  <w:style w:type="character" w:styleId="WW8Num40z0">
    <w:name w:val="WW8Num40z0"/>
    <w:qFormat/>
    <w:rPr>
      <w:rFonts w:ascii="Symbol" w:hAnsi="Symbol" w:cs="Symbol"/>
    </w:rPr>
  </w:style>
  <w:style w:type="character" w:styleId="WW8Num40z1">
    <w:name w:val="WW8Num40z1"/>
    <w:qFormat/>
    <w:rPr>
      <w:rFonts w:ascii="Courier New" w:hAnsi="Courier New" w:cs="Courier New"/>
    </w:rPr>
  </w:style>
  <w:style w:type="character" w:styleId="WW8Num40z2">
    <w:name w:val="WW8Num40z2"/>
    <w:qFormat/>
    <w:rPr>
      <w:rFonts w:ascii="Wingdings" w:hAnsi="Wingdings" w:cs="Wingdings"/>
    </w:rPr>
  </w:style>
  <w:style w:type="character" w:styleId="WW8Num41z0">
    <w:name w:val="WW8Num41z0"/>
    <w:qFormat/>
    <w:rPr>
      <w:rFonts w:ascii="Symbol" w:hAnsi="Symbol" w:cs="Symbol"/>
    </w:rPr>
  </w:style>
  <w:style w:type="character" w:styleId="WW8Num42z0">
    <w:name w:val="WW8Num42z0"/>
    <w:qFormat/>
    <w:rPr/>
  </w:style>
  <w:style w:type="character" w:styleId="WW8Num43z0">
    <w:name w:val="WW8Num43z0"/>
    <w:qFormat/>
    <w:rPr>
      <w:rFonts w:ascii="Symbol" w:hAnsi="Symbol" w:cs="Symbol"/>
    </w:rPr>
  </w:style>
  <w:style w:type="character" w:styleId="WW8Num44z0">
    <w:name w:val="WW8Num44z0"/>
    <w:qFormat/>
    <w:rPr>
      <w:rFonts w:ascii="Symbol" w:hAnsi="Symbol" w:cs="Symbol"/>
    </w:rPr>
  </w:style>
  <w:style w:type="character" w:styleId="WW8NumSt1z0">
    <w:name w:val="WW8NumSt1z0"/>
    <w:qFormat/>
    <w:rPr>
      <w:rFonts w:ascii="Symbol" w:hAnsi="Symbol" w:cs="Symbol"/>
    </w:rPr>
  </w:style>
  <w:style w:type="character" w:styleId="Style12">
    <w:name w:val="Шрифт на абзаца по подразбиране"/>
    <w:qFormat/>
    <w:rPr/>
  </w:style>
  <w:style w:type="character" w:styleId="PageNumber">
    <w:name w:val="page number"/>
    <w:rPr>
      <w:sz w:val="20"/>
    </w:rPr>
  </w:style>
  <w:style w:type="character" w:styleId="Style13">
    <w:name w:val="Препратка към коментар"/>
    <w:qFormat/>
    <w:rPr>
      <w:sz w:val="16"/>
    </w:rPr>
  </w:style>
  <w:style w:type="paragraph" w:styleId="Style14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widowControl/>
      <w:jc w:val="both"/>
    </w:pPr>
    <w:rPr>
      <w:sz w:val="24"/>
      <w:lang w:val="bg-BG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"/>
    <w:basedOn w:val="Normal"/>
    <w:qFormat/>
    <w:pPr>
      <w:suppressLineNumbers/>
    </w:pPr>
    <w:rPr>
      <w:rFonts w:cs="Arial"/>
    </w:rPr>
  </w:style>
  <w:style w:type="paragraph" w:styleId="Style16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Style17">
    <w:name w:val="Текст на коментар"/>
    <w:basedOn w:val="Normal"/>
    <w:qFormat/>
    <w:pPr/>
    <w:rPr/>
  </w:style>
  <w:style w:type="paragraph" w:styleId="Char">
    <w:name w:val=" Char"/>
    <w:basedOn w:val="Normal"/>
    <w:qFormat/>
    <w:pPr>
      <w:widowControl/>
      <w:tabs>
        <w:tab w:val="clear" w:pos="720"/>
        <w:tab w:val="left" w:pos="709" w:leader="none"/>
      </w:tabs>
    </w:pPr>
    <w:rPr>
      <w:rFonts w:ascii="Tahoma" w:hAnsi="Tahoma" w:cs="Tahoma"/>
      <w:sz w:val="24"/>
      <w:szCs w:val="24"/>
      <w:lang w:val="pl-PL"/>
    </w:rPr>
  </w:style>
  <w:style w:type="paragraph" w:styleId="-">
    <w:name w:val="Рамка - съдържание"/>
    <w:basedOn w:val="Normal"/>
    <w:qFormat/>
    <w:pPr/>
    <w:rPr/>
  </w:style>
  <w:style w:type="paragraph" w:styleId="-1">
    <w:name w:val="Таблица - съдържание"/>
    <w:basedOn w:val="Normal"/>
    <w:qFormat/>
    <w:pPr>
      <w:widowControl w:val="false"/>
      <w:suppressLineNumbers/>
    </w:pPr>
    <w:rPr/>
  </w:style>
  <w:style w:type="paragraph" w:styleId="-2">
    <w:name w:val="Таблица - заглавие"/>
    <w:basedOn w:val="-1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2016-04-03T14:23:00Z</dcterms:created>
  <dc:creator>МТ</dc:creator>
  <dc:description/>
  <cp:keywords/>
  <dc:language>bg-BG</dc:language>
  <cp:lastModifiedBy>Силвия Мирчева</cp:lastModifiedBy>
  <cp:lastPrinted>2004-12-10T16:33:00Z</cp:lastPrinted>
  <dcterms:modified xsi:type="dcterms:W3CDTF">2022-04-02T15:12:00Z</dcterms:modified>
  <cp:revision>15</cp:revision>
  <dc:subject>ПК</dc:subject>
  <dc:title>Управление на документите</dc:title>
</cp:coreProperties>
</file>