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Тази процедура определя реда за извършване на мониторинг на околната среда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и условията на труд. Мониторингът може да има две страни – физически мониторинг на параметрите на околната страна и условията на труд и организационен мониторинг – на ефективното функциониране на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мониторинга в рамките на системата за управление е необходимо да бъдат извършени следните дейности</w:t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2054225"/>
                <wp:effectExtent l="9525" t="10160" r="87630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205416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1164600"/>
                            <a:gd name="textAreaBottom" fmla="*/ 1164960 h 1164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Политика и цели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en-GB" w:bidi="ar-SA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bidi="ar-SA" w:val="bg-BG"/>
                              </w:rPr>
                              <w:t>нформация от идентификация на аспектите на ОС и рисковете за здравето;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en-GB" w:bidi="ar-SA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bidi="ar-SA" w:val="bg-BG"/>
                              </w:rPr>
                              <w:t>перативно управление, информация за  инциденти и несъответствия;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161.7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Политика и цели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en-GB" w:bidi="ar-SA"/>
                        </w:rPr>
                        <w:t>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bidi="ar-SA" w:val="bg-BG"/>
                        </w:rPr>
                        <w:t>нформация от идентификация на аспектите на ОС и рисковете за здравето;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en-GB" w:bidi="ar-SA"/>
                        </w:rPr>
                        <w:t>О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bidi="ar-SA" w:val="bg-BG"/>
                        </w:rPr>
                        <w:t>перативно управление, информация за  инциденти и несъответствия;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1790065"/>
                <wp:effectExtent l="9525" t="10160" r="87630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7899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1014840"/>
                            <a:gd name="textAreaBottom" fmla="*/ 1015200 h 1014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Планирана и организирана дейност по извършване на мониторинг на ОС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40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Планирана и организирана дейност по извършване на мониторинг на ОС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71323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78943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ind w:start="113" w:end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Изготвяне на план за мониторинг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мерки за  предварителен и последващ контрол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методи, ред и организация за мониторинга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140.9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ind w:start="113" w:end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Изготвяне на план за мониторинг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мерки за  предварителен и последващ контрол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методи, ред и организация за мониторинга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Управител: 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всички дейности по процеса на мониторинг;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Утвърждава оперативни планове;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 за протичане на процеса;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резултатите от процеса.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по управление: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Планира дейността;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Поддържа връзка с компетентните органи за извършване анализи на елементите на ОС и условията на труд;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ръководи дейностите по протичане на процеса;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необходимите проверки на процеса;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Изготвя доклади за резултатите от процеса;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Ръководители на структурни звена и изпълнителски персонал: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Спазват изискванията по опазване на околната среда и мерките за безопасност при работа;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Информират мениджъра за отклонения и несъответствия в работните процеси;  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Съдействат на мениджъра по управление при провеждане на дейностите по процеса;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„Мониторинг” са процеси: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>Оперативно управление</w:t>
      </w:r>
      <w:r>
        <w:rPr>
          <w:sz w:val="24"/>
          <w:szCs w:val="24"/>
          <w:lang w:val="bg-BG"/>
        </w:rPr>
        <w:t>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Преглед от ръководството;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Непрекъснато подобряване.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 xml:space="preserve">Основен критерий за ефективност на процеса по извършване на мониторинг е надеждната информираност за състоянието на процесите и намаляването на риска от инциденти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84" w:leader="none"/>
        </w:tabs>
        <w:ind w:hanging="284" w:start="284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Несъответствие</w:t>
      </w:r>
      <w:r>
        <w:rPr>
          <w:sz w:val="24"/>
          <w:lang w:val="bg-BG"/>
        </w:rPr>
        <w:t xml:space="preserve"> – инциденти и несъответствия от изискванията на СУОС, които са довели или могат да доведат до отрицателни въздействия върху околната среда;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1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Планиране на дейността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5169"/>
        <w:gridCol w:w="4155"/>
      </w:tblGrid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№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Елемент 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Информационен източник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Основание за мониторинг  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Съответен нормативен документ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Обхват – дейности или области за които се отнася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Аспекти на ОС и Условия на труд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Норми за оценяване на данните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Нормативни документи,</w:t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външна организация 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>Честота на наблюдения и измервания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Лица/ Организации извършващи измерването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Инструкции,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външни организации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Измервателна апаратура и методика за измерването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Изисквания, Работни инструкции,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външни организации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Документиране и отчитане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отговорности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</w:t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Информиране на заинтересованите страни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формуляри</w:t>
            </w:r>
          </w:p>
        </w:tc>
      </w:tr>
      <w:tr>
        <w:trPr/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и оценка на ефективността</w:t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Процедури и инструкции</w:t>
            </w:r>
          </w:p>
        </w:tc>
      </w:tr>
    </w:tbl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 xml:space="preserve">Планирането на дейностите се извършва от Мениджър УОС, който разработва </w:t>
      </w:r>
      <w:r>
        <w:rPr>
          <w:color w:val="000000"/>
          <w:sz w:val="24"/>
          <w:szCs w:val="24"/>
          <w:lang w:val="bg-BG"/>
        </w:rPr>
        <w:t>„</w:t>
      </w:r>
      <w:r>
        <w:rPr>
          <w:bCs/>
          <w:sz w:val="24"/>
          <w:lang w:val="ru-RU"/>
        </w:rPr>
        <w:t>План за мониторинг</w:t>
      </w:r>
      <w:r>
        <w:rPr>
          <w:color w:val="000000"/>
          <w:sz w:val="24"/>
          <w:szCs w:val="24"/>
          <w:lang w:val="bg-BG"/>
        </w:rPr>
        <w:t>”</w:t>
      </w:r>
      <w:r>
        <w:rPr>
          <w:bCs/>
          <w:sz w:val="24"/>
          <w:lang w:val="ru-RU"/>
        </w:rPr>
        <w:t xml:space="preserve"> </w:t>
      </w:r>
      <w:r>
        <w:rPr>
          <w:bCs/>
          <w:sz w:val="24"/>
          <w:lang w:val="en-US"/>
        </w:rPr>
        <w:t>OD</w:t>
      </w:r>
      <w:r>
        <w:rPr>
          <w:bCs/>
          <w:sz w:val="24"/>
          <w:lang w:val="ru-RU"/>
        </w:rPr>
        <w:t xml:space="preserve"> 04.05.01-2</w:t>
      </w:r>
      <w:r>
        <w:rPr>
          <w:bCs/>
          <w:sz w:val="24"/>
          <w:lang w:val="bg-BG"/>
        </w:rPr>
        <w:t>. Честотата на наблюденията е месечна. Веднъж в месеца за се извършват наблюдения за състоянието на ОС</w:t>
      </w:r>
      <w:r>
        <w:rPr>
          <w:bCs/>
          <w:sz w:val="24"/>
          <w:lang w:val="en-US"/>
        </w:rPr>
        <w:t xml:space="preserve"> </w:t>
      </w:r>
      <w:r>
        <w:rPr>
          <w:bCs/>
          <w:sz w:val="24"/>
          <w:lang w:val="bg-BG"/>
        </w:rPr>
        <w:t>и условията на труд. При необходимост Мениджър по управление може да разпореди и по-често извършване на мониторинг и наблюдения.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7.2 Провеждане на мониторинг на ОС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 xml:space="preserve">Физическото извършване на анализ на реални или потенциални замърсители се извършва от акредитирани лаборатории и други организации по поръчка на фирмата. За проведените измервания и анализи от организацията се изисква документ – протокол за измерванията, който се съхранява от мениджъра по управление в хронологичен ред в Дневник за мониторинга на обекти. Дневникът се води от Мениджър по управление, който документира в него проведените действия, извършените измервания, извънредните ситуации и предприетите действия. 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Физическото извършване на анализ на факторите на работната среда също се извършва от външни акредитирани лаборатории. За проведените измервания се изисква протокол с резултати, който се съхранява от отговорното по ЗЗБУТ лице.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7.4 Мониторинг на ефективността на работата по управление на ОС и условията на труд</w:t>
      </w:r>
    </w:p>
    <w:p>
      <w:pPr>
        <w:pStyle w:val="Normal"/>
        <w:widowControl/>
        <w:jc w:val="both"/>
        <w:rPr/>
      </w:pPr>
      <w:r>
        <w:rPr>
          <w:sz w:val="24"/>
          <w:szCs w:val="24"/>
          <w:lang w:val="bg-BG"/>
        </w:rPr>
        <w:t>Мониторинг на ефективността на работата на интегрираната система за управление се извършва във връзка с провеждането на планови и извънредни вътрешни одити, при провеждане на преглед на ръководството и за текущ анализ и оценка на състоянието на системата.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szCs w:val="24"/>
          <w:lang w:val="bg-BG"/>
        </w:rPr>
        <w:t xml:space="preserve">Документирането на резултатите от мониторинга може да става в доклад в свободна форма, или ако той съпътства документиране на несъответствие или провеждане на вътрешен одит – в съответните оперативни документи. В резултат от мониторинга могат да се предприемат коригиращи и превантивни действия, които се документират съгласно </w:t>
      </w:r>
      <w:r>
        <w:rPr>
          <w:sz w:val="24"/>
          <w:szCs w:val="24"/>
          <w:lang w:val="en-US"/>
        </w:rPr>
        <w:t>PK</w:t>
      </w:r>
      <w:r>
        <w:rPr>
          <w:color w:val="000000"/>
          <w:sz w:val="24"/>
          <w:szCs w:val="24"/>
          <w:lang w:val="bg-BG"/>
        </w:rPr>
        <w:t xml:space="preserve"> </w:t>
      </w:r>
      <w:r>
        <w:rPr>
          <w:color w:val="0000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bg-BG"/>
        </w:rPr>
        <w:t>.0</w:t>
      </w:r>
      <w:r>
        <w:rPr>
          <w:color w:val="000000"/>
          <w:sz w:val="24"/>
          <w:szCs w:val="24"/>
          <w:lang w:val="en-US"/>
        </w:rPr>
        <w:t>2</w:t>
      </w:r>
      <w:r>
        <w:rPr>
          <w:color w:val="000000"/>
          <w:sz w:val="24"/>
          <w:szCs w:val="24"/>
          <w:lang w:val="bg-BG"/>
        </w:rPr>
        <w:t>.0</w:t>
      </w:r>
      <w:r>
        <w:rPr>
          <w:color w:val="000000"/>
          <w:sz w:val="24"/>
          <w:szCs w:val="24"/>
          <w:lang w:val="en-US"/>
        </w:rPr>
        <w:t>0</w:t>
      </w:r>
      <w:r>
        <w:rPr>
          <w:color w:val="000000"/>
          <w:sz w:val="24"/>
          <w:szCs w:val="24"/>
          <w:lang w:val="bg-BG"/>
        </w:rPr>
        <w:t xml:space="preserve"> „Несъответствия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bg-BG"/>
        </w:rPr>
        <w:t>и коригиращи действия”.</w:t>
      </w:r>
    </w:p>
    <w:p>
      <w:pPr>
        <w:pStyle w:val="Normal"/>
        <w:widowControl/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color w:val="000000"/>
          <w:sz w:val="24"/>
          <w:szCs w:val="24"/>
          <w:lang w:val="bg-BG"/>
        </w:rPr>
      </w:pPr>
      <w:r>
        <w:rPr>
          <w:b/>
          <w:color w:val="000000"/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3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en-US"/>
        </w:rPr>
        <w:t>POS</w:t>
      </w:r>
      <w:r>
        <w:rPr>
          <w:color w:val="000000"/>
          <w:sz w:val="24"/>
          <w:szCs w:val="24"/>
          <w:lang w:val="bg-BG"/>
        </w:rPr>
        <w:t xml:space="preserve"> 06.01.00 „Аспекти на околната среда”</w:t>
      </w:r>
    </w:p>
    <w:p>
      <w:pPr>
        <w:pStyle w:val="Normal"/>
        <w:widowControl/>
        <w:numPr>
          <w:ilvl w:val="0"/>
          <w:numId w:val="3"/>
        </w:num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en-US"/>
        </w:rPr>
        <w:t>IP</w:t>
      </w:r>
      <w:r>
        <w:rPr>
          <w:color w:val="000000"/>
          <w:sz w:val="24"/>
          <w:szCs w:val="24"/>
          <w:lang w:val="bg-BG"/>
        </w:rPr>
        <w:t xml:space="preserve"> 08.02.00 „Оперативно управление”</w:t>
      </w:r>
    </w:p>
    <w:p>
      <w:pPr>
        <w:pStyle w:val="Normal"/>
        <w:widowControl/>
        <w:numPr>
          <w:ilvl w:val="0"/>
          <w:numId w:val="3"/>
        </w:numPr>
        <w:jc w:val="both"/>
        <w:rPr>
          <w:bCs/>
          <w:sz w:val="24"/>
          <w:lang w:val="bg-BG"/>
        </w:rPr>
      </w:pPr>
      <w:r>
        <w:rPr>
          <w:color w:val="000000"/>
          <w:sz w:val="24"/>
          <w:szCs w:val="24"/>
          <w:lang w:val="en-US"/>
        </w:rPr>
        <w:t>IP</w:t>
      </w:r>
      <w:r>
        <w:rPr>
          <w:color w:val="000000"/>
          <w:sz w:val="24"/>
          <w:szCs w:val="24"/>
          <w:lang w:val="bg-BG"/>
        </w:rPr>
        <w:t xml:space="preserve"> 10.02.00 „Несъответствия и коригиращи действия”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09.01.00-1 „Дневник за мониторинг”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09.01.00-</w:t>
      </w:r>
      <w:r>
        <w:rPr>
          <w:bCs/>
          <w:sz w:val="24"/>
          <w:lang w:val="en-US"/>
        </w:rPr>
        <w:t>2</w:t>
      </w:r>
      <w:r>
        <w:rPr>
          <w:bCs/>
          <w:sz w:val="24"/>
          <w:lang w:val="bg-BG"/>
        </w:rPr>
        <w:t xml:space="preserve"> „План за мониторинг”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708" w:gutter="0" w:header="567" w:top="851" w:footer="0" w:bottom="156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ru-RU"/>
            </w:rPr>
            <w:t>09</w:t>
          </w:r>
          <w:r>
            <w:rPr>
              <w:b/>
              <w:lang w:val="bg-BG"/>
            </w:rPr>
            <w:t>.01.00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 14001</w:t>
          </w:r>
          <w:r>
            <w:rPr>
              <w:lang w:val="bg-BG"/>
            </w:rPr>
            <w:t>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МОНИТОРИНГ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42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403"/>
      <w:gridCol w:w="1260"/>
      <w:gridCol w:w="1260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03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9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1.00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03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4</w:t>
          </w:r>
        </w:p>
      </w:tc>
    </w:tr>
    <w:tr>
      <w:trPr>
        <w:trHeight w:val="833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03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МОНИТОРИНГ</w:t>
          </w:r>
        </w:p>
      </w:tc>
      <w:tc>
        <w:tcPr>
          <w:tcW w:w="1260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3119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403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УОС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3119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4403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Style8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9">
    <w:name w:val="Препратка към коментар"/>
    <w:qFormat/>
    <w:rPr>
      <w:sz w:val="16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3">
    <w:name w:val="Текст на коментар"/>
    <w:basedOn w:val="Normal"/>
    <w:qFormat/>
    <w:pPr/>
    <w:rPr/>
  </w:style>
  <w:style w:type="paragraph" w:styleId="BodyTextIndent">
    <w:name w:val="Body Text Indent"/>
    <w:basedOn w:val="Normal"/>
    <w:pPr>
      <w:widowControl/>
      <w:overflowPunct w:val="false"/>
      <w:autoSpaceDE w:val="false"/>
      <w:spacing w:before="0" w:after="120"/>
      <w:ind w:hanging="0" w:start="283" w:end="0"/>
      <w:textAlignment w:val="baseline"/>
    </w:pPr>
    <w:rPr>
      <w:sz w:val="24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Char1">
    <w:name w:val="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2016-04-03T14:24:00Z</dcterms:created>
  <dc:creator>МТ</dc:creator>
  <dc:description/>
  <cp:keywords/>
  <dc:language>bg-BG</dc:language>
  <cp:lastModifiedBy>Силвия Мирчева</cp:lastModifiedBy>
  <cp:lastPrinted>2004-12-10T16:33:00Z</cp:lastPrinted>
  <dcterms:modified xsi:type="dcterms:W3CDTF">2022-04-02T15:15:00Z</dcterms:modified>
  <cp:revision>13</cp:revision>
  <dc:subject>ПК</dc:subject>
  <dc:title>Управление на документите</dc:title>
</cp:coreProperties>
</file>