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1. ЦЕЛ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 xml:space="preserve">Тази процедура определя реда, отговорностите, действията и движението на документите при управлението на продукт, който не съответства на определените изисквания, както и управлението на коригиращите действия. 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2. СЪДЪРЖАНИЕ НА ПРОЦЕСА</w:t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За реализирането на процеса на управление на несъответстващия продукт, е необходимо да бъдат извършени следните дейности: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firstLine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ВХОД</w:t>
        <w:tab/>
        <w:tab/>
        <w:tab/>
        <w:tab/>
        <w:t>ДЕЙНОСТИ</w:t>
        <w:tab/>
        <w:tab/>
        <w:tab/>
        <w:tab/>
        <w:t>ИЗХОД</w:t>
      </w:r>
    </w:p>
    <w:p>
      <w:pPr>
        <w:pStyle w:val="Normal"/>
        <w:widowControl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34925</wp:posOffset>
                </wp:positionV>
                <wp:extent cx="1689100" cy="1036320"/>
                <wp:effectExtent l="9525" t="9525" r="89535" b="8636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20" cy="1036440"/>
                        </a:xfrm>
                        <a:custGeom>
                          <a:avLst/>
                          <a:gdLst>
                            <a:gd name="textAreaLeft" fmla="*/ 0 w 957600"/>
                            <a:gd name="textAreaRight" fmla="*/ 957960 w 957600"/>
                            <a:gd name="textAreaTop" fmla="*/ 0 h 587520"/>
                            <a:gd name="textAreaBottom" fmla="*/ 587880 h 587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информация от наблюдение на продукта;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рекламации на клиенти;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контролни дейности</w:t>
                            </w:r>
                          </w:p>
                        </w:txbxContent>
                      </wps:txbx>
                      <wps:bodyPr lIns="17640" tIns="10800" rIns="17640" bIns="10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0800" path="m,l@2,l21600,10800l@2,21600l,21600xe">
                <v:stroke joinstyle="miter"/>
                <v:formulas>
                  <v:f eqn="val 21600"/>
                  <v:f eqn="val #0"/>
                  <v:f eqn="sum width 0 @1"/>
                  <v:f eqn="sum @2 width 0"/>
                  <v:f eqn="prod 1 @3 2"/>
                  <v:f eqn="prod @2 1 2"/>
                </v:formulas>
                <v:path gradientshapeok="t" o:connecttype="rect" textboxrect="0,0,@4,21600"/>
                <v:handles>
                  <v:h position="@2,0"/>
                </v:handles>
              </v:shapetype>
              <v:shape id="shape_0" fillcolor="white" stroked="t" o:allowincell="f" style="position:absolute;margin-left:3pt;margin-top:2.75pt;width:132.95pt;height:81.55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информация от наблюдение на продукта;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рекламации на клиенти;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контролни дейности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4435475</wp:posOffset>
                </wp:positionH>
                <wp:positionV relativeFrom="paragraph">
                  <wp:posOffset>9525</wp:posOffset>
                </wp:positionV>
                <wp:extent cx="1727200" cy="871855"/>
                <wp:effectExtent l="9525" t="10160" r="90805" b="8509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80" cy="871920"/>
                        </a:xfrm>
                        <a:custGeom>
                          <a:avLst/>
                          <a:gdLst>
                            <a:gd name="textAreaLeft" fmla="*/ 0 w 979200"/>
                            <a:gd name="textAreaRight" fmla="*/ 979560 w 979200"/>
                            <a:gd name="textAreaTop" fmla="*/ 0 h 494280"/>
                            <a:gd name="textAreaBottom" fmla="*/ 494280 h 494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eastAsia="NSimSun" w:ascii="Liberation Serif" w:hAnsi="Liberation Serif" w:cs="Arial"/>
                                <w:kern w:val="2"/>
                                <w:sz w:val="24"/>
                                <w:szCs w:val="24"/>
                                <w:lang w:val="bg-BG"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отстраняване на несъответствието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коригиращи действия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eastAsia="NSimSun" w:ascii="Liberation Serif" w:hAnsi="Liberation Serif" w:cs="Arial"/>
                                <w:kern w:val="2"/>
                                <w:sz w:val="24"/>
                                <w:szCs w:val="24"/>
                                <w:lang w:val="bg-BG" w:bidi="hi-IN"/>
                              </w:rPr>
                            </w:r>
                          </w:p>
                        </w:txbxContent>
                      </wps:txbx>
                      <wps:bodyPr lIns="17640" tIns="10800" rIns="17640" bIns="10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349.25pt;margin-top:0.75pt;width:135.95pt;height:68.6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eastAsia="NSimSun" w:ascii="Liberation Serif" w:hAnsi="Liberation Serif" w:cs="Arial"/>
                          <w:kern w:val="2"/>
                          <w:sz w:val="24"/>
                          <w:szCs w:val="24"/>
                          <w:lang w:val="bg-BG"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отстраняване на несъответствието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коригиращи действия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eastAsia="NSimSun" w:ascii="Liberation Serif" w:hAnsi="Liberation Serif" w:cs="Arial"/>
                          <w:kern w:val="2"/>
                          <w:sz w:val="24"/>
                          <w:szCs w:val="24"/>
                          <w:lang w:val="bg-BG" w:bidi="hi-IN"/>
                        </w:rPr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1835150</wp:posOffset>
                </wp:positionH>
                <wp:positionV relativeFrom="paragraph">
                  <wp:posOffset>12700</wp:posOffset>
                </wp:positionV>
                <wp:extent cx="2317750" cy="772160"/>
                <wp:effectExtent l="0" t="0" r="76200" b="76200"/>
                <wp:wrapNone/>
                <wp:docPr id="3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848360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numPr>
                                <w:ilvl w:val="0"/>
                                <w:numId w:val="12"/>
                              </w:numPr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установяване и документиране на несъответствие;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numPr>
                                <w:ilvl w:val="0"/>
                                <w:numId w:val="12"/>
                              </w:numPr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оценяване, преглед и разпореждане с несъответстващия продукт</w:t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8.5pt;height:66.8pt;mso-wrap-distance-left:9.05pt;mso-wrap-distance-right:9.05pt;mso-wrap-distance-top:0pt;mso-wrap-distance-bottom:0pt;margin-top:1pt;mso-position-vertical-relative:text;margin-left:144.5pt;mso-position-horizontal-relative:text">
                <v:shadow on="t" color="#808080" offset="6pt,6pt"/>
                <v:textbox>
                  <w:txbxContent>
                    <w:p>
                      <w:pPr>
                        <w:pStyle w:val="Normal"/>
                        <w:widowControl/>
                        <w:numPr>
                          <w:ilvl w:val="0"/>
                          <w:numId w:val="12"/>
                        </w:numPr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установяване и документиране на несъответствие;</w:t>
                      </w:r>
                    </w:p>
                    <w:p>
                      <w:pPr>
                        <w:pStyle w:val="Normal"/>
                        <w:widowControl/>
                        <w:numPr>
                          <w:ilvl w:val="0"/>
                          <w:numId w:val="12"/>
                        </w:numPr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оценяване, преглед и разпореждане с несъответстващия продукт</w:t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3. ОТГОВОРНОСТИ ЗА ИЗВЪРШВАНЕ НА ПРОЦЕСА  (собственик на процеса)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en-US"/>
        </w:rPr>
      </w:pPr>
      <w:r>
        <w:rPr>
          <w:b/>
          <w:sz w:val="24"/>
          <w:lang w:val="bg-BG"/>
        </w:rPr>
        <w:t>Управител:</w:t>
      </w:r>
    </w:p>
    <w:p>
      <w:pPr>
        <w:pStyle w:val="Normal"/>
        <w:widowControl/>
        <w:numPr>
          <w:ilvl w:val="0"/>
          <w:numId w:val="15"/>
        </w:numPr>
        <w:tabs>
          <w:tab w:val="clear" w:pos="720"/>
          <w:tab w:val="left" w:pos="360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>ръководи обсъжданията за установяване на причините, довели до несъответствие;</w:t>
      </w:r>
    </w:p>
    <w:p>
      <w:pPr>
        <w:pStyle w:val="Normal"/>
        <w:widowControl/>
        <w:numPr>
          <w:ilvl w:val="0"/>
          <w:numId w:val="15"/>
        </w:numPr>
        <w:tabs>
          <w:tab w:val="clear" w:pos="720"/>
          <w:tab w:val="left" w:pos="360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>извършва преглед и оценяване на несъответствията;</w:t>
      </w:r>
    </w:p>
    <w:p>
      <w:pPr>
        <w:pStyle w:val="Normal"/>
        <w:widowControl/>
        <w:numPr>
          <w:ilvl w:val="0"/>
          <w:numId w:val="15"/>
        </w:numPr>
        <w:tabs>
          <w:tab w:val="clear" w:pos="720"/>
          <w:tab w:val="left" w:pos="360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>одобрява становището за разпореждане;</w:t>
      </w:r>
    </w:p>
    <w:p>
      <w:pPr>
        <w:pStyle w:val="Normal"/>
        <w:widowControl/>
        <w:numPr>
          <w:ilvl w:val="0"/>
          <w:numId w:val="15"/>
        </w:numPr>
        <w:tabs>
          <w:tab w:val="clear" w:pos="720"/>
          <w:tab w:val="left" w:pos="360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>осъществява контрол по спазване на процедурата;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 xml:space="preserve">Ръководители на структурни звена и </w:t>
      </w:r>
      <w:r>
        <w:rPr>
          <w:b/>
          <w:sz w:val="24"/>
          <w:szCs w:val="24"/>
          <w:lang w:val="bg-BG"/>
        </w:rPr>
        <w:t>Мениджър по управление</w:t>
      </w:r>
      <w:r>
        <w:rPr>
          <w:b/>
          <w:sz w:val="24"/>
          <w:lang w:val="bg-BG"/>
        </w:rPr>
        <w:t>:</w:t>
      </w:r>
    </w:p>
    <w:p>
      <w:pPr>
        <w:pStyle w:val="Normal"/>
        <w:widowControl/>
        <w:numPr>
          <w:ilvl w:val="0"/>
          <w:numId w:val="3"/>
        </w:numPr>
        <w:jc w:val="both"/>
        <w:rPr>
          <w:b/>
          <w:sz w:val="24"/>
          <w:lang w:val="bg-BG"/>
        </w:rPr>
      </w:pPr>
      <w:r>
        <w:rPr>
          <w:sz w:val="24"/>
          <w:lang w:val="bg-BG"/>
        </w:rPr>
        <w:t>анализират причините, довели до несъответствието;</w:t>
      </w:r>
    </w:p>
    <w:p>
      <w:pPr>
        <w:pStyle w:val="Normal"/>
        <w:widowControl/>
        <w:numPr>
          <w:ilvl w:val="0"/>
          <w:numId w:val="3"/>
        </w:numPr>
        <w:jc w:val="both"/>
        <w:rPr>
          <w:b/>
          <w:sz w:val="24"/>
          <w:lang w:val="bg-BG"/>
        </w:rPr>
      </w:pPr>
      <w:r>
        <w:rPr>
          <w:sz w:val="24"/>
          <w:lang w:val="bg-BG"/>
        </w:rPr>
        <w:t>предлагат решение за отстраняване на несъответствието.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4. ПОТРЕБИТЕЛ НА ПРОЦЕСА </w:t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Потребители на процес „Несъответствия и коригиращи действия” са процесите, свързани с:</w:t>
      </w:r>
    </w:p>
    <w:p>
      <w:pPr>
        <w:pStyle w:val="Normal"/>
        <w:widowControl/>
        <w:numPr>
          <w:ilvl w:val="0"/>
          <w:numId w:val="10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анализ на данни;</w:t>
      </w:r>
    </w:p>
    <w:p>
      <w:pPr>
        <w:pStyle w:val="Normal"/>
        <w:widowControl/>
        <w:numPr>
          <w:ilvl w:val="0"/>
          <w:numId w:val="10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непрекъснато подобряване;</w:t>
      </w:r>
    </w:p>
    <w:p>
      <w:pPr>
        <w:pStyle w:val="Normal"/>
        <w:widowControl/>
        <w:numPr>
          <w:ilvl w:val="0"/>
          <w:numId w:val="10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коригиращи действия;</w:t>
      </w:r>
    </w:p>
    <w:p>
      <w:pPr>
        <w:pStyle w:val="Normal"/>
        <w:widowControl/>
        <w:numPr>
          <w:ilvl w:val="0"/>
          <w:numId w:val="10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преглед от ръководството.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5. КРИТЕРИИ ЗА ОЦЕНЯВАНЕ НА ПРОЦЕСА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ab/>
      </w:r>
    </w:p>
    <w:p>
      <w:pPr>
        <w:pStyle w:val="BodyText"/>
        <w:rPr/>
      </w:pPr>
      <w:r>
        <w:rPr/>
        <w:t>За ефективното и ефикасно протичане на процеса можем да съдим по:</w:t>
      </w:r>
    </w:p>
    <w:p>
      <w:pPr>
        <w:pStyle w:val="Normal"/>
        <w:widowControl/>
        <w:numPr>
          <w:ilvl w:val="0"/>
          <w:numId w:val="14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липса на повтарящи се несъответствия.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6. ТЕРМИНИ И ОПРЕДЕЛЕНИЯ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 xml:space="preserve">Несъответствие </w:t>
      </w:r>
      <w:r>
        <w:rPr>
          <w:sz w:val="24"/>
          <w:lang w:val="bg-BG"/>
        </w:rPr>
        <w:t>- неизпълнение на изискване;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Дефект</w:t>
      </w:r>
      <w:r>
        <w:rPr>
          <w:sz w:val="24"/>
          <w:lang w:val="bg-BG"/>
        </w:rPr>
        <w:t xml:space="preserve"> - неизпълнение на изискване, свързано с предназначена или специфична употреба;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Разпореждане с несъответстващ продукт</w:t>
      </w:r>
      <w:r>
        <w:rPr>
          <w:sz w:val="24"/>
          <w:lang w:val="bg-BG"/>
        </w:rPr>
        <w:t xml:space="preserve"> - действие, което трябва да се предприеме спрямо установения несъответстващ продукт;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Преработка</w:t>
      </w:r>
      <w:r>
        <w:rPr>
          <w:sz w:val="24"/>
          <w:lang w:val="bg-BG"/>
        </w:rPr>
        <w:t xml:space="preserve"> - действие върху несъответстващ продукт, за отстраняване на несъответствието; 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Бракуване</w:t>
      </w:r>
      <w:r>
        <w:rPr>
          <w:sz w:val="24"/>
          <w:lang w:val="bg-BG"/>
        </w:rPr>
        <w:t xml:space="preserve"> – действие върху несъответстващ продукт, за да не се допусне оригиналната му предназначена употреба;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Корекция</w:t>
      </w:r>
      <w:r>
        <w:rPr>
          <w:sz w:val="24"/>
          <w:lang w:val="bg-BG"/>
        </w:rPr>
        <w:t xml:space="preserve"> - действие за отстраняване на открито несъответствие;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Коригиращо действие</w:t>
      </w:r>
      <w:r>
        <w:rPr>
          <w:sz w:val="24"/>
          <w:lang w:val="bg-BG"/>
        </w:rPr>
        <w:t xml:space="preserve"> - действие, за отстраняване на причината за съществуващо несъответствие или за друга нежелана ситуация.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 ПРОЦЕДУРА</w:t>
      </w:r>
    </w:p>
    <w:p>
      <w:pPr>
        <w:pStyle w:val="2"/>
        <w:rPr>
          <w:rFonts w:ascii="Times New Roman" w:hAnsi="Times New Roman" w:cs="Times New Roman"/>
          <w:b/>
          <w:sz w:val="24"/>
          <w:lang w:val="bg-BG"/>
        </w:rPr>
      </w:pPr>
      <w:r>
        <w:rPr>
          <w:rFonts w:cs="Times New Roman" w:ascii="Times New Roman" w:hAnsi="Times New Roman"/>
          <w:b/>
          <w:sz w:val="24"/>
          <w:lang w:val="bg-BG"/>
        </w:rPr>
      </w:r>
    </w:p>
    <w:p>
      <w:pPr>
        <w:pStyle w:val="2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Независимо от взетите мерки, във фирмата могат да възникнат несъответстващи продукти: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породени от доставени некачествени материали;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породени от допуснати грешки при производството;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при крайния контрол на продукта;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в условия на реална експлоатация при клиента.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7.1. Установяване и документиране на несъответствие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 </w:t>
      </w:r>
    </w:p>
    <w:p>
      <w:pPr>
        <w:pStyle w:val="2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Несъответствията в дейността на фирмата могат да бъдат констатирани, но не се ограничават до посочените по-долу дейности и различни длъжностни лица:</w:t>
      </w:r>
    </w:p>
    <w:p>
      <w:pPr>
        <w:pStyle w:val="2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 доставка на материали - от отговорници за доставките;</w:t>
      </w:r>
    </w:p>
    <w:p>
      <w:pPr>
        <w:pStyle w:val="2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 време на основната дейност – от производствени ръководители;</w:t>
      </w:r>
    </w:p>
    <w:p>
      <w:pPr>
        <w:pStyle w:val="2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 или след предаване на продукта – от клиента или негови представители;</w:t>
      </w:r>
    </w:p>
    <w:p>
      <w:pPr>
        <w:pStyle w:val="2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 изпълнение на дейности и неспазване на определен ред, предвиден в стандарти, процедури, инструкции или други нормативни документи.</w:t>
      </w:r>
    </w:p>
    <w:p>
      <w:pPr>
        <w:pStyle w:val="2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2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При установяване на несъответствие, всяко от изброените длъжностни лица трябва да предприеме незабавни мерки за идентифициране и отделяне на несъответстващия продукт. В случай на установено несъответствие при входящия контрол, несъответстващата доставка се отделя на определено за целта място, като се означава с надпис „НЕСЪОТВЕТСТВАЩ ПРОДУКТ”. Самото несъответствие се документира в </w:t>
      </w:r>
      <w:r>
        <w:rPr>
          <w:rFonts w:cs="Times New Roman" w:ascii="Times New Roman" w:hAnsi="Times New Roman"/>
          <w:szCs w:val="24"/>
        </w:rPr>
        <w:t xml:space="preserve">OD 10.02.00-1 „Протокол за несъответствие” и се </w:t>
      </w:r>
      <w:r>
        <w:rPr>
          <w:rFonts w:cs="Times New Roman" w:ascii="Times New Roman" w:hAnsi="Times New Roman"/>
        </w:rPr>
        <w:t>уведомява Мениджъра на системата.</w:t>
      </w:r>
    </w:p>
    <w:p>
      <w:pPr>
        <w:pStyle w:val="2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2"/>
        <w:rPr/>
      </w:pPr>
      <w:r>
        <w:rPr>
          <w:rFonts w:cs="Times New Roman" w:ascii="Times New Roman" w:hAnsi="Times New Roman"/>
        </w:rPr>
        <w:t>Информацията за установени несъответствия се използва при оценяване на доставчиците по реда на процедурата за управление на доставките. Доставчикът се уведомява и след уточняване на причините за допуснатото несъответствие, ако е необходимо, се изключва от базата данни за утвърдени доставчици и от него не се купуват нови количества.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bg-BG"/>
        </w:rPr>
      </w:pPr>
      <w:r>
        <w:rPr>
          <w:rFonts w:cs="Times New Roman"/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 xml:space="preserve">Всички установени в процеса на основната дейност несъответствия се документират от съответният ръководител в </w:t>
      </w:r>
      <w:r>
        <w:rPr>
          <w:sz w:val="24"/>
          <w:szCs w:val="24"/>
        </w:rPr>
        <w:t>OD</w:t>
      </w:r>
      <w:r>
        <w:rPr>
          <w:sz w:val="24"/>
          <w:szCs w:val="24"/>
          <w:lang w:val="bg-BG"/>
        </w:rPr>
        <w:t xml:space="preserve"> 10.02.00-1 „Протокол за несъответствие”. Несъответстващият продукт се обозначава</w:t>
      </w:r>
      <w:r>
        <w:rPr>
          <w:sz w:val="24"/>
          <w:lang w:val="bg-BG"/>
        </w:rPr>
        <w:t xml:space="preserve"> с надпис „НЕСЪОТВЕТСТВАЩ ПРОДУКТ”, а  съответният </w:t>
      </w:r>
      <w:r>
        <w:rPr>
          <w:sz w:val="24"/>
          <w:highlight w:val="green"/>
          <w:lang w:val="bg-BG"/>
        </w:rPr>
        <w:t xml:space="preserve"> </w:t>
      </w:r>
      <w:r>
        <w:rPr>
          <w:sz w:val="24"/>
          <w:lang w:val="bg-BG"/>
        </w:rPr>
        <w:t>ръководител предприема мерки за коригиране.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 </w:t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В случаи на рекламация от клиент Мениджъра по управление документира рекламацията в</w:t>
      </w:r>
      <w:r>
        <w:rPr>
          <w:b/>
          <w:sz w:val="24"/>
          <w:lang w:val="bg-BG"/>
        </w:rPr>
        <w:t xml:space="preserve"> </w:t>
      </w:r>
      <w:r>
        <w:rPr>
          <w:sz w:val="24"/>
          <w:szCs w:val="24"/>
        </w:rPr>
        <w:t>OD</w:t>
      </w:r>
      <w:r>
        <w:rPr>
          <w:sz w:val="24"/>
          <w:szCs w:val="24"/>
          <w:lang w:val="bg-BG"/>
        </w:rPr>
        <w:t xml:space="preserve"> 10.02.00-1 „Протокол за несъответствие”. Предприетите действия се съгласуват с Управителя.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Документирането на несъответствията и разпорежданията с тях осигурява информация за процеса на анализ на причините и да посочва възможности за подобряване.</w:t>
      </w:r>
    </w:p>
    <w:p>
      <w:pPr>
        <w:pStyle w:val="Normal"/>
        <w:widowControl/>
        <w:spacing w:lineRule="exact" w:line="24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7.2. Оценяване на несъответствията и причините за несъответствията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2"/>
        <w:rPr/>
      </w:pPr>
      <w:r>
        <w:rPr>
          <w:rFonts w:cs="Times New Roman" w:ascii="Times New Roman" w:hAnsi="Times New Roman"/>
        </w:rPr>
        <w:t>В зависимост от мястото на установяване на несъответствието отговорност за оценяването и прегледа му носят Мениджър по качеството и съответните ръководители на звена, които:</w:t>
      </w:r>
    </w:p>
    <w:p>
      <w:pPr>
        <w:pStyle w:val="Normal"/>
        <w:numPr>
          <w:ilvl w:val="0"/>
          <w:numId w:val="5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изясняват същността на проблема;</w:t>
      </w:r>
    </w:p>
    <w:p>
      <w:pPr>
        <w:pStyle w:val="Normal"/>
        <w:numPr>
          <w:ilvl w:val="0"/>
          <w:numId w:val="5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изясняват причините за появата на проблема;</w:t>
      </w:r>
    </w:p>
    <w:p>
      <w:pPr>
        <w:pStyle w:val="Normal"/>
        <w:numPr>
          <w:ilvl w:val="0"/>
          <w:numId w:val="5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оценяват тежестта на проблема;</w:t>
      </w:r>
    </w:p>
    <w:p>
      <w:pPr>
        <w:pStyle w:val="Normal"/>
        <w:numPr>
          <w:ilvl w:val="0"/>
          <w:numId w:val="5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предлагат решение за разпореждане.</w:t>
      </w:r>
    </w:p>
    <w:p>
      <w:pPr>
        <w:pStyle w:val="2"/>
        <w:rPr>
          <w:rFonts w:ascii="Times New Roman" w:hAnsi="Times New Roman" w:cs="Times New Roman"/>
          <w:sz w:val="24"/>
          <w:lang w:val="bg-BG"/>
        </w:rPr>
      </w:pPr>
      <w:r>
        <w:rPr>
          <w:rFonts w:cs="Times New Roman" w:ascii="Times New Roman" w:hAnsi="Times New Roman"/>
          <w:sz w:val="24"/>
          <w:lang w:val="bg-BG"/>
        </w:rPr>
      </w:r>
    </w:p>
    <w:p>
      <w:pPr>
        <w:pStyle w:val="2"/>
        <w:rPr/>
      </w:pPr>
      <w:r>
        <w:rPr>
          <w:rFonts w:cs="Times New Roman" w:ascii="Times New Roman" w:hAnsi="Times New Roman"/>
        </w:rPr>
        <w:t>Одобряване на предложението за разпореждане с несъответстващия продукт взема Управителя или Мениджъра на системата.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bg-BG"/>
        </w:rPr>
      </w:pPr>
      <w:r>
        <w:rPr>
          <w:rFonts w:cs="Times New Roman"/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За ефективното отстраняване на причините за несъответствията е необходимо:</w:t>
      </w:r>
    </w:p>
    <w:p>
      <w:pPr>
        <w:pStyle w:val="Normal"/>
        <w:numPr>
          <w:ilvl w:val="0"/>
          <w:numId w:val="13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да се дефинира проблема - да се опише точно като същност, време, местоположение и опасност от разпространение;</w:t>
      </w:r>
    </w:p>
    <w:p>
      <w:pPr>
        <w:pStyle w:val="Normal"/>
        <w:numPr>
          <w:ilvl w:val="0"/>
          <w:numId w:val="13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да се събере допълнителна информация за проблема;</w:t>
      </w:r>
    </w:p>
    <w:p>
      <w:pPr>
        <w:pStyle w:val="Normal"/>
        <w:numPr>
          <w:ilvl w:val="0"/>
          <w:numId w:val="13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да се анализират възможните причини;</w:t>
      </w:r>
    </w:p>
    <w:p>
      <w:pPr>
        <w:pStyle w:val="Normal"/>
        <w:numPr>
          <w:ilvl w:val="0"/>
          <w:numId w:val="13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и да се отстранят.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7.3 Предприемане на коригиращи действия</w:t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Коригиращи действия се предприемат когато:</w:t>
      </w:r>
    </w:p>
    <w:p>
      <w:pPr>
        <w:pStyle w:val="Normal"/>
        <w:numPr>
          <w:ilvl w:val="0"/>
          <w:numId w:val="6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е постъпило предложение за коригиращо действие за подобрение </w:t>
      </w:r>
    </w:p>
    <w:p>
      <w:pPr>
        <w:pStyle w:val="Normal"/>
        <w:numPr>
          <w:ilvl w:val="0"/>
          <w:numId w:val="6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или промяна в технологията на работа;</w:t>
      </w:r>
    </w:p>
    <w:p>
      <w:pPr>
        <w:pStyle w:val="Normal"/>
        <w:numPr>
          <w:ilvl w:val="0"/>
          <w:numId w:val="6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има рекламация от клиент;</w:t>
      </w:r>
    </w:p>
    <w:p>
      <w:pPr>
        <w:pStyle w:val="Normal"/>
        <w:numPr>
          <w:ilvl w:val="0"/>
          <w:numId w:val="6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има повтарящи се несъответствия;</w:t>
      </w:r>
    </w:p>
    <w:p>
      <w:pPr>
        <w:pStyle w:val="Normal"/>
        <w:numPr>
          <w:ilvl w:val="0"/>
          <w:numId w:val="6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има констатирани значителни несъответствия по време на одити;</w:t>
      </w:r>
    </w:p>
    <w:p>
      <w:pPr>
        <w:pStyle w:val="Normal"/>
        <w:numPr>
          <w:ilvl w:val="0"/>
          <w:numId w:val="6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коригиращи действия са препоръчани след преглед от ръководството.</w:t>
      </w:r>
    </w:p>
    <w:p>
      <w:pPr>
        <w:pStyle w:val="Normal"/>
        <w:ind w:hanging="360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Всеки компетентен за определена дейност сътрудник може да предлага коригиращи действия за отстраняването на несъответствия и/или причините за появата им. За целта той трябва да ги съгласува с Мениджъра по управление.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Управителят има право да прецени целесъобразността от по-нататъшни действия и да разпореди извършването на корекция (ако проблемът е ясен и не се нуждае от обсъждане) или провеждането на допълнителни коригиращи действия.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Коригиращите действия могат да бъдат многопосочни и да изискват:</w:t>
      </w:r>
    </w:p>
    <w:p>
      <w:pPr>
        <w:pStyle w:val="Normal"/>
        <w:numPr>
          <w:ilvl w:val="0"/>
          <w:numId w:val="9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обучение;</w:t>
      </w:r>
    </w:p>
    <w:p>
      <w:pPr>
        <w:pStyle w:val="Normal"/>
        <w:numPr>
          <w:ilvl w:val="0"/>
          <w:numId w:val="9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промени в организацията;</w:t>
      </w:r>
    </w:p>
    <w:p>
      <w:pPr>
        <w:pStyle w:val="Normal"/>
        <w:numPr>
          <w:ilvl w:val="0"/>
          <w:numId w:val="9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промени в процедурите;</w:t>
      </w:r>
    </w:p>
    <w:p>
      <w:pPr>
        <w:pStyle w:val="Normal"/>
        <w:numPr>
          <w:ilvl w:val="0"/>
          <w:numId w:val="9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промени в процесите и оборудването.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В този случай трябва да се създаде работна група за извършване на промените, в която да участват представители на всички заинтересовани звена.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Когато е взето решение за поправка или доработка на продукта, той подлежи на допълнителен контрол съобразно изискванията. По-нататъшната му употреба е възможна само след положителни резултати от контрола.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7.4 Преглед и оценка на ефикасността на предприетите коригиращи действия</w:t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 </w:t>
      </w:r>
    </w:p>
    <w:p>
      <w:pPr>
        <w:pStyle w:val="Normal"/>
        <w:jc w:val="both"/>
        <w:rPr/>
      </w:pPr>
      <w:r>
        <w:rPr>
          <w:sz w:val="24"/>
          <w:lang w:val="bg-BG"/>
        </w:rPr>
        <w:t xml:space="preserve">Периодично, най-малко веднъж в годината Мениджърът по управление извършва оценка за ефикасността на коригиращите действия. Ефикасността зависи от ясното дефиниране на проблема, събирането на необходимите данни, изясняване на причините, пълнотата и обхвата на коригиращите действия. 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Всички документи, свързани с планиране, осъществяване и контрол на проведеното коригиращо действие се съхраняват при Мениджъра по качеството.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Информацията, свързана с проявили се несъответствия се използва при:</w:t>
      </w:r>
    </w:p>
    <w:p>
      <w:pPr>
        <w:pStyle w:val="Normal"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анализ на причини за поява на несъответствия;</w:t>
      </w:r>
    </w:p>
    <w:p>
      <w:pPr>
        <w:pStyle w:val="Normal"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предприемане на превантивни действия;</w:t>
      </w:r>
    </w:p>
    <w:p>
      <w:pPr>
        <w:pStyle w:val="Normal"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предприемане на коригиращи действия;</w:t>
      </w:r>
    </w:p>
    <w:p>
      <w:pPr>
        <w:pStyle w:val="Normal"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възможности за подобряване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и е база за вземане на управленски решения при преглед от ръководството.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При управлението на несъответствията и коригиращите действия се съхранява необходимата документирана информация.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en-US"/>
        </w:rPr>
        <w:t>8</w:t>
      </w:r>
      <w:r>
        <w:rPr>
          <w:b/>
          <w:sz w:val="24"/>
          <w:lang w:val="bg-BG"/>
        </w:rPr>
        <w:t>. СВЪРЗАНИ ДОКУМЕНТИ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2"/>
        <w:numPr>
          <w:ilvl w:val="0"/>
          <w:numId w:val="4"/>
        </w:numPr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Cs w:val="24"/>
        </w:rPr>
        <w:t>OD 10.02.00-1 „Протокол за несъответствие”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cs="Times New Roman"/>
          <w:sz w:val="24"/>
          <w:lang w:val="en-US"/>
        </w:rPr>
      </w:r>
    </w:p>
    <w:sectPr>
      <w:headerReference w:type="default" r:id="rId2"/>
      <w:headerReference w:type="first" r:id="rId3"/>
      <w:type w:val="nextPage"/>
      <w:pgSz w:w="11906" w:h="16838"/>
      <w:pgMar w:left="1418" w:right="851" w:gutter="0" w:header="624" w:top="851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imokB">
    <w:charset w:val="00" w:characterSet="windows-1252"/>
    <w:family w:val="swiss"/>
    <w:pitch w:val="variable"/>
  </w:font>
  <w:font w:name="Tahoma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8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621"/>
      <w:gridCol w:w="970"/>
      <w:gridCol w:w="1298"/>
    </w:tblGrid>
    <w:tr>
      <w:trPr>
        <w:cantSplit/>
      </w:trPr>
      <w:tc>
        <w:tcPr>
          <w:tcW w:w="762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 xml:space="preserve">IP </w:t>
          </w:r>
          <w:r>
            <w:rPr>
              <w:b/>
              <w:lang w:val="bg-BG"/>
            </w:rPr>
            <w:t>10.02.00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129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762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9001:</w:t>
          </w:r>
          <w:r>
            <w:rPr>
              <w:lang w:val="en-US"/>
            </w:rPr>
            <w:t>2015; ISO 14001:2015; ISO 45001:2018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9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</w:p>
      </w:tc>
    </w:tr>
    <w:tr>
      <w:trPr>
        <w:cantSplit/>
      </w:trPr>
      <w:tc>
        <w:tcPr>
          <w:tcW w:w="9889" w:type="dxa"/>
          <w:gridSpan w:val="3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НЕСЪОТВЕТСТВИЯ И КОРИГИРАЩИ ДЕЙСТВИЯ</w:t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8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84"/>
      <w:gridCol w:w="1701"/>
      <w:gridCol w:w="4431"/>
      <w:gridCol w:w="1115"/>
      <w:gridCol w:w="1258"/>
    </w:tblGrid>
    <w:tr>
      <w:trPr>
        <w:cantSplit/>
      </w:trPr>
      <w:tc>
        <w:tcPr>
          <w:tcW w:w="3085" w:type="dxa"/>
          <w:gridSpan w:val="2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rPr>
              <w:lang w:val="en-US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431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 xml:space="preserve">IP </w:t>
          </w:r>
          <w:r>
            <w:rPr>
              <w:b/>
              <w:lang w:val="bg-BG"/>
            </w:rPr>
            <w:t>10</w:t>
          </w:r>
          <w:r>
            <w:rPr>
              <w:b/>
              <w:lang w:val="en-US"/>
            </w:rPr>
            <w:t>.02.0</w:t>
          </w:r>
          <w:r>
            <w:rPr>
              <w:b/>
              <w:lang w:val="bg-BG"/>
            </w:rPr>
            <w:t>0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431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9001:</w:t>
          </w:r>
          <w:r>
            <w:rPr>
              <w:lang w:val="en-US"/>
            </w:rPr>
            <w:t>2015; ISO 14001:2015; ISO 45001:2018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1/4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431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 xml:space="preserve"> </w:t>
          </w:r>
          <w:r>
            <w:rPr>
              <w:b/>
              <w:lang w:val="bg-BG"/>
            </w:rPr>
            <w:t xml:space="preserve">НЕСЪОТВЕТСТВИЯ И КОРИГИРАЩИ ДЕЙСТВИЯ </w:t>
          </w:r>
        </w:p>
      </w:tc>
      <w:tc>
        <w:tcPr>
          <w:tcW w:w="1115" w:type="dxa"/>
          <w:tcBorders>
            <w:top w:val="single" w:sz="12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Дата:</w:t>
          </w:r>
        </w:p>
      </w:tc>
    </w:tr>
    <w:tr>
      <w:trPr>
        <w:cantSplit/>
      </w:trPr>
      <w:tc>
        <w:tcPr>
          <w:tcW w:w="1384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6132" w:type="dxa"/>
          <w:gridSpan w:val="2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rPr>
              <w:lang w:val="bg-BG"/>
            </w:rPr>
          </w:pP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>
        <w:cantSplit/>
      </w:trPr>
      <w:tc>
        <w:tcPr>
          <w:tcW w:w="1384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/>
          </w:pPr>
          <w:r>
            <w:rPr>
              <w:lang w:val="en-US"/>
            </w:rPr>
            <w:t>Утвърдил</w:t>
          </w:r>
          <w:r>
            <w:rPr>
              <w:lang w:val="bg-BG"/>
            </w:rPr>
            <w:t>:</w:t>
          </w:r>
        </w:p>
      </w:tc>
      <w:tc>
        <w:tcPr>
          <w:tcW w:w="6132" w:type="dxa"/>
          <w:gridSpan w:val="2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rPr>
              <w:lang w:val="bg-BG"/>
            </w:rPr>
          </w:pP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Header"/>
      <w:widowControl/>
      <w:rPr>
        <w:lang w:val="en-US"/>
      </w:rPr>
    </w:pPr>
    <w:r>
      <w:rPr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1440" w:hanging="72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jc w:val="both"/>
      <w:outlineLvl w:val="1"/>
    </w:pPr>
    <w:rPr>
      <w:sz w:val="24"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sz w:val="24"/>
      <w:lang w:val="bg-BG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Times New Roman" w:hAnsi="Times New Roman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Times New Roman" w:hAnsi="Times New Roman" w:eastAsia="Times New Roman" w:cs="Times New Roman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5z0">
    <w:name w:val="WW8Num25z0"/>
    <w:qFormat/>
    <w:rPr>
      <w:rFonts w:ascii="Times New Roman" w:hAnsi="Times New Roman" w:eastAsia="Times New Roman" w:cs="Times New Roman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5z3">
    <w:name w:val="WW8Num25z3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St6z0">
    <w:name w:val="WW8NumSt6z0"/>
    <w:qFormat/>
    <w:rPr>
      <w:rFonts w:ascii="Symbol" w:hAnsi="Symbol" w:cs="Symbol"/>
    </w:rPr>
  </w:style>
  <w:style w:type="character" w:styleId="WW8NumSt6z1">
    <w:name w:val="WW8NumSt6z1"/>
    <w:qFormat/>
    <w:rPr>
      <w:rFonts w:ascii="Courier New" w:hAnsi="Courier New" w:cs="Courier New"/>
    </w:rPr>
  </w:style>
  <w:style w:type="character" w:styleId="WW8NumSt6z2">
    <w:name w:val="WW8NumSt6z2"/>
    <w:qFormat/>
    <w:rPr>
      <w:rFonts w:ascii="Wingdings" w:hAnsi="Wingdings" w:cs="Wingdings"/>
    </w:rPr>
  </w:style>
  <w:style w:type="character" w:styleId="Style11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12">
    <w:name w:val="Препратка към коментар"/>
    <w:qFormat/>
    <w:rPr>
      <w:sz w:val="16"/>
    </w:rPr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jc w:val="both"/>
    </w:pPr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6">
    <w:name w:val="Текст на коментар"/>
    <w:basedOn w:val="Normal"/>
    <w:qFormat/>
    <w:pPr/>
    <w:rPr/>
  </w:style>
  <w:style w:type="paragraph" w:styleId="2">
    <w:name w:val="Основен текст 2"/>
    <w:basedOn w:val="Normal"/>
    <w:qFormat/>
    <w:pPr>
      <w:widowControl/>
      <w:jc w:val="both"/>
    </w:pPr>
    <w:rPr>
      <w:rFonts w:ascii="Arial" w:hAnsi="Arial" w:cs="Arial"/>
      <w:sz w:val="24"/>
      <w:lang w:val="bg-BG"/>
    </w:rPr>
  </w:style>
  <w:style w:type="paragraph" w:styleId="Style17">
    <w:name w:val="Блоков текст"/>
    <w:basedOn w:val="Normal"/>
    <w:qFormat/>
    <w:pPr>
      <w:widowControl/>
      <w:tabs>
        <w:tab w:val="clear" w:pos="720"/>
        <w:tab w:val="left" w:pos="142" w:leader="none"/>
      </w:tabs>
      <w:ind w:hanging="0" w:start="142" w:end="85"/>
    </w:pPr>
    <w:rPr>
      <w:rFonts w:ascii="TimokB" w:hAnsi="TimokB" w:cs="TimokB"/>
      <w:lang w:val="en-US"/>
    </w:rPr>
  </w:style>
  <w:style w:type="paragraph" w:styleId="Style18">
    <w:name w:val="Изнесен текст"/>
    <w:basedOn w:val="Normal"/>
    <w:qFormat/>
    <w:pPr/>
    <w:rPr>
      <w:rFonts w:ascii="Tahoma" w:hAnsi="Tahoma" w:cs="Tahoma"/>
      <w:sz w:val="16"/>
      <w:szCs w:val="16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2002-08-12T10:14:00Z</dcterms:created>
  <dc:creator>MM</dc:creator>
  <dc:description/>
  <cp:keywords/>
  <dc:language>bg-BG</dc:language>
  <cp:lastModifiedBy>Силвия Мирчева</cp:lastModifiedBy>
  <cp:lastPrinted>2006-08-14T09:59:00Z</cp:lastPrinted>
  <dcterms:modified xsi:type="dcterms:W3CDTF">2022-04-02T15:19:00Z</dcterms:modified>
  <cp:revision>130</cp:revision>
  <dc:subject>Процедурен документ</dc:subject>
  <dc:title>Управление на несъответстващ продукт</dc:title>
</cp:coreProperties>
</file>