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 w:val="20"/>
        </w:rPr>
        <w:t>1.</w:t>
        <w:tab/>
      </w:r>
      <w:r>
        <w:rPr>
          <w:rFonts w:cs="Times New Roman" w:ascii="Times New Roman" w:hAnsi="Times New Roman"/>
          <w:szCs w:val="24"/>
        </w:rPr>
        <w:t>Цeл</w:t>
      </w:r>
    </w:p>
    <w:p>
      <w:pPr>
        <w:pStyle w:val="TOC5"/>
        <w:ind w:firstLine="795" w:start="60" w:end="0"/>
        <w:rPr/>
      </w:pPr>
      <w:r>
        <w:rPr>
          <w:rFonts w:cs="Times New Roman" w:ascii="Times New Roman" w:hAnsi="Times New Roman"/>
          <w:sz w:val="24"/>
          <w:szCs w:val="24"/>
        </w:rPr>
        <w:t>Настоящата процедура представя правилата за планиране и провеждане на вътрешни одити на системата по околна среда на дружеството.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2.</w:t>
        <w:tab/>
        <w:t>Обхват</w:t>
      </w:r>
    </w:p>
    <w:p>
      <w:pPr>
        <w:pStyle w:val="TOC5"/>
        <w:ind w:firstLine="780" w:start="7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Процедурата е задължителна за всички служители, взимащи участие в планирането и провеждането на вътрешните одити.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3.</w:t>
        <w:tab/>
        <w:t>Справочни документи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Няма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4.</w:t>
        <w:tab/>
        <w:t>Терминология и съкращения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Терминологията е в съответствие с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ISO </w:t>
      </w:r>
      <w:r>
        <w:rPr>
          <w:rFonts w:cs="Times New Roman" w:ascii="Times New Roman" w:hAnsi="Times New Roman"/>
          <w:sz w:val="24"/>
          <w:szCs w:val="24"/>
        </w:rPr>
        <w:t>14001:2015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ИКД</w:t>
        <w:tab/>
        <w:t>Искане на коригиращо действие</w:t>
      </w:r>
    </w:p>
    <w:p>
      <w:pPr>
        <w:pStyle w:val="Normal"/>
        <w:rPr/>
      </w:pPr>
      <w:r>
        <w:rPr>
          <w:sz w:val="24"/>
          <w:szCs w:val="24"/>
          <w:lang w:val="bg-BG"/>
        </w:rPr>
        <w:tab/>
        <w:t xml:space="preserve">   ВР        Висше Ръководство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НОС</w:t>
        <w:tab/>
        <w:t>Наръчник по 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</w:t>
        <w:tab/>
        <w:t>Процедура по 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УПР</w:t>
        <w:tab/>
        <w:t>Упълномощен представител на ръководството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</w:t>
        <w:tab/>
        <w:t>Работна инструкция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СУОС</w:t>
        <w:tab/>
        <w:t>Система за управление на околна среда</w:t>
      </w:r>
    </w:p>
    <w:p>
      <w:pPr>
        <w:pStyle w:val="TOC5"/>
        <w:tabs>
          <w:tab w:val="left" w:pos="1701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ФОС</w:t>
        <w:tab/>
        <w:t>Формуляр по околна среда</w:t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5.</w:t>
        <w:tab/>
        <w:t>Правила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Планиране и подготовка</w:t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Основание за провеждане на вътрешни одити може да бъде:</w:t>
      </w:r>
    </w:p>
    <w:p>
      <w:pPr>
        <w:pStyle w:val="ListBullet4"/>
        <w:numPr>
          <w:ilvl w:val="0"/>
          <w:numId w:val="2"/>
        </w:numPr>
        <w:tabs>
          <w:tab w:val="clear" w:pos="720"/>
          <w:tab w:val="left" w:pos="1305" w:leader="none"/>
        </w:tabs>
        <w:ind w:hanging="360" w:start="129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одобрен от УПР годишен график;</w:t>
      </w:r>
    </w:p>
    <w:p>
      <w:pPr>
        <w:pStyle w:val="ListBullet4"/>
        <w:numPr>
          <w:ilvl w:val="0"/>
          <w:numId w:val="2"/>
        </w:numPr>
        <w:tabs>
          <w:tab w:val="clear" w:pos="720"/>
          <w:tab w:val="left" w:pos="1305" w:leader="none"/>
        </w:tabs>
        <w:ind w:hanging="360" w:start="129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необходимост от проверка на резултата и ефективността на предписани коригиращи действия;</w:t>
      </w:r>
    </w:p>
    <w:p>
      <w:pPr>
        <w:pStyle w:val="ListBullet4"/>
        <w:numPr>
          <w:ilvl w:val="0"/>
          <w:numId w:val="2"/>
        </w:numPr>
        <w:tabs>
          <w:tab w:val="clear" w:pos="720"/>
          <w:tab w:val="left" w:pos="1305" w:leader="none"/>
        </w:tabs>
        <w:ind w:hanging="360" w:start="129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рекламация от клиент;</w:t>
      </w:r>
    </w:p>
    <w:p>
      <w:pPr>
        <w:pStyle w:val="ListBullet4"/>
        <w:numPr>
          <w:ilvl w:val="0"/>
          <w:numId w:val="2"/>
        </w:numPr>
        <w:tabs>
          <w:tab w:val="clear" w:pos="720"/>
          <w:tab w:val="left" w:pos="1305" w:leader="none"/>
        </w:tabs>
        <w:ind w:hanging="360" w:start="129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подготовка за сертификационен или контролен одит от сертифициращ орган;</w:t>
      </w:r>
    </w:p>
    <w:p>
      <w:pPr>
        <w:pStyle w:val="ListBullet4"/>
        <w:numPr>
          <w:ilvl w:val="0"/>
          <w:numId w:val="2"/>
        </w:numPr>
        <w:tabs>
          <w:tab w:val="clear" w:pos="720"/>
          <w:tab w:val="left" w:pos="1305" w:leader="none"/>
        </w:tabs>
        <w:ind w:hanging="360" w:start="129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други.</w:t>
      </w:r>
    </w:p>
    <w:p>
      <w:pPr>
        <w:pStyle w:val="ListBullet4"/>
        <w:tabs>
          <w:tab w:val="clear" w:pos="720"/>
          <w:tab w:val="left" w:pos="1305" w:leader="none"/>
        </w:tabs>
        <w:ind w:hanging="360" w:start="129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55" w:start="30" w:end="0"/>
        <w:rPr/>
      </w:pPr>
      <w:r>
        <w:rPr>
          <w:rFonts w:cs="Times New Roman" w:ascii="Times New Roman" w:hAnsi="Times New Roman"/>
          <w:sz w:val="24"/>
          <w:szCs w:val="24"/>
        </w:rPr>
        <w:t>Вътрешните одити на системата по околна среда като правило се провеждат по съставен от УПР годишен график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03</w:t>
      </w:r>
      <w:r>
        <w:rPr>
          <w:rFonts w:cs="Times New Roman" w:ascii="Times New Roman" w:hAnsi="Times New Roman"/>
          <w:sz w:val="24"/>
          <w:szCs w:val="24"/>
          <w:lang w:val="en-US"/>
        </w:rPr>
        <w:t>-1</w:t>
      </w:r>
      <w:r>
        <w:rPr>
          <w:rFonts w:cs="Times New Roman" w:ascii="Times New Roman" w:hAnsi="Times New Roman"/>
          <w:sz w:val="24"/>
          <w:szCs w:val="24"/>
        </w:rPr>
        <w:t xml:space="preserve"> “Годишен график”. Годишният график се изготвя и съгласува с Управителя до 20-ти декември на предходната година. След одобрението му, годишният график се разпространява до всички ръководители на организационни звена.</w:t>
      </w:r>
    </w:p>
    <w:p>
      <w:pPr>
        <w:pStyle w:val="TOC5"/>
        <w:ind w:firstLine="855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съставянето на годишния график трябва да се осигури в рамките на съответната година да бъдат обхванати всички елементи на системата по околна среда.</w:t>
      </w:r>
    </w:p>
    <w:p>
      <w:pPr>
        <w:pStyle w:val="TOC5"/>
        <w:ind w:firstLine="825" w:start="60" w:end="0"/>
        <w:rPr/>
      </w:pPr>
      <w:r>
        <w:rPr>
          <w:rFonts w:cs="Times New Roman" w:ascii="Times New Roman" w:hAnsi="Times New Roman"/>
          <w:sz w:val="24"/>
          <w:szCs w:val="24"/>
        </w:rPr>
        <w:t>Възможно е вътрешните одити да се провеждат и извън одобрения и разпространен годишен график. В такъв случай с ръководителя на съответното организационно звено се договаря времетраенето и датата на започване на вътрешния одит.</w:t>
      </w:r>
    </w:p>
    <w:p>
      <w:pPr>
        <w:pStyle w:val="TOC5"/>
        <w:ind w:firstLine="825" w:start="6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 всеки вътрешен одит (проведен по график или извънреден) се определя:</w:t>
      </w:r>
    </w:p>
    <w:p>
      <w:pPr>
        <w:pStyle w:val="ListBullet4"/>
        <w:numPr>
          <w:ilvl w:val="0"/>
          <w:numId w:val="3"/>
        </w:numPr>
        <w:tabs>
          <w:tab w:val="clear" w:pos="720"/>
          <w:tab w:val="left" w:pos="1320" w:leader="none"/>
        </w:tabs>
        <w:ind w:hanging="360" w:start="13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обхват на одита (организационни звена и елементи от системата);</w:t>
      </w:r>
    </w:p>
    <w:p>
      <w:pPr>
        <w:pStyle w:val="ListBullet4"/>
        <w:numPr>
          <w:ilvl w:val="0"/>
          <w:numId w:val="3"/>
        </w:numPr>
        <w:tabs>
          <w:tab w:val="clear" w:pos="720"/>
          <w:tab w:val="left" w:pos="1320" w:leader="none"/>
        </w:tabs>
        <w:ind w:hanging="360" w:start="13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одитор или група от одитори;</w:t>
      </w:r>
    </w:p>
    <w:p>
      <w:pPr>
        <w:pStyle w:val="ListBullet4"/>
        <w:numPr>
          <w:ilvl w:val="0"/>
          <w:numId w:val="3"/>
        </w:numPr>
        <w:tabs>
          <w:tab w:val="clear" w:pos="720"/>
          <w:tab w:val="left" w:pos="1320" w:leader="none"/>
        </w:tabs>
        <w:ind w:hanging="360" w:start="13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преглед на документацията от системата по околна среда, действаща в определеното организационно звено;</w:t>
      </w:r>
    </w:p>
    <w:p>
      <w:pPr>
        <w:pStyle w:val="ListBullet4"/>
        <w:numPr>
          <w:ilvl w:val="0"/>
          <w:numId w:val="3"/>
        </w:numPr>
        <w:tabs>
          <w:tab w:val="clear" w:pos="720"/>
          <w:tab w:val="left" w:pos="1320" w:leader="none"/>
        </w:tabs>
        <w:ind w:hanging="360" w:start="13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въпросник за одита.</w:t>
      </w:r>
    </w:p>
    <w:p>
      <w:pPr>
        <w:pStyle w:val="ListBullet4"/>
        <w:tabs>
          <w:tab w:val="clear" w:pos="720"/>
          <w:tab w:val="left" w:pos="1320" w:leader="none"/>
        </w:tabs>
        <w:ind w:hanging="360" w:start="132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40" w:start="4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Одиторът е отговорен за съставянето на Въпросник на одита. При подготовката на въпросника се вземат предвид:</w:t>
      </w:r>
    </w:p>
    <w:p>
      <w:pPr>
        <w:pStyle w:val="ListBullet4"/>
        <w:numPr>
          <w:ilvl w:val="0"/>
          <w:numId w:val="4"/>
        </w:numPr>
        <w:tabs>
          <w:tab w:val="clear" w:pos="720"/>
          <w:tab w:val="left" w:pos="1365" w:leader="none"/>
        </w:tabs>
        <w:ind w:hanging="360" w:start="135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действащата документация - процедури, работни инструкции, формуляри и други;</w:t>
      </w:r>
    </w:p>
    <w:p>
      <w:pPr>
        <w:pStyle w:val="ListBullet4"/>
        <w:numPr>
          <w:ilvl w:val="0"/>
          <w:numId w:val="4"/>
        </w:numPr>
        <w:tabs>
          <w:tab w:val="clear" w:pos="720"/>
          <w:tab w:val="left" w:pos="1365" w:leader="none"/>
        </w:tabs>
        <w:ind w:hanging="360" w:start="135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изискванията на актуалната версия на стандарта ISO 14001:2015.</w:t>
      </w:r>
    </w:p>
    <w:p>
      <w:pPr>
        <w:pStyle w:val="ListBullet4"/>
        <w:tabs>
          <w:tab w:val="clear" w:pos="720"/>
          <w:tab w:val="left" w:pos="1365" w:leader="none"/>
        </w:tabs>
        <w:ind w:hanging="360" w:start="135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определянето на одитор/и по възможност се спазват следните изисквания:</w:t>
      </w:r>
    </w:p>
    <w:p>
      <w:pPr>
        <w:pStyle w:val="ListBullet4"/>
        <w:numPr>
          <w:ilvl w:val="0"/>
          <w:numId w:val="5"/>
        </w:numPr>
        <w:tabs>
          <w:tab w:val="clear" w:pos="720"/>
          <w:tab w:val="left" w:pos="1335" w:leader="none"/>
        </w:tabs>
        <w:ind w:hanging="360" w:start="1365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одиторите да са независими от работата на съответното организационно звено;</w:t>
      </w:r>
    </w:p>
    <w:p>
      <w:pPr>
        <w:pStyle w:val="ListBullet4"/>
        <w:numPr>
          <w:ilvl w:val="0"/>
          <w:numId w:val="5"/>
        </w:numPr>
        <w:tabs>
          <w:tab w:val="clear" w:pos="720"/>
          <w:tab w:val="left" w:pos="1380" w:leader="none"/>
          <w:tab w:val="left" w:pos="2160" w:leader="none"/>
        </w:tabs>
        <w:ind w:hanging="360" w:start="1365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одиторите да са подготвени в следните области:</w:t>
      </w:r>
    </w:p>
    <w:p>
      <w:pPr>
        <w:pStyle w:val="ListBullet4"/>
        <w:numPr>
          <w:ilvl w:val="0"/>
          <w:numId w:val="8"/>
        </w:numPr>
        <w:tabs>
          <w:tab w:val="clear" w:pos="720"/>
          <w:tab w:val="left" w:pos="1350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система по околна среда ISO 14001:2015</w:t>
      </w:r>
    </w:p>
    <w:p>
      <w:pPr>
        <w:pStyle w:val="ListBullet4"/>
        <w:numPr>
          <w:ilvl w:val="0"/>
          <w:numId w:val="8"/>
        </w:numPr>
        <w:tabs>
          <w:tab w:val="clear" w:pos="720"/>
          <w:tab w:val="left" w:pos="1335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провеждане на вътрешни одити;</w:t>
      </w:r>
    </w:p>
    <w:p>
      <w:pPr>
        <w:pStyle w:val="ListBullet4"/>
        <w:numPr>
          <w:ilvl w:val="0"/>
          <w:numId w:val="8"/>
        </w:numPr>
        <w:tabs>
          <w:tab w:val="clear" w:pos="720"/>
          <w:tab w:val="left" w:pos="1335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дейностите в съответното организационно звено.</w:t>
      </w:r>
    </w:p>
    <w:p>
      <w:pPr>
        <w:pStyle w:val="ListBullet4"/>
        <w:tabs>
          <w:tab w:val="clear" w:pos="720"/>
          <w:tab w:val="left" w:pos="1335" w:leader="none"/>
        </w:tabs>
        <w:ind w:hanging="360" w:start="136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10" w:start="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Одиторите се определят от Управителя на фирмата. Допустимо е като одитори за вътрешните проверки да се използват регистрирани одитори от специализирани фирми.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Провеждане на одита.</w:t>
      </w:r>
    </w:p>
    <w:p>
      <w:pPr>
        <w:pStyle w:val="TOC5"/>
        <w:ind w:firstLine="870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необходимост, в началото на одита, одиторът провежда откриваща среща с ръководителя и служителите на съответното ОЗ.</w:t>
      </w:r>
    </w:p>
    <w:p>
      <w:pPr>
        <w:pStyle w:val="TOC5"/>
        <w:ind w:firstLine="870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тази откриваща среща се разясняват обхватът и начинът на провеждане на одита, кога и под каква форма ще се изготвя докладът за резултатите от одита.</w:t>
      </w:r>
    </w:p>
    <w:p>
      <w:pPr>
        <w:pStyle w:val="TOC5"/>
        <w:ind w:firstLine="870" w:start="3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време на самия одит всяко от откритите несъответствия се документира във въпросника, проучва се причината за възникването му и възможните коригиращи действия се дискутират със служителите от съответното организационно звено. В случай на противоречия между одитора/ите и служителите от проверявания отдел, спорните въпроси се отнасят до УПР.</w:t>
      </w:r>
    </w:p>
    <w:p>
      <w:pPr>
        <w:pStyle w:val="TOC5"/>
        <w:ind w:firstLine="870" w:start="3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В хода на одита, одиторите могат да ползват действащите процедури като справочен материал, но задължително отбелязват резултатите в съставените въпросници.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TOC5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 Доклад и последващи действия.</w:t>
      </w:r>
    </w:p>
    <w:p>
      <w:pPr>
        <w:pStyle w:val="TOC5"/>
        <w:ind w:firstLine="810" w:start="30" w:end="0"/>
        <w:rPr/>
      </w:pPr>
      <w:r>
        <w:rPr>
          <w:rFonts w:cs="Times New Roman" w:ascii="Times New Roman" w:hAnsi="Times New Roman"/>
          <w:sz w:val="24"/>
          <w:szCs w:val="24"/>
        </w:rPr>
        <w:t>След приключване на одита, одиторският екип извършва преглед на резултатите, който включва:</w:t>
      </w:r>
    </w:p>
    <w:p>
      <w:pPr>
        <w:pStyle w:val="ListBullet4"/>
        <w:numPr>
          <w:ilvl w:val="0"/>
          <w:numId w:val="6"/>
        </w:numPr>
        <w:tabs>
          <w:tab w:val="clear" w:pos="720"/>
          <w:tab w:val="left" w:pos="13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преглед на въпросниците;</w:t>
      </w:r>
    </w:p>
    <w:p>
      <w:pPr>
        <w:pStyle w:val="ListBullet4"/>
        <w:numPr>
          <w:ilvl w:val="0"/>
          <w:numId w:val="6"/>
        </w:numPr>
        <w:tabs>
          <w:tab w:val="clear" w:pos="720"/>
          <w:tab w:val="left" w:pos="13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преглед на бележките от одита;</w:t>
      </w:r>
    </w:p>
    <w:p>
      <w:pPr>
        <w:pStyle w:val="ListBullet4"/>
        <w:numPr>
          <w:ilvl w:val="0"/>
          <w:numId w:val="6"/>
        </w:numPr>
        <w:tabs>
          <w:tab w:val="clear" w:pos="720"/>
          <w:tab w:val="left" w:pos="13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преглед на установените несъответствия.</w:t>
      </w:r>
    </w:p>
    <w:p>
      <w:pPr>
        <w:pStyle w:val="ListBullet4"/>
        <w:tabs>
          <w:tab w:val="clear" w:pos="720"/>
          <w:tab w:val="left" w:pos="1350" w:leader="none"/>
        </w:tabs>
        <w:ind w:hanging="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55" w:start="45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Въз основа на извършения преглед на одита се изготвят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03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  <w:lang w:val="en-GB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 “Искане на коригиращо действие”, в които се описват установените несъответствия и се предписват коригиращите действия, които следва да бъдат предприети.</w:t>
      </w:r>
    </w:p>
    <w:p>
      <w:pPr>
        <w:pStyle w:val="TOC5"/>
        <w:ind w:firstLine="855" w:start="30" w:end="0"/>
        <w:rPr/>
      </w:pPr>
      <w:r>
        <w:rPr>
          <w:rFonts w:cs="Times New Roman" w:ascii="Times New Roman" w:hAnsi="Times New Roman"/>
          <w:sz w:val="24"/>
          <w:szCs w:val="24"/>
        </w:rPr>
        <w:tab/>
        <w:t>Резултатите от одита се представят в доклад, който се съставя от одитора и включва следните елементи:</w:t>
      </w:r>
    </w:p>
    <w:p>
      <w:pPr>
        <w:pStyle w:val="ListBullet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всички резултати (включително положителните);</w:t>
      </w:r>
    </w:p>
    <w:p>
      <w:pPr>
        <w:pStyle w:val="ListBullet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препоръчаните коригиращи действия;</w:t>
      </w:r>
    </w:p>
    <w:p>
      <w:pPr>
        <w:pStyle w:val="ListBullet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участващите одитори и служители от съответното организационно звено, с които е осъществен контакт.</w:t>
      </w:r>
    </w:p>
    <w:p>
      <w:pPr>
        <w:pStyle w:val="ListBullet4"/>
        <w:ind w:hanging="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OC5"/>
        <w:ind w:firstLine="840" w:start="45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Копия от доклада и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03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  <w:lang w:val="en-GB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 се предава на ръководителите на проверените организационни звена.</w:t>
      </w:r>
    </w:p>
    <w:p>
      <w:pPr>
        <w:pStyle w:val="TOC5"/>
        <w:ind w:firstLine="840" w:start="45" w:end="0"/>
        <w:rPr/>
      </w:pPr>
      <w:r>
        <w:rPr>
          <w:rFonts w:cs="Times New Roman" w:ascii="Times New Roman" w:hAnsi="Times New Roman"/>
          <w:sz w:val="24"/>
          <w:szCs w:val="24"/>
        </w:rPr>
        <w:t>Резултатите от одита се представят на ръководството на неофициална закриваща среща, която има за цел подобряване действащата система по околна среда.</w:t>
      </w:r>
    </w:p>
    <w:p>
      <w:pPr>
        <w:pStyle w:val="TOC5"/>
        <w:ind w:firstLine="840" w:start="45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Приключването на ИКД се извършва от одиторите и има за цел удостоверяване изпълнението на ИКД и приемане на резултатите от ИКД. Методите на приключване включват повторна проверка на областите с установени пропуски при наличие на физическо доказателство или преглед на новата и/или ревизирана документация.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Heading1"/>
        <w:spacing w:before="120" w:after="1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6.</w:t>
        <w:tab/>
        <w:t xml:space="preserve">Приложения 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03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>1   “Годишен график на вътрешните одити”</w:t>
      </w:r>
    </w:p>
    <w:p>
      <w:pPr>
        <w:pStyle w:val="TOC5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sz w:val="24"/>
          <w:szCs w:val="24"/>
        </w:rPr>
        <w:t>03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  <w:lang w:val="en-GB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   “Искане за коригиращо действие”</w:t>
      </w:r>
    </w:p>
    <w:p>
      <w:pPr>
        <w:pStyle w:val="Normal"/>
        <w:ind w:start="885" w:end="0"/>
        <w:rPr/>
      </w:pPr>
      <w:r>
        <w:rPr>
          <w:sz w:val="24"/>
          <w:szCs w:val="24"/>
          <w:lang w:val="en-US"/>
        </w:rPr>
        <w:t xml:space="preserve">ФОС </w:t>
      </w:r>
      <w:r>
        <w:rPr>
          <w:sz w:val="24"/>
          <w:szCs w:val="24"/>
          <w:lang w:val="bg-BG"/>
        </w:rPr>
        <w:t>03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>3   „План за вътрешен одит“</w:t>
      </w:r>
    </w:p>
    <w:p>
      <w:pPr>
        <w:pStyle w:val="Normal"/>
        <w:ind w:start="885" w:end="0"/>
        <w:rPr/>
      </w:pPr>
      <w:r>
        <w:rPr>
          <w:sz w:val="24"/>
          <w:szCs w:val="24"/>
          <w:lang w:val="en-US"/>
        </w:rPr>
        <w:t xml:space="preserve">ФОС </w:t>
      </w:r>
      <w:r>
        <w:rPr>
          <w:sz w:val="24"/>
          <w:szCs w:val="24"/>
          <w:lang w:val="bg-BG"/>
        </w:rPr>
        <w:t>03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>4   „Доклад от вътрешен одит“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  <w:tab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both"/>
        <w:rPr/>
        <w:sectPr>
          <w:headerReference w:type="default" r:id="rId2"/>
          <w:headerReference w:type="first" r:id="rId3"/>
          <w:type w:val="nextPage"/>
          <w:pgSz w:w="11906" w:h="16838"/>
          <w:pgMar w:left="1138" w:right="1022" w:gutter="0" w:header="708" w:top="764" w:footer="0" w:bottom="122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/>
      </w:r>
    </w:p>
    <w:p>
      <w:pPr>
        <w:pStyle w:val="Normal"/>
        <w:tabs>
          <w:tab w:val="clear" w:pos="720"/>
          <w:tab w:val="left" w:pos="0" w:leader="none"/>
        </w:tabs>
        <w:jc w:val="end"/>
        <w:rPr>
          <w:b/>
          <w:lang w:val="en-US"/>
        </w:rPr>
      </w:pP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03</w:t>
      </w:r>
      <w:r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bg-BG"/>
        </w:rPr>
        <w:t>1</w:t>
      </w:r>
      <w:r>
        <w:rPr>
          <w:b/>
          <w:sz w:val="24"/>
          <w:szCs w:val="24"/>
        </w:rPr>
        <w:t xml:space="preserve">   </w:t>
      </w:r>
    </w:p>
    <w:p>
      <w:pPr>
        <w:pStyle w:val="Normal"/>
        <w:tabs>
          <w:tab w:val="clear" w:pos="720"/>
          <w:tab w:val="left" w:pos="8505" w:leader="none"/>
        </w:tabs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Годишен график на вътрешните одити</w:t>
      </w:r>
    </w:p>
    <w:p>
      <w:pPr>
        <w:pStyle w:val="Normal"/>
        <w:tabs>
          <w:tab w:val="clear" w:pos="720"/>
          <w:tab w:val="left" w:pos="1275" w:leader="none"/>
        </w:tabs>
        <w:rPr>
          <w:lang w:val="en-US"/>
        </w:rPr>
      </w:pPr>
      <w:r>
        <w:rPr>
          <w:lang w:val="en-US"/>
        </w:rPr>
        <w:tab/>
      </w:r>
    </w:p>
    <w:tbl>
      <w:tblPr>
        <w:tblW w:w="13155" w:type="dxa"/>
        <w:jc w:val="center"/>
        <w:tblInd w:w="0" w:type="dxa"/>
        <w:tblLayout w:type="fixed"/>
        <w:tblCellMar>
          <w:top w:w="0" w:type="dxa"/>
          <w:start w:w="112" w:type="dxa"/>
          <w:bottom w:w="0" w:type="dxa"/>
          <w:end w:w="112" w:type="dxa"/>
        </w:tblCellMar>
      </w:tblPr>
      <w:tblGrid>
        <w:gridCol w:w="1800"/>
        <w:gridCol w:w="1605"/>
        <w:gridCol w:w="1395"/>
        <w:gridCol w:w="672"/>
        <w:gridCol w:w="736"/>
        <w:gridCol w:w="640"/>
        <w:gridCol w:w="736"/>
        <w:gridCol w:w="672"/>
        <w:gridCol w:w="704"/>
        <w:gridCol w:w="736"/>
        <w:gridCol w:w="640"/>
        <w:gridCol w:w="704"/>
        <w:gridCol w:w="672"/>
        <w:gridCol w:w="768"/>
        <w:gridCol w:w="675"/>
      </w:tblGrid>
      <w:tr>
        <w:trPr>
          <w:trHeight w:val="456" w:hRule="atLeast"/>
        </w:trPr>
        <w:tc>
          <w:tcPr>
            <w:tcW w:w="1800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Клаузи от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 xml:space="preserve">ISO </w:t>
            </w:r>
            <w:r>
              <w:rPr>
                <w:rFonts w:cs="Times New Roman"/>
                <w:b/>
                <w:sz w:val="24"/>
                <w:szCs w:val="24"/>
                <w:lang w:val="bg-BG"/>
              </w:rPr>
              <w:t>14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001:20</w:t>
            </w:r>
            <w:r>
              <w:rPr>
                <w:rFonts w:cs="Times New Roman"/>
                <w:b/>
                <w:sz w:val="24"/>
                <w:szCs w:val="24"/>
                <w:lang w:val="bg-BG"/>
              </w:rPr>
              <w:t>15</w:t>
            </w:r>
          </w:p>
        </w:tc>
        <w:tc>
          <w:tcPr>
            <w:tcW w:w="1605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Одитирани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ОЗ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Одитор</w:t>
            </w:r>
          </w:p>
        </w:tc>
        <w:tc>
          <w:tcPr>
            <w:tcW w:w="8355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Месеци</w:t>
            </w:r>
          </w:p>
        </w:tc>
      </w:tr>
      <w:tr>
        <w:trPr>
          <w:trHeight w:val="456" w:hRule="atLeast"/>
        </w:trPr>
        <w:tc>
          <w:tcPr>
            <w:tcW w:w="1800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  <w:tc>
          <w:tcPr>
            <w:tcW w:w="1605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</w:r>
          </w:p>
        </w:tc>
        <w:tc>
          <w:tcPr>
            <w:tcW w:w="1395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1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3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4</w:t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9</w:t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10</w:t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11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sz w:val="24"/>
                <w:szCs w:val="24"/>
                <w:lang w:val="bg-BG"/>
              </w:rPr>
            </w:pPr>
            <w:r>
              <w:rPr>
                <w:rFonts w:cs="Times New Roman"/>
                <w:b/>
                <w:sz w:val="24"/>
                <w:szCs w:val="24"/>
                <w:lang w:val="bg-BG"/>
              </w:rPr>
              <w:t>12</w:t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4.1,4.3,4.4,5,6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 xml:space="preserve">База 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/>
            </w:pPr>
            <w:r>
              <w:rPr>
                <w:rFonts w:cs="Times New Roman"/>
                <w:lang w:val="bg-BG"/>
              </w:rPr>
              <w:t>6.1.2, 5.3,6.2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База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/>
            </w:pPr>
            <w:r>
              <w:rPr>
                <w:rFonts w:cs="Times New Roman"/>
                <w:lang w:val="bg-BG"/>
              </w:rPr>
              <w:t>7,5.1,7.2,7.4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База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/>
            </w:pPr>
            <w:r>
              <w:rPr>
                <w:rFonts w:cs="Times New Roman"/>
                <w:lang w:val="bg-BG"/>
              </w:rPr>
              <w:t>7.5,8,8.2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База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/>
            </w:pPr>
            <w:r>
              <w:rPr>
                <w:rFonts w:cs="Times New Roman"/>
                <w:lang w:val="bg-BG"/>
              </w:rPr>
              <w:t>9,9.1.1,9.1.2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База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  <w:tr>
        <w:trPr>
          <w:trHeight w:val="456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10.2,9.2,9.3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Администрация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  <w:t>База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  <w:t>Х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jc w:val="center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b/>
                <w:lang w:val="bg-BG"/>
              </w:rPr>
            </w:pPr>
            <w:r>
              <w:rPr>
                <w:rFonts w:cs="Times New Roman"/>
                <w:b/>
                <w:lang w:val="bg-BG"/>
              </w:rPr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8505" w:leader="none"/>
              </w:tabs>
              <w:snapToGrid w:val="false"/>
              <w:rPr>
                <w:rFonts w:cs="Times New Roman"/>
                <w:lang w:val="bg-BG"/>
              </w:rPr>
            </w:pPr>
            <w:r>
              <w:rPr>
                <w:rFonts w:cs="Times New Roman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127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8505" w:leader="none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Изготвил:</w:t>
      </w:r>
    </w:p>
    <w:p>
      <w:pPr>
        <w:pStyle w:val="Normal"/>
        <w:rPr/>
      </w:pPr>
      <w:r>
        <w:rPr>
          <w:sz w:val="24"/>
          <w:szCs w:val="24"/>
          <w:lang w:val="bg-BG"/>
        </w:rPr>
        <w:t>Представител на ръководството:</w:t>
        <w:tab/>
        <w:t>01.03.2021 год.</w:t>
      </w:r>
    </w:p>
    <w:p>
      <w:pPr>
        <w:pStyle w:val="Normal"/>
        <w:tabs>
          <w:tab w:val="clear" w:pos="720"/>
          <w:tab w:val="left" w:pos="8505" w:leader="none"/>
        </w:tabs>
        <w:jc w:val="end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Утвърждавам:</w:t>
      </w:r>
    </w:p>
    <w:p>
      <w:pPr>
        <w:pStyle w:val="Normal"/>
        <w:rPr>
          <w:sz w:val="24"/>
          <w:szCs w:val="24"/>
          <w:lang w:val="en-US"/>
        </w:rPr>
        <w:sectPr>
          <w:headerReference w:type="default" r:id="rId4"/>
          <w:headerReference w:type="first" r:id="rId5"/>
          <w:type w:val="nextPage"/>
          <w:pgSz w:orient="landscape" w:w="16838" w:h="11906"/>
          <w:pgMar w:left="763" w:right="1224" w:gutter="0" w:header="706" w:top="1022" w:footer="0" w:bottom="1138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24"/>
          <w:szCs w:val="24"/>
          <w:lang w:val="en-US"/>
        </w:rPr>
      </w:r>
    </w:p>
    <w:p>
      <w:pPr>
        <w:pStyle w:val="Normal"/>
        <w:jc w:val="end"/>
        <w:rPr>
          <w:b/>
          <w:lang w:val="en-US"/>
        </w:rPr>
      </w:pP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03</w:t>
      </w:r>
      <w:r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bg-BG"/>
        </w:rPr>
        <w:t>2</w:t>
      </w:r>
      <w:r>
        <w:rPr>
          <w:b/>
          <w:sz w:val="24"/>
          <w:szCs w:val="24"/>
        </w:rPr>
        <w:t xml:space="preserve">   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/>
      </w:pPr>
      <w:r>
        <w:rPr/>
        <w:t>Искане за коригиращо действие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0370"/>
      </w:tblGrid>
      <w:tr>
        <w:trPr>
          <w:trHeight w:val="560" w:hRule="exac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/>
            </w:pPr>
            <w:r>
              <w:rPr>
                <w:rFonts w:cs="Times New Roman"/>
                <w:sz w:val="24"/>
                <w:szCs w:val="24"/>
                <w:lang w:val="en-US"/>
              </w:rPr>
              <w:t>Одит №</w:t>
            </w:r>
            <w:r>
              <w:rPr>
                <w:rFonts w:cs="Times New Roman"/>
                <w:sz w:val="24"/>
                <w:szCs w:val="24"/>
                <w:lang w:val="bg-BG"/>
              </w:rPr>
              <w:tab/>
              <w:tab/>
              <w:tab/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ИКД №</w:t>
            </w:r>
          </w:p>
        </w:tc>
      </w:tr>
      <w:tr>
        <w:trPr>
          <w:trHeight w:val="560" w:hRule="exac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Одитор:</w:t>
              <w:tab/>
              <w:tab/>
              <w:tab/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Дата на одита:</w:t>
            </w:r>
          </w:p>
        </w:tc>
      </w:tr>
      <w:tr>
        <w:trPr>
          <w:trHeight w:val="560" w:hRule="exac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/>
            </w:pPr>
            <w:r>
              <w:rPr>
                <w:rFonts w:cs="Times New Roman"/>
                <w:sz w:val="24"/>
                <w:szCs w:val="24"/>
                <w:lang w:val="en-US"/>
              </w:rPr>
              <w:t>Отдел:</w:t>
            </w:r>
            <w:r>
              <w:rPr>
                <w:rFonts w:cs="Times New Roman"/>
                <w:sz w:val="24"/>
                <w:szCs w:val="24"/>
                <w:lang w:val="bg-BG"/>
              </w:rPr>
              <w:tab/>
              <w:tab/>
              <w:tab/>
              <w:tab/>
              <w:tab/>
              <w:tab/>
              <w:tab/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Представител на отдела:</w:t>
            </w:r>
          </w:p>
        </w:tc>
      </w:tr>
      <w:tr>
        <w:trPr>
          <w:trHeight w:val="560" w:hRule="exac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 xml:space="preserve">Клаузи от </w:t>
            </w:r>
            <w:r>
              <w:rPr>
                <w:rFonts w:cs="Times New Roman"/>
                <w:spacing w:val="-3"/>
                <w:sz w:val="24"/>
                <w:szCs w:val="24"/>
                <w:lang w:val="en-US"/>
              </w:rPr>
              <w:t xml:space="preserve">ISO 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14</w:t>
            </w:r>
            <w:r>
              <w:rPr>
                <w:rFonts w:cs="Times New Roman"/>
                <w:spacing w:val="-3"/>
                <w:sz w:val="24"/>
                <w:szCs w:val="24"/>
                <w:lang w:val="en-US"/>
              </w:rPr>
              <w:t>001: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>
          <w:trHeight w:val="3394" w:hRule="atLeas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Описание за несъответствието: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z w:val="24"/>
                <w:szCs w:val="24"/>
                <w:lang w:val="bg-BG"/>
              </w:rPr>
            </w:pPr>
            <w:r>
              <w:rPr>
                <w:rFonts w:cs="Times New Roman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/>
            </w:pPr>
            <w:r>
              <w:rPr>
                <w:rFonts w:cs="Times New Roman"/>
                <w:sz w:val="24"/>
                <w:szCs w:val="24"/>
                <w:lang w:val="en-US"/>
              </w:rPr>
              <w:t>Одитор: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ab/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Дата: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Подпис: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 xml:space="preserve">Представител на отдела: </w:t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Дата: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Подпис:</w:t>
            </w:r>
          </w:p>
        </w:tc>
      </w:tr>
      <w:tr>
        <w:trPr>
          <w:trHeight w:val="2280" w:hRule="atLeas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Коригиращо действие за отстраняване на несъответствието: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Предложил ИКД:</w:t>
              <w:tab/>
              <w:tab/>
              <w:tab/>
              <w:t>Дата:</w:t>
              <w:tab/>
              <w:tab/>
              <w:tab/>
              <w:tab/>
              <w:t>Подпис: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 xml:space="preserve">Одитор: </w:t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Срок:</w:t>
            </w:r>
            <w:r>
              <w:rPr>
                <w:rFonts w:cs="Times New Roman"/>
                <w:sz w:val="24"/>
                <w:szCs w:val="24"/>
                <w:lang w:val="bg-BG"/>
              </w:rPr>
              <w:tab/>
              <w:tab/>
              <w:tab/>
              <w:tab/>
              <w:t>Подпис:</w:t>
            </w:r>
          </w:p>
        </w:tc>
      </w:tr>
      <w:tr>
        <w:trPr>
          <w:trHeight w:val="1514" w:hRule="atLeast"/>
          <w:cantSplit/>
        </w:trPr>
        <w:tc>
          <w:tcPr>
            <w:tcW w:w="10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napToGrid w:val="false"/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Резултати от одита за проверка на резултатите: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>
                <w:rFonts w:cs="Times New Roman"/>
                <w:spacing w:val="-3"/>
                <w:sz w:val="24"/>
                <w:szCs w:val="24"/>
                <w:lang w:val="bg-BG"/>
              </w:rPr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pacing w:before="0" w:after="54"/>
              <w:rPr/>
            </w:pP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>Одитор:</w:t>
              <w:tab/>
              <w:tab/>
              <w:tab/>
              <w:tab/>
              <w:tab/>
            </w:r>
            <w:r>
              <w:rPr>
                <w:rFonts w:cs="Times New Roman"/>
                <w:sz w:val="24"/>
                <w:szCs w:val="24"/>
                <w:lang w:val="en-US"/>
              </w:rPr>
              <w:t>Дата:</w:t>
            </w:r>
            <w:r>
              <w:rPr>
                <w:rFonts w:cs="Times New Roman"/>
                <w:spacing w:val="-3"/>
                <w:sz w:val="24"/>
                <w:szCs w:val="24"/>
                <w:lang w:val="bg-BG"/>
              </w:rPr>
              <w:tab/>
              <w:tab/>
              <w:tab/>
              <w:tab/>
              <w:t>Подпис:</w:t>
            </w:r>
          </w:p>
        </w:tc>
      </w:tr>
    </w:tbl>
    <w:p>
      <w:pPr>
        <w:pStyle w:val="Normal"/>
        <w:tabs>
          <w:tab w:val="clear" w:pos="720"/>
          <w:tab w:val="left" w:pos="289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lang w:val="en-US"/>
        </w:rPr>
      </w:pP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04</w:t>
      </w:r>
      <w:r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bg-BG"/>
        </w:rPr>
        <w:t xml:space="preserve">3   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tbl>
      <w:tblPr>
        <w:tblW w:w="102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60"/>
        <w:gridCol w:w="855"/>
        <w:gridCol w:w="2475"/>
        <w:gridCol w:w="3300"/>
      </w:tblGrid>
      <w:tr>
        <w:trPr/>
        <w:tc>
          <w:tcPr>
            <w:tcW w:w="4515" w:type="dxa"/>
            <w:gridSpan w:val="2"/>
            <w:tcBorders>
              <w:top w:val="double" w:sz="2" w:space="0" w:color="000000"/>
              <w:start w:val="double" w:sz="2" w:space="0" w:color="000000"/>
              <w:bottom w:val="double" w:sz="2" w:space="0" w:color="000000"/>
            </w:tcBorders>
            <w:shd w:fill="E5E5E5" w:val="clear"/>
          </w:tcPr>
          <w:p>
            <w:pPr>
              <w:pStyle w:val="Normal"/>
              <w:widowControl w:val="false"/>
              <w:snapToGrid w:val="false"/>
              <w:spacing w:before="60" w:after="60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4"/>
                <w:szCs w:val="24"/>
                <w:lang w:val="bg-BG" w:bidi="hi-IN"/>
              </w:rPr>
              <w:t>ПЛАН ЗА ВЪТРЕШЕН ОДИТ</w:t>
            </w:r>
          </w:p>
        </w:tc>
        <w:tc>
          <w:tcPr>
            <w:tcW w:w="5775" w:type="dxa"/>
            <w:gridSpan w:val="2"/>
            <w:tcBorders>
              <w:top w:val="double" w:sz="2" w:space="0" w:color="000000"/>
              <w:start w:val="single" w:sz="4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60" w:after="60"/>
              <w:textAlignment w:val="baseline"/>
              <w:rPr/>
            </w:pPr>
            <w:r>
              <w:rPr>
                <w:rFonts w:eastAsia="SimSun;宋体" w:cs="Tahoma" w:ascii="Arial" w:hAnsi="Arial"/>
                <w:b/>
                <w:kern w:val="2"/>
                <w:sz w:val="24"/>
                <w:szCs w:val="24"/>
                <w:lang w:val="bg-BG" w:bidi="hi-IN"/>
              </w:rPr>
              <w:t>Nо:001/01.03.2021.</w:t>
            </w:r>
          </w:p>
        </w:tc>
      </w:tr>
      <w:tr>
        <w:trPr>
          <w:trHeight w:val="225" w:hRule="atLeast"/>
        </w:trPr>
        <w:tc>
          <w:tcPr>
            <w:tcW w:w="10290" w:type="dxa"/>
            <w:gridSpan w:val="4"/>
            <w:tcBorders>
              <w:top w:val="double" w:sz="2" w:space="0" w:color="000000"/>
              <w:start w:val="double" w:sz="2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00" w:after="0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en-US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ОБХВАТ НА ОДИТА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: Всички раздели от наръчника и процедури засягащи изискванията на стандарт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en-US" w:bidi="hi-IN"/>
              </w:rPr>
              <w:t>ISO 14001/2015</w:t>
            </w:r>
          </w:p>
          <w:p>
            <w:pPr>
              <w:pStyle w:val="Normal"/>
              <w:widowControl w:val="false"/>
              <w:jc w:val="center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vertAlign w:val="superscript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vertAlign w:val="superscript"/>
                <w:lang w:val="bg-BG" w:bidi="hi-IN"/>
              </w:rPr>
              <w:t xml:space="preserve">                                                </w:t>
            </w:r>
            <w:r>
              <w:rPr>
                <w:rFonts w:eastAsia="SimSun;宋体" w:cs="Tahoma" w:ascii="Arial" w:hAnsi="Arial"/>
                <w:kern w:val="2"/>
                <w:sz w:val="24"/>
                <w:szCs w:val="24"/>
                <w:vertAlign w:val="superscript"/>
                <w:lang w:val="bg-BG" w:bidi="hi-IN"/>
              </w:rPr>
              <w:t>(посочват се разделите на наръчника / процедурите, спрямо изискванията на които ще се одитира)</w:t>
            </w:r>
          </w:p>
        </w:tc>
      </w:tr>
      <w:tr>
        <w:trPr/>
        <w:tc>
          <w:tcPr>
            <w:tcW w:w="10290" w:type="dxa"/>
            <w:gridSpan w:val="4"/>
            <w:tcBorders>
              <w:top w:val="double" w:sz="2" w:space="0" w:color="000000"/>
              <w:start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00" w:after="100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Cs w:val="24"/>
                <w:lang w:val="bg-BG" w:bidi="hi-IN"/>
              </w:rPr>
              <w:t>ВОДЕЩ ВЪТРЕШЕН ОДИТОР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__________________________</w:t>
            </w:r>
          </w:p>
          <w:p>
            <w:pPr>
              <w:pStyle w:val="Normal"/>
              <w:widowControl w:val="false"/>
              <w:spacing w:before="0" w:after="100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Cs w:val="24"/>
                <w:lang w:val="bg-BG" w:bidi="hi-IN"/>
              </w:rPr>
              <w:t xml:space="preserve">         </w:t>
            </w:r>
            <w:r>
              <w:rPr>
                <w:rFonts w:eastAsia="SimSun;宋体" w:cs="Tahoma" w:ascii="Arial" w:hAnsi="Arial"/>
                <w:b/>
                <w:kern w:val="2"/>
                <w:szCs w:val="24"/>
                <w:lang w:val="bg-BG" w:bidi="hi-IN"/>
              </w:rPr>
              <w:t>ОДИТОРИ</w:t>
            </w: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 xml:space="preserve">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1. _________________________          2. ____________________________</w:t>
            </w:r>
          </w:p>
          <w:p>
            <w:pPr>
              <w:pStyle w:val="Normal"/>
              <w:widowControl w:val="false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                       </w:t>
            </w:r>
            <w:r>
              <w:rPr>
                <w:rFonts w:eastAsia="SimSun;宋体" w:cs="Tahoma" w:ascii="Arial" w:hAnsi="Arial"/>
                <w:kern w:val="2"/>
                <w:sz w:val="4"/>
                <w:szCs w:val="4"/>
                <w:lang w:val="bg-BG" w:bidi="hi-IN"/>
              </w:rPr>
              <w:t xml:space="preserve">        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3. _________________________          4. ____________________________</w:t>
            </w:r>
          </w:p>
        </w:tc>
      </w:tr>
      <w:tr>
        <w:trPr/>
        <w:tc>
          <w:tcPr>
            <w:tcW w:w="10290" w:type="dxa"/>
            <w:gridSpan w:val="4"/>
            <w:tcBorders>
              <w:top w:val="double" w:sz="2" w:space="0" w:color="000000"/>
              <w:start w:val="double" w:sz="2" w:space="0" w:color="000000"/>
              <w:end w:val="double" w:sz="2" w:space="0" w:color="000000"/>
            </w:tcBorders>
            <w:shd w:fill="F2F2F2" w:val="clear"/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b/>
                <w:kern w:val="2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Cs w:val="24"/>
                <w:lang w:val="bg-BG" w:bidi="hi-IN"/>
              </w:rPr>
              <w:t>ДЕЙНОСТИ, ВКЛЮЧЕНИ В ОДИТА</w:t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Дейности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Време (дата/час)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Място</w:t>
            </w:r>
          </w:p>
        </w:tc>
      </w:tr>
      <w:tr>
        <w:trPr/>
        <w:tc>
          <w:tcPr>
            <w:tcW w:w="3660" w:type="dxa"/>
            <w:tcBorders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Откриващо заседание</w:t>
            </w:r>
          </w:p>
        </w:tc>
        <w:tc>
          <w:tcPr>
            <w:tcW w:w="3330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 xml:space="preserve">9:00 </w:t>
            </w:r>
          </w:p>
        </w:tc>
        <w:tc>
          <w:tcPr>
            <w:tcW w:w="3300" w:type="dxa"/>
            <w:tcBorders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>Администрация</w:t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Интервюта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>13:00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 xml:space="preserve">Администрация / База </w:t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Заключително заседание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>18:00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>Администрация</w:t>
            </w:r>
          </w:p>
        </w:tc>
      </w:tr>
      <w:tr>
        <w:trPr/>
        <w:tc>
          <w:tcPr>
            <w:tcW w:w="10290" w:type="dxa"/>
            <w:gridSpan w:val="4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double" w:sz="2" w:space="0" w:color="000000"/>
            </w:tcBorders>
            <w:shd w:fill="F2F2F2" w:val="clear"/>
          </w:tcPr>
          <w:p>
            <w:pPr>
              <w:pStyle w:val="Normal"/>
              <w:widowControl w:val="false"/>
              <w:tabs>
                <w:tab w:val="clear" w:pos="720"/>
                <w:tab w:val="center" w:pos="4153" w:leader="none"/>
                <w:tab w:val="right" w:pos="8306" w:leader="none"/>
              </w:tabs>
              <w:snapToGrid w:val="false"/>
              <w:textAlignment w:val="baseline"/>
              <w:rPr>
                <w:rFonts w:ascii="Arial" w:hAnsi="Arial" w:eastAsia="SimSun;宋体" w:cs="Tahoma"/>
                <w:b/>
                <w:kern w:val="2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Cs w:val="24"/>
                <w:lang w:val="bg-BG" w:bidi="hi-IN"/>
              </w:rPr>
              <w:t>РАЗПРЕДЕЛЕНИЕ НА ОДИТОРИТЕ ПО ДЕЙНОСТИ</w:t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Одитирана дейност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Одитор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textAlignment w:val="baseline"/>
              <w:rPr>
                <w:rFonts w:ascii="Arial" w:hAnsi="Arial" w:eastAsia="SimSun;宋体" w:cs="Tahoma"/>
                <w:b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2"/>
                <w:szCs w:val="22"/>
                <w:lang w:val="bg-BG" w:bidi="hi-IN"/>
              </w:rPr>
              <w:t>Одитиран</w:t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rFonts w:cs="Times New Roman"/>
                <w:sz w:val="22"/>
                <w:lang w:val="bg-BG"/>
              </w:rPr>
            </w:pPr>
            <w:r>
              <w:rPr>
                <w:rFonts w:cs="Times New Roman"/>
                <w:sz w:val="22"/>
                <w:lang w:val="bg-BG"/>
              </w:rPr>
              <w:t xml:space="preserve">4.0. / </w:t>
            </w:r>
            <w:r>
              <w:rPr>
                <w:rFonts w:cs="Times New Roman"/>
                <w:color w:val="000000"/>
                <w:sz w:val="22"/>
                <w:lang w:val="bg-BG"/>
              </w:rPr>
              <w:t>Контекст на Организацията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both"/>
              <w:outlineLvl w:val="2"/>
              <w:rPr>
                <w:rFonts w:cs="Times New Roman"/>
                <w:color w:val="000000"/>
                <w:sz w:val="22"/>
                <w:lang w:val="bg-BG"/>
              </w:rPr>
            </w:pPr>
            <w:r>
              <w:rPr>
                <w:rFonts w:cs="Times New Roman"/>
                <w:color w:val="000000"/>
                <w:sz w:val="22"/>
                <w:lang w:val="bg-BG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color w:val="000000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color w:val="000000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2"/>
                <w:szCs w:val="22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4.1.1. </w:t>
            </w:r>
            <w:r>
              <w:rPr>
                <w:rFonts w:eastAsia="SimSun;宋体" w:cs="Times New Roman"/>
                <w:kern w:val="2"/>
                <w:sz w:val="22"/>
                <w:szCs w:val="22"/>
                <w:lang w:val="bg-BG" w:bidi="hi-IN"/>
              </w:rPr>
              <w:t xml:space="preserve">/ Определяне на обхвата на системата за управление на околната среда.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4.2. / Политика по околна среда.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4.3./ Планиране.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>4.3.1. / Аспекти на околната среда.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>4.3.2. / Роли, отговорности и правомощия.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4.3.3. / Цели по околната среда.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 </w:t>
            </w:r>
            <w:r>
              <w:rPr>
                <w:sz w:val="22"/>
                <w:lang w:val="bg-BG"/>
              </w:rPr>
              <w:t xml:space="preserve">4.4. / Внедряване и функциониране.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4.4.1. / Лидерство и ангажираност.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4.4.2. / Компетентност, обучение и осъзнаване.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4.4.3. / Обмен на информация.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4.4.5. / Управление на документираната информация.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4.4.6. / Контрол на операциите.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/>
            </w:pPr>
            <w:r>
              <w:rPr>
                <w:sz w:val="22"/>
                <w:lang w:val="bg-BG"/>
              </w:rPr>
              <w:t xml:space="preserve">4.4.7. / </w:t>
            </w:r>
            <w:r>
              <w:rPr>
                <w:rFonts w:eastAsia="SimSun;宋体" w:cs="Times New Roman"/>
                <w:kern w:val="2"/>
                <w:sz w:val="22"/>
                <w:szCs w:val="22"/>
                <w:lang w:val="bg-BG" w:bidi="hi-IN"/>
              </w:rPr>
              <w:t xml:space="preserve">Готовност и реагиране при извънредни ситуации.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4.5.1. / Мониторинг и измерване.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3660" w:type="dxa"/>
            <w:tcBorders>
              <w:top w:val="single" w:sz="4" w:space="0" w:color="000000"/>
              <w:start w:val="double" w:sz="2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sz w:val="22"/>
                <w:lang w:val="bg-BG"/>
              </w:rPr>
              <w:t xml:space="preserve">4.5.2. Оценяване на съответствието. 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imes New Roman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>
          <w:trHeight w:val="1215" w:hRule="atLeast"/>
        </w:trPr>
        <w:tc>
          <w:tcPr>
            <w:tcW w:w="10290" w:type="dxa"/>
            <w:gridSpan w:val="4"/>
            <w:tcBorders>
              <w:top w:val="double" w:sz="2" w:space="0" w:color="000000"/>
              <w:start w:val="double" w:sz="2" w:space="0" w:color="000000"/>
              <w:bottom w:val="single" w:sz="4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Цел на одита:</w:t>
            </w:r>
          </w:p>
          <w:p>
            <w:pPr>
              <w:pStyle w:val="Normal"/>
              <w:widowControl w:val="false"/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en-US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Установяване на съответствие на внедрената система за управление със стандарт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en-US" w:bidi="hi-IN"/>
              </w:rPr>
              <w:t>ISO 14001:2015</w:t>
            </w:r>
          </w:p>
          <w:p>
            <w:pPr>
              <w:pStyle w:val="Normal"/>
              <w:widowControl w:val="false"/>
              <w:tabs>
                <w:tab w:val="clear" w:pos="720"/>
                <w:tab w:val="center" w:pos="4153" w:leader="none"/>
                <w:tab w:val="right" w:pos="8306" w:leader="none"/>
              </w:tabs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</w:tc>
      </w:tr>
      <w:tr>
        <w:trPr>
          <w:trHeight w:val="1545" w:hRule="atLeast"/>
        </w:trPr>
        <w:tc>
          <w:tcPr>
            <w:tcW w:w="10290" w:type="dxa"/>
            <w:gridSpan w:val="4"/>
            <w:tcBorders>
              <w:top w:val="single" w:sz="4" w:space="0" w:color="000000"/>
              <w:start w:val="double" w:sz="2" w:space="0" w:color="000000"/>
              <w:bottom w:val="double" w:sz="2" w:space="0" w:color="000000"/>
              <w:end w:val="double" w:sz="2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spacing w:before="140" w:after="0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Водещ вътрешен одитор: ______________(___________)         Дата 01.03.2021 г.</w:t>
            </w:r>
          </w:p>
          <w:p>
            <w:pPr>
              <w:pStyle w:val="Normal"/>
              <w:widowControl w:val="false"/>
              <w:tabs>
                <w:tab w:val="clear" w:pos="720"/>
                <w:tab w:val="center" w:pos="4153" w:leader="none"/>
                <w:tab w:val="right" w:pos="8306" w:leader="none"/>
              </w:tabs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Представител на ръководството: ___________(_________)       Дата 01.03.2021.</w:t>
            </w:r>
          </w:p>
          <w:p>
            <w:pPr>
              <w:pStyle w:val="Normal"/>
              <w:widowControl w:val="false"/>
              <w:tabs>
                <w:tab w:val="clear" w:pos="720"/>
                <w:tab w:val="center" w:pos="4153" w:leader="none"/>
                <w:tab w:val="right" w:pos="8306" w:leader="none"/>
              </w:tabs>
              <w:spacing w:before="14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Standard"/>
        <w:spacing w:before="0" w:after="60"/>
        <w:ind w:start="5670" w:end="0"/>
        <w:rPr/>
      </w:pPr>
      <w:r>
        <w:rPr>
          <w:lang w:val="en-US"/>
        </w:rPr>
        <w:tab/>
      </w:r>
      <w:r>
        <w:rPr>
          <w:rFonts w:cs="Arial" w:ascii="Arial" w:hAnsi="Arial"/>
          <w:sz w:val="22"/>
          <w:szCs w:val="22"/>
        </w:rPr>
        <w:t>Утвърдил:</w:t>
      </w:r>
    </w:p>
    <w:p>
      <w:pPr>
        <w:pStyle w:val="Standard"/>
        <w:spacing w:before="0" w:after="60"/>
        <w:ind w:start="567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Управител:______________</w:t>
      </w:r>
    </w:p>
    <w:p>
      <w:pPr>
        <w:pStyle w:val="Standard"/>
        <w:ind w:firstLine="90" w:start="6390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          </w:t>
      </w:r>
      <w:r>
        <w:rPr>
          <w:rFonts w:cs="Arial" w:ascii="Arial" w:hAnsi="Arial"/>
          <w:sz w:val="22"/>
          <w:szCs w:val="22"/>
        </w:rPr>
        <w:t>02.03.2021г.</w:t>
      </w:r>
    </w:p>
    <w:p>
      <w:pPr>
        <w:pStyle w:val="Normal"/>
        <w:tabs>
          <w:tab w:val="clear" w:pos="720"/>
          <w:tab w:val="left" w:pos="6105" w:leader="none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03</w:t>
      </w:r>
      <w:r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bg-BG"/>
        </w:rPr>
        <w:t xml:space="preserve">4  </w:t>
      </w:r>
    </w:p>
    <w:p>
      <w:pPr>
        <w:pStyle w:val="Normal"/>
        <w:tabs>
          <w:tab w:val="clear" w:pos="720"/>
          <w:tab w:val="left" w:pos="2895" w:leader="none"/>
        </w:tabs>
        <w:jc w:val="end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tbl>
      <w:tblPr>
        <w:tblW w:w="105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55"/>
        <w:gridCol w:w="8755"/>
      </w:tblGrid>
      <w:tr>
        <w:trPr/>
        <w:tc>
          <w:tcPr>
            <w:tcW w:w="10510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240" w:after="0"/>
              <w:jc w:val="center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b/>
                <w:kern w:val="2"/>
                <w:sz w:val="24"/>
                <w:szCs w:val="24"/>
                <w:lang w:val="bg-BG" w:bidi="hi-IN"/>
              </w:rPr>
              <w:t>ОБОБЩЕН ДОКЛАД ОТ ВЪТРЕШЕН ОДИТ Nо</w:t>
            </w: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  <w:t>: 0001  от 15.03.2021 г.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>
          <w:trHeight w:val="99" w:hRule="atLeast"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0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Одитирана дейност: Разделите на наръчника / процедурите, спрямо изискванията на ISO 14001/2015</w:t>
            </w:r>
          </w:p>
        </w:tc>
      </w:tr>
      <w:tr>
        <w:trPr/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00" w:after="0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Обхват на одита: Всички раздели от наръчника и процедури засягащи изискванията на стандарт ISO 14001/2015_____________________________________________________________</w:t>
            </w:r>
          </w:p>
        </w:tc>
      </w:tr>
      <w:tr>
        <w:trPr/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Водещ вътрешен одитор:   __________________________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        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Одитори: 1.________________________       2. __________________________</w:t>
            </w:r>
          </w:p>
        </w:tc>
      </w:tr>
      <w:tr>
        <w:trPr/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caps/>
                <w:kern w:val="2"/>
                <w:szCs w:val="24"/>
                <w:lang w:val="bg-BG" w:bidi="hi-IN"/>
              </w:rPr>
              <w:t>КОНСТАТАЦИИ на водещия вътрешен одитор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</w:t>
            </w:r>
            <w:r>
              <w:rPr>
                <w:rFonts w:eastAsia="SimSun;宋体" w:cs="Tahoma" w:ascii="Arial" w:hAnsi="Arial"/>
                <w:kern w:val="2"/>
                <w:szCs w:val="24"/>
                <w:lang w:val="bg-BG" w:bidi="hi-IN"/>
              </w:rPr>
              <w:t>(по доказателствата за извадката, констатираните зони за подобрение и несъответствия):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16"/>
                <w:szCs w:val="16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16"/>
                <w:szCs w:val="16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Клауза на стандарт ISO 14001:2015: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4.0. / Контекст на Организацията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Вътрешните и външни обстоятелства от значение за постигане на политиката по ОС и стратегическите цели са определени в Наръчника по СУОС и бяха представени в разговор с управителя на дружеството. Вътрешните обстоятелства касаят осигуряването на ресурси – материални, финансови и човешки, а външните имат отношение към политическата и икономическа макрообстановка, както и към законодателната рамка, чрез която може да се окаже влияние върху бизнеса в бранша.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Ръководството на дружеството е в постоянен контакт със заинтересованите страни, свързани с функционирането на СУОС и по време на процеса по преработка на системата, поддържа тесен контакт с тях, за да бъде възможно удовлетворяването на изискванията им.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Заинтересованите страни са предимно възложителите на фирмата, финансовите институции, кредитиращи дейността на дружеството, доставчици и крайни клиенти. По време на одита, ръководството представи и други заинтересовани страни – държавни контролни органи и общинските администрации, на чиято територия се намират офисите на фирмата.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Списък със заинтересованите страни е наличен и бе представен на одита.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4.1.1. / Определяне на обхвата на системата за управление на околната среда.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Обхватът на системата е определен в НАСУОС. При определянето му са взети под внимание обстоятелствата и изискванията, заложени в стандарта.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4.2. / Политика по околна среда.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В дружеството съществува декларация за политиката на ръководството за СУОС. Сътрудниците са запознати с декларацията посредством лични разговори и обучения, информационни табла и обучения. Тя се разбира от тях и се взима под внимание. Декларацията е разпространена и на територията на  фирмата.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4.3./ Планиране.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При разработването на версия 01 на документацията на СУОС са взети предвид последствията от измененията, като за целта е проведено обсъждане със заинтересованите страни и с ръководството на дружеството. Оценено е как измененията свързани с имплементирането на СУОС ще повлияят на наличието на ресурси, целостта на системата, отговорностите и ролите. Предвидените стъпки по време на оценката са изпълнени при изготвянето на актуалната версия и са в сила към момента.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4.3.1. / Аспекти на околната среда.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Преди провеждането на вътрешния одит е извършена актуализация на списъка с аспектите на околната среда във фирмата, както и програма за управление на значимите рискове, разработена на база оценката на риска. Всички аспекти и рисковете относно дейността на фирмата, касаещи опазването на околната среда са определени, идентифицирани и оценени. Заложени са мерки за намаляване въздействието на значимите аспекти. Изпълнението е направено по методики, които са подробно описани в разработени процедура ПОС 01 Управление на аспектите. Изпълнението на тази дейност е съобразено изцяло с изискванията на ISO 14001:2015. Налична е пълна проследимост при определянето, управлението, намаляване значимостта и оценката на аспектите на ОС.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4.3.2. / Роли, отговорности и правомощия.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Отговорностите са описани в документацията на системата и в длъжностни характеристики за всяка длъжност от организационната структура. Познати са от сътрудниците и се изпълняват. Установена е организационната структура и взаимоотношенията между отделните длъжности. Има назначен ПР за СУОС със заповед. ПР за СУОС притежава нужната длъжностна характеристика и компетенции за вътрешен одитор. Изготвена е матрица на отговорностите, с разпределени отговорности на всяко лице от организационната структура.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4.3.3. / Цели по околната среда.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Ръководството представи ясно структурирани и измерими цели по ОС за настоящата година. Оперативното планиране на дейността се осъществява на база планираните и получените поръчки и заявки от клиенти, както и на база заложените цели. На тази основа се разработва и планирането на дейността на фирмата.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1. Предотвратяване на разлив на гориво – смазочни материали при експлоатация и поддържане на механизация.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1.2 Намаляване нивото на шум при използване на машини и съоръжения.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1.3 Предотвратяване на разпиляване на твърди отпадъци.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1.4 Гарантиране  на водоплътност на изградените тръбопроводи за водоснабдяване, канализация и газификация.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1.5 Стриктно спазване на УСЛОВИЯТА при генериране, временно съхранение и отчитане на строителни отпадъци. 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2.1 Намаляване консумацията на ел. енергията в офисите с 2% в сравнение с 2020г.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изключване на компютрите при обедните и други почивки.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- изключване на зарядните на мобилните телефони след приключване на зареждането.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- намаляване на зададеният градус на климатичните инсталации. 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2.2 Намаляване на генерираните отпадъци с 10гк. Годишно в сравнение с 2020г.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2.3 Подобряване на качеството на околната среда – въздух, прах, шум – чрез озеленяване.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3.1 Увеличаване на количеството рециклиран отпадък.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 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 / Внедряване и функциониране.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Висшето ръководство на Организацията демонстрира лидерската си позиция и ангажимент по отношение на СУОС чрез: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Водене на отчетност за ефективността на системата за управление на околната среда;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Гаранция, че са установени целите на политиката по околната среда и, че те са съвместими със стратегическите цели на организацията;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Гаранция за интегрирането на изискванията на системата за управление на околната среда в бизнес процесите на организацията;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Насърчаване на използването на процесния подход, спрямо мисленето, основано на риска;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Гаранция, че средствата, необходими за системата за управление на околната среда са на разположение;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Информиране за значението на ефективното управление на околната среда, съответстващо на изискванията на системата за управление на околната среда;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 Гаранция, че системата за управление на околната среда постига своите планираните резултати;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4.4.1. / Лидерство и ангажираност.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Управителят следва ясна стратегия за развитие на предприятието. Тя основно е ориентирана към максимално и комплексно задоволяване на нуждите на клиента и поддържането на високо качество на услугите и дейностите. 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Има изградени политика и цели по ОС за 2021 година. Във връзка с това в предприятието се практикува система за регистриране на данните от дейността.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Ориентацията към клиента се изразява в следните насоки: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</w:t>
              <w:tab/>
              <w:t>Повишаване на обема на услугите;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</w:t>
              <w:tab/>
              <w:t>Трайно присъствие на пазара;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-</w:t>
              <w:tab/>
              <w:t>Привличане на нови клиенти.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Изготвен е анализ на удовлетвореността на клиента за изминалата година. Дейността се осигурява предимно от  Управителя, като за тази цел се използват преките контакти.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4.4.2. / Компетентност, обучение и осъзнаване.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Всички изисквания и отговорности към персонала са определени от документацията на системата и длъжностните характеристики се познават от заетите лица. Водят се досиета на сътрудниците. Квалификацията и опита на сътрудниците отговарят на изискванията. Подбора на кадри, въвеждането в работа, поддържането и повишаването на квалификацията се планират и се проследяват. Проведени и документирани са обучения за повишаване компетенциите на персонала. Развитието на персонала се планира в качествен и количествен аспект. В процеса на работа много ефективно е организиран подбора, въвеждането в работа, обучението и повишаването на квалификацията на персонала. Контролът и оценката на тази дейност е ежедневен и се проследява по записи, с които са запознати и самите сътрудници.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В хода на одита бе проверен график за обученията за 2021 година. Проведените обучения до момента са оценени и са съставени протоколи, доказващи участването на лицата на обученията. Наличен е и анализ на ефективността на обученията.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4.4.3. / Обмен на информация.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Вътрешната комуникация се осъществява ежедневно чрез  оперативки, телефонни разговори, регламентирания документооборот и провежданите обучения. За оперативките на съвета по ОС се съставят протоколи. По отношение консултацията с трети страни, фирмата е идентифицирала като заинтересовани страни всички външни организации, имащи отношение към работата на фирмата. С определените заинтересовани страни се поддържат постоянни контакти за информация, касаеща политиката ОС. Разработена е процедура за комуникации и консултации, чийто предписания се изпълняват.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4.4.5. / Управление на документираната информация.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Документацията на системата е подробна и обхваща всички процеси характерни за фирмата, удобна е за използване и отговаря на изискванията на стандарта. Наръчникът е структуриран съгласно структурата на стандарта и за допълнителна помощ е направена таблица за съответствие между изискванията на стандарта и главите от наръчника, в които са отразени въпросните. Представени са задължителните процедури, описващи основните и спомагателните процеси във фирмата. Представени бяха и инструкции, допълващи процесите в тяхната  подробна конкретика. В различните области на дейност одиторите проследиха в достатъчен обем управлението на документите и записите, от които ясно се проследява развитието на процесите. Управлението на документите и записите се извършва съгласно документираните процедури.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4.4.6. / Контрол на операциите.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Представената система за управление е процесоориентирана, отговаря на изискванията на стандартите ISO 14001:2015, свързана е с практиката и е съобразена с големината, структурата и спецификата на дейността на дружеството. Процесите са идентифицирани, описани и е указана взаимовръзката между тях. Проверката по време на одита показа и реалното им изпълнение.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4.4.7. / Готовност и реагиране при извънредни ситуации.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Организацията е създала, приложила и поддържа процедура, за да определи потенциалните извънредни ситуации и инциденти, които могат да имат въздействие върху околната среда, и как ще реагира при тях.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Организацията реагира при действителни извънредни ситуации и инциденти и предотвратява или намалява свързаните с тях неблагоприятни въздействия върху околната среда.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Организацията периодично проверява и изменя, където това е необходимо, своите процедури за готовност и реагиране при извънредни ситуации и особено след възникване на инциденти или извънредни ситуации.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Организацията периодично практически проверява изпълнението на тези процедури, където това е осъществимо.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 xml:space="preserve">4.5.1. / Мониторинг и измерване. 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Чрез процесите за мониторинг и измерване, БРАМАНД  ЕООД гарантира: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съответствието на продуктите с предявените изисквания към тях;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съответствието на практиката с внедрената Система за управление на околната среда;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непрекъснатото подобряване на процесите, които ги осигуряват.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За постигнатото съответствие на продуктите се съди по изпълнението на изискванията на клиента като технически характеристики, количество и срок на изработване на поръчката.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Информация за съответствие на Системата за управление на околната среда с изискванията на ISO 14001:2015, както и на прилаганата практика с документираната система, се получава в резултат на провеждането на вътрешни одити по околна среда.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За определяне на областите за подобряване на Системата за управление на околната среда, ръководството на Дружеството: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 xml:space="preserve">изследва удовлетвореността на клиента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 xml:space="preserve">провежда вътрешни одити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 xml:space="preserve">провежда преглед от Ръководството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•</w:t>
            </w: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ab/>
              <w:t>извършва самооценка на дейността си.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4.5.2. Оценяване на съответствието.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Чрез управителя  се поддържат постоянни контакти с клиентите на фирмата. Следи се и се оценява тяхната удовлетвореност, за което е предоставен съответния анализ на прегледа на ръководството.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Наблюдаването и измерването на процесите и продуктите се извършва на база документираните процедури и техническите регламенти, което се проследява документално.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Използват се необходимите статистически методи.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Създадена е и се прилага процедура за оценка на съответствието, като оценката на съответствието с вътрешно-фирмените заповеди и инструкции, законовите и нормативни изисквания, както и изискванията на възложители е поместена в приложение 1 от процедурата. До момента на провеждане на вътрешния одит не са установени несъответствия между заложените изисквания и тяхното изпълнение. Спазват се изискванията на стандарта.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4.5.3.</w:t>
              <w:tab/>
              <w:t>Несъответствия и коригиращи действия.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Налице е разработена процедура за управление на несъответстващ продукт, в която са маркирани основните моменти по регистриране и вземане на решение за отстраняване на несъответствието. Разработен е и протокол за несъответствие.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4.5.5.</w:t>
              <w:tab/>
              <w:t xml:space="preserve">Вътрешен одит.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Настоящият вътрешен одит се води съгласно изискванията на разработената процедура ПОС 03 Вътрешен одит. Изготвен е график за одит от 01.03.2021 г., заповед от 01.03.2021 г.. и план от 01.03.2021 г. Вътрешните одитори притежават необходимите компетенции за провеждане на одита са членове на съвета ОС.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4.6.</w:t>
              <w:tab/>
              <w:t>Преглед от ръководството.</w:t>
            </w:r>
          </w:p>
          <w:p>
            <w:pPr>
              <w:pStyle w:val="Normal"/>
              <w:widowControl w:val="false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Взети са предвид изискванията за оценка на действията за овладяване на риска при входящите елементи при провеждане на прегледа от ръководството. Задълженията на ръководството при провеждане на прегледа са дефинирани в наръчника. Предстои да бъде пусната заповед за провеждането му, след което се очаква ръководството да състави доклад от прегледа до края на месец май.</w:t>
            </w:r>
          </w:p>
        </w:tc>
      </w:tr>
      <w:tr>
        <w:trPr/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10"/>
                <w:szCs w:val="10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10"/>
                <w:szCs w:val="10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Cs w:val="24"/>
                <w:u w:val="single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Cs w:val="24"/>
                <w:u w:val="single"/>
                <w:lang w:val="bg-BG" w:bidi="hi-IN"/>
              </w:rPr>
              <w:t>НЕСЪОТВЕТСТВИЯ</w:t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60" w:after="0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№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на Отчет за несъответствие:</w:t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Не са констатирани несъответствия. </w:t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4"/>
                <w:szCs w:val="24"/>
                <w:lang w:val="bg-BG" w:bidi="hi-IN"/>
              </w:rPr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10"/>
                <w:szCs w:val="10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10"/>
                <w:szCs w:val="10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Cs w:val="24"/>
                <w:u w:val="single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Cs w:val="24"/>
                <w:u w:val="single"/>
                <w:lang w:val="bg-BG" w:bidi="hi-IN"/>
              </w:rPr>
              <w:t>ЗОНИ ЗА ПОДОБРЕНИЕ</w:t>
            </w:r>
          </w:p>
        </w:tc>
      </w:tr>
      <w:tr>
        <w:trPr/>
        <w:tc>
          <w:tcPr>
            <w:tcW w:w="1755" w:type="dxa"/>
            <w:tcBorders>
              <w:start w:val="single" w:sz="8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№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по ред</w:t>
            </w:r>
          </w:p>
        </w:tc>
        <w:tc>
          <w:tcPr>
            <w:tcW w:w="8755" w:type="dxa"/>
            <w:tcBorders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Описание:</w:t>
            </w:r>
          </w:p>
        </w:tc>
      </w:tr>
      <w:tr>
        <w:trPr/>
        <w:tc>
          <w:tcPr>
            <w:tcW w:w="1755" w:type="dxa"/>
            <w:tcBorders>
              <w:start w:val="single" w:sz="8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>4.6.</w:t>
            </w:r>
          </w:p>
        </w:tc>
        <w:tc>
          <w:tcPr>
            <w:tcW w:w="8755" w:type="dxa"/>
            <w:tcBorders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>Да се извърши преглед от ръководството преди провеждането на външния одит.</w:t>
            </w:r>
          </w:p>
        </w:tc>
      </w:tr>
      <w:tr>
        <w:trPr/>
        <w:tc>
          <w:tcPr>
            <w:tcW w:w="1755" w:type="dxa"/>
            <w:tcBorders>
              <w:start w:val="single" w:sz="8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4.3.2.</w:t>
            </w:r>
          </w:p>
        </w:tc>
        <w:tc>
          <w:tcPr>
            <w:tcW w:w="8755" w:type="dxa"/>
            <w:tcBorders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Arial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Arial" w:ascii="Arial" w:hAnsi="Arial"/>
                <w:kern w:val="2"/>
                <w:sz w:val="22"/>
                <w:szCs w:val="22"/>
                <w:lang w:val="bg-BG" w:bidi="hi-IN"/>
              </w:rPr>
              <w:t>Препоръчва се отговорностите и правомощията на лицата, имащи отношение към СУОС да бъдат явно оповестени, за да се улесни работата им, свързана със започването на воденето на документацията на СУОС и породените от това нови и допълнителни задължения.</w:t>
            </w:r>
          </w:p>
        </w:tc>
      </w:tr>
      <w:tr>
        <w:trPr/>
        <w:tc>
          <w:tcPr>
            <w:tcW w:w="10510" w:type="dxa"/>
            <w:gridSpan w:val="2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100" w:after="0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Водещ вътрешен одитор: _______________(_____________) Дата: 15/03/2021г.</w:t>
            </w:r>
          </w:p>
        </w:tc>
      </w:tr>
      <w:tr>
        <w:trPr>
          <w:trHeight w:val="1594" w:hRule="atLeast"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Абонати на Обобщения доклад: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Управител </w:t>
            </w:r>
          </w:p>
          <w:p>
            <w:pPr>
              <w:pStyle w:val="Normal"/>
              <w:widowControl w:val="false"/>
              <w:textAlignment w:val="baseline"/>
              <w:rPr>
                <w:rFonts w:ascii="Arial" w:hAnsi="Arial" w:eastAsia="SimSun;宋体" w:cs="Tahoma"/>
                <w:kern w:val="2"/>
                <w:sz w:val="22"/>
                <w:szCs w:val="22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</w:r>
          </w:p>
          <w:p>
            <w:pPr>
              <w:pStyle w:val="Normal"/>
              <w:widowControl w:val="false"/>
              <w:textAlignment w:val="baseline"/>
              <w:rPr>
                <w:rFonts w:eastAsia="SimSun;宋体" w:cs="Tahoma"/>
                <w:kern w:val="2"/>
                <w:sz w:val="24"/>
                <w:szCs w:val="24"/>
                <w:lang w:val="bg-BG" w:bidi="hi-IN"/>
              </w:rPr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Представител на ръководството: __________________(_____________)</w:t>
            </w:r>
          </w:p>
          <w:p>
            <w:pPr>
              <w:pStyle w:val="Normal"/>
              <w:widowControl w:val="false"/>
              <w:spacing w:before="100" w:after="20"/>
              <w:textAlignment w:val="baseline"/>
              <w:rPr/>
            </w:pP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 xml:space="preserve">                                                                               </w:t>
            </w:r>
            <w:r>
              <w:rPr>
                <w:rFonts w:eastAsia="SimSun;宋体" w:cs="Tahoma" w:ascii="Arial" w:hAnsi="Arial"/>
                <w:kern w:val="2"/>
                <w:sz w:val="22"/>
                <w:szCs w:val="22"/>
                <w:lang w:val="bg-BG" w:bidi="hi-IN"/>
              </w:rPr>
              <w:t>Дата: 15.03.2021г.</w:t>
            </w:r>
          </w:p>
        </w:tc>
      </w:tr>
    </w:tbl>
    <w:p>
      <w:pPr>
        <w:pStyle w:val="Normal"/>
        <w:tabs>
          <w:tab w:val="clear" w:pos="720"/>
          <w:tab w:val="left" w:pos="6105" w:leader="none"/>
        </w:tabs>
        <w:rPr>
          <w:lang w:val="en-US"/>
        </w:rPr>
      </w:pPr>
      <w:r>
        <w:rPr>
          <w:lang w:val="en-US"/>
        </w:rPr>
      </w:r>
    </w:p>
    <w:sectPr>
      <w:headerReference w:type="default" r:id="rId6"/>
      <w:headerReference w:type="first" r:id="rId7"/>
      <w:type w:val="nextPage"/>
      <w:pgSz w:w="11906" w:h="16838"/>
      <w:pgMar w:left="1138" w:right="1022" w:gutter="0" w:header="706" w:top="763" w:footer="0" w:bottom="122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Hebar">
    <w:altName w:val="Times New Roman"/>
    <w:charset w:val="00" w:characterSet="windows-1252"/>
    <w:family w:val="auto"/>
    <w:pitch w:val="variable"/>
  </w:font>
  <w:font w:name="OpenSymbol">
    <w:altName w:val="Arial Unicode MS"/>
    <w:charset w:val="80"/>
    <w:family w:val="auto"/>
    <w:pitch w:val="default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Univers (WN)">
    <w:altName w:val="Arial"/>
    <w:charset w:val="00" w:characterSet="windows-1252"/>
    <w:family w:val="swiss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870"/>
      <w:gridCol w:w="4494"/>
      <w:gridCol w:w="1442"/>
    </w:tblGrid>
    <w:tr>
      <w:trPr>
        <w:trHeight w:val="1350" w:hRule="atLeast"/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9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828" w:end="0"/>
            <w:jc w:val="center"/>
            <w:rPr>
              <w:b/>
              <w:sz w:val="28"/>
              <w:lang w:val="bg-BG"/>
            </w:rPr>
          </w:pPr>
          <w:r>
            <w:rPr>
              <w:b/>
              <w:sz w:val="28"/>
              <w:lang w:val="bg-BG"/>
            </w:rPr>
            <w:t xml:space="preserve">        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Вътрешен одит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en-US"/>
            </w:rPr>
          </w:pPr>
          <w:r>
            <w:rPr>
              <w:sz w:val="20"/>
              <w:lang w:val="bg-BG"/>
            </w:rPr>
            <w:t>Версия 0</w:t>
          </w:r>
          <w:r>
            <w:rPr>
              <w:sz w:val="20"/>
              <w:lang w:val="en-US"/>
            </w:rPr>
            <w:t>1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3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2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97" w:end="0"/>
            <w:jc w:val="center"/>
            <w:rPr>
              <w:b/>
              <w:sz w:val="28"/>
              <w:lang w:val="bg-BG"/>
            </w:rPr>
          </w:pPr>
          <w:r>
            <w:rPr>
              <w:b/>
              <w:sz w:val="28"/>
              <w:lang w:val="bg-BG"/>
            </w:rPr>
            <w:t xml:space="preserve">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Вътрешен одит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1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870"/>
      <w:gridCol w:w="4494"/>
      <w:gridCol w:w="1442"/>
    </w:tblGrid>
    <w:tr>
      <w:trPr>
        <w:trHeight w:val="1350" w:hRule="atLeast"/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9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828" w:end="0"/>
            <w:jc w:val="center"/>
            <w:rPr/>
          </w:pPr>
          <w:r>
            <w:rPr>
              <w:b/>
              <w:sz w:val="28"/>
              <w:lang w:val="bg-BG"/>
            </w:rPr>
            <w:t xml:space="preserve">        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Вътрешен одит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Версия 0</w:t>
          </w:r>
          <w:r>
            <w:rPr>
              <w:sz w:val="20"/>
              <w:lang w:val="en-US"/>
            </w:rPr>
            <w:t>1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0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2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97" w:end="0"/>
            <w:jc w:val="center"/>
            <w:rPr/>
          </w:pPr>
          <w:r>
            <w:rPr>
              <w:b/>
              <w:sz w:val="28"/>
              <w:lang w:val="bg-BG"/>
            </w:rPr>
            <w:t xml:space="preserve">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Вътрешен одит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4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6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870"/>
      <w:gridCol w:w="4494"/>
      <w:gridCol w:w="1442"/>
    </w:tblGrid>
    <w:tr>
      <w:trPr>
        <w:trHeight w:val="1350" w:hRule="atLeast"/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  <w:tc>
        <w:tcPr>
          <w:tcW w:w="449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828" w:end="0"/>
            <w:jc w:val="center"/>
            <w:rPr/>
          </w:pPr>
          <w:r>
            <w:rPr>
              <w:b/>
              <w:sz w:val="28"/>
              <w:lang w:val="bg-BG"/>
            </w:rPr>
            <w:t xml:space="preserve">        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593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Вътрешен одит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sz w:val="20"/>
              <w:lang w:val="bg-BG"/>
            </w:rPr>
            <w:t>Версия 0</w:t>
          </w:r>
          <w:r>
            <w:rPr>
              <w:sz w:val="20"/>
              <w:lang w:val="en-US"/>
            </w:rPr>
            <w:t>1</w:t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13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влизане в сила: </w:t>
          </w:r>
          <w:r>
            <w:rPr>
              <w:lang w:val="bg-BG"/>
            </w:rPr>
            <w:t>01.03.2021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8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4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Header"/>
      <w:ind w:hanging="180" w:end="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9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55"/>
      <w:gridCol w:w="4809"/>
      <w:gridCol w:w="1426"/>
    </w:tblGrid>
    <w:tr>
      <w:trPr>
        <w:trHeight w:val="1470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start="-142" w:end="0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80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ind w:start="-97" w:end="0"/>
            <w:jc w:val="center"/>
            <w:rPr/>
          </w:pPr>
          <w:r>
            <w:rPr>
              <w:b/>
              <w:sz w:val="28"/>
              <w:lang w:val="bg-BG"/>
            </w:rPr>
            <w:t xml:space="preserve">    </w:t>
          </w:r>
          <w:r>
            <w:rPr>
              <w:b/>
              <w:color w:val="000000"/>
              <w:lang w:val="bg-BG"/>
            </w:rPr>
            <w:t>БРАМАНД  ЕООД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spacing w:before="120" w:after="0"/>
            <w:jc w:val="center"/>
            <w:rPr/>
          </w:pPr>
          <w:r>
            <w:rPr>
              <w:b/>
              <w:sz w:val="20"/>
              <w:lang w:val="bg-BG"/>
            </w:rPr>
            <w:t>ПОС 03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Раздел: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Система за управление на околната среда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start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Наименование на документа:</w:t>
          </w:r>
        </w:p>
      </w:tc>
      <w:tc>
        <w:tcPr>
          <w:tcW w:w="623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 xml:space="preserve">Вътрешен одит </w:t>
          </w:r>
        </w:p>
      </w:tc>
    </w:tr>
    <w:tr>
      <w:trPr>
        <w:trHeight w:val="183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 xml:space="preserve">Дата на утвърждаване: 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 01</w:t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/>
          </w:pPr>
          <w:r>
            <w:rPr>
              <w:sz w:val="20"/>
              <w:lang w:val="bg-BG"/>
            </w:rPr>
            <w:t xml:space="preserve">Стр.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sz w:val="20"/>
            </w:rPr>
            <w:t>5</w:t>
          </w:r>
          <w:r>
            <w:rPr>
              <w:rStyle w:val="PageNumber"/>
              <w:sz w:val="20"/>
            </w:rPr>
            <w:fldChar w:fldCharType="end"/>
          </w:r>
          <w:r>
            <w:rPr>
              <w:sz w:val="20"/>
              <w:lang w:val="bg-BG"/>
            </w:rPr>
            <w:t>/7</w:t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>
              <w:b/>
              <w:sz w:val="20"/>
              <w:lang w:val="bg-BG"/>
            </w:rPr>
            <w:t>Дата на влизане в сила:</w:t>
          </w:r>
          <w:r>
            <w:rPr>
              <w:lang w:val="bg-BG"/>
            </w:rPr>
            <w:t>01.03.2021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  <w:tr>
      <w:trPr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Wingdings" w:hAnsi="Wingdings" w:eastAsia="Wingdings" w:cs="Wingdings"/>
              <w:sz w:val="20"/>
              <w:lang w:val="bg-BG"/>
            </w:rPr>
          </w:pPr>
          <w:r>
            <w:rPr>
              <w:rFonts w:eastAsia="Wingdings" w:cs="Wingdings" w:ascii="Wingdings" w:hAnsi="Wingdings"/>
              <w:sz w:val="20"/>
              <w:lang w:val="bg-BG"/>
            </w:rPr>
            <w:sym w:font="Wingdings" w:char="f0fe"/>
          </w:r>
        </w:p>
      </w:tc>
    </w:tr>
    <w:tr>
      <w:trPr>
        <w:trHeight w:val="225" w:hRule="atLeast"/>
        <w:cantSplit/>
      </w:trPr>
      <w:tc>
        <w:tcPr>
          <w:tcW w:w="35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Неконтролирано копие</w:t>
          </w:r>
        </w:p>
      </w:tc>
      <w:tc>
        <w:tcPr>
          <w:tcW w:w="4809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</w:r>
        </w:p>
      </w:tc>
      <w:tc>
        <w:tcPr>
          <w:tcW w:w="1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sz w:val="20"/>
              <w:lang w:val="bg-BG"/>
            </w:rPr>
          </w:pPr>
          <w:r>
            <w:rPr>
              <w:sz w:val="20"/>
              <w:lang w:val="bg-BG"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780"/>
        </w:tabs>
        <w:ind w:start="1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500"/>
        </w:tabs>
        <w:ind w:start="2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860"/>
        </w:tabs>
        <w:ind w:start="2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580"/>
        </w:tabs>
        <w:ind w:start="3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940"/>
        </w:tabs>
        <w:ind w:start="3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660"/>
        </w:tabs>
        <w:ind w:start="46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20"/>
        </w:tabs>
        <w:ind w:start="14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0"/>
        </w:tabs>
        <w:ind w:start="17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0"/>
        </w:tabs>
        <w:ind w:start="21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0"/>
        </w:tabs>
        <w:ind w:start="25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0"/>
        </w:tabs>
        <w:ind w:start="28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0"/>
        </w:tabs>
        <w:ind w:start="32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0"/>
        </w:tabs>
        <w:ind w:start="35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0"/>
        </w:tabs>
        <w:ind w:start="39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0"/>
        </w:tabs>
        <w:ind w:start="43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"/>
      <w:lvlJc w:val="start"/>
      <w:pPr>
        <w:tabs>
          <w:tab w:val="num" w:pos="0"/>
        </w:tabs>
        <w:ind w:start="2085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MS Serif;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567" w:leader="none"/>
      </w:tabs>
      <w:spacing w:before="480" w:after="240"/>
      <w:ind w:hanging="709" w:start="567" w:end="0"/>
      <w:outlineLvl w:val="0"/>
    </w:pPr>
    <w:rPr>
      <w:rFonts w:ascii="Hebar;Times New Roman" w:hAnsi="Hebar;Times New Roman" w:cs="Hebar;Times New Roman"/>
      <w:b/>
      <w:smallCaps/>
      <w:sz w:val="24"/>
      <w:lang w:val="bg-BG"/>
    </w:rPr>
  </w:style>
  <w:style w:type="paragraph" w:styleId="Heading2">
    <w:name w:val="heading 2"/>
    <w:basedOn w:val="Heading1"/>
    <w:next w:val="Heading1"/>
    <w:qFormat/>
    <w:pPr>
      <w:numPr>
        <w:ilvl w:val="1"/>
        <w:numId w:val="1"/>
      </w:numPr>
      <w:spacing w:before="120" w:after="120"/>
      <w:ind w:hanging="706" w:start="562" w:end="0"/>
      <w:outlineLvl w:val="1"/>
    </w:pPr>
    <w:rPr>
      <w:sz w:val="22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character" w:styleId="Absatz-Standardschriftart">
    <w:name w:val="Absatz-Standardschriftart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yle13">
    <w:name w:val="Водачи"/>
    <w:qFormat/>
    <w:rPr>
      <w:rFonts w:ascii="OpenSymbol;Arial Unicode MS" w:hAnsi="OpenSymbol;Arial Unicode MS" w:eastAsia="OpenSymbol;Arial Unicode MS" w:cs="OpenSymbol;Arial Unicode MS"/>
    </w:rPr>
  </w:style>
  <w:style w:type="character" w:styleId="Style14">
    <w:name w:val="Изнесен текст Знак"/>
    <w:qFormat/>
    <w:rPr>
      <w:rFonts w:ascii="Segoe UI" w:hAnsi="Segoe UI" w:cs="Segoe UI"/>
      <w:sz w:val="18"/>
      <w:szCs w:val="18"/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next w:val="Normal"/>
    <w:pPr>
      <w:spacing w:before="120" w:after="0"/>
      <w:ind w:hanging="0" w:start="737" w:end="0"/>
      <w:jc w:val="both"/>
    </w:pPr>
    <w:rPr>
      <w:sz w:val="22"/>
      <w:lang w:val="en-AU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Tahoma"/>
    </w:rPr>
  </w:style>
  <w:style w:type="paragraph" w:styleId="1">
    <w:name w:val="Заглавие1"/>
    <w:basedOn w:val="Normal"/>
    <w:next w:val="BodyText"/>
    <w:qFormat/>
    <w:pPr>
      <w:keepNext w:val="true"/>
      <w:spacing w:before="240" w:after="120"/>
    </w:pPr>
    <w:rPr>
      <w:rFonts w:ascii="Arial" w:hAnsi="Arial" w:eastAsia="SimSun;宋体" w:cs="Tahoma"/>
      <w:sz w:val="28"/>
      <w:szCs w:val="28"/>
    </w:rPr>
  </w:style>
  <w:style w:type="paragraph" w:styleId="11">
    <w:name w:val="Надпис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OC5">
    <w:name w:val="toc 5"/>
    <w:basedOn w:val="Normal"/>
    <w:next w:val="Normal"/>
    <w:pPr>
      <w:tabs>
        <w:tab w:val="clear" w:pos="720"/>
        <w:tab w:val="right" w:pos="9355" w:leader="dot"/>
      </w:tabs>
      <w:ind w:hanging="0" w:start="880" w:end="0"/>
      <w:jc w:val="both"/>
    </w:pPr>
    <w:rPr>
      <w:rFonts w:ascii="Hebar;Times New Roman" w:hAnsi="Hebar;Times New Roman" w:cs="Hebar;Times New Roman"/>
      <w:sz w:val="22"/>
      <w:lang w:val="bg-BG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sz w:val="22"/>
      <w:lang w:val="en-AU"/>
    </w:rPr>
  </w:style>
  <w:style w:type="paragraph" w:styleId="ListBullet4">
    <w:name w:val="List Bullet 4"/>
    <w:basedOn w:val="Normal"/>
    <w:qFormat/>
    <w:pPr>
      <w:ind w:hanging="540" w:start="1440" w:end="0"/>
    </w:pPr>
    <w:rPr>
      <w:rFonts w:ascii="Hebar;Times New Roman" w:hAnsi="Hebar;Times New Roman" w:cs="Hebar;Times New Roman"/>
      <w:sz w:val="22"/>
      <w:lang w:val="bg-BG"/>
    </w:rPr>
  </w:style>
  <w:style w:type="paragraph" w:styleId="Einzug1">
    <w:name w:val="Einzug 1"/>
    <w:basedOn w:val="Normal"/>
    <w:qFormat/>
    <w:pPr>
      <w:ind w:hanging="0" w:start="567" w:end="0"/>
    </w:pPr>
    <w:rPr>
      <w:rFonts w:ascii="Univers (WN);Arial" w:hAnsi="Univers (WN);Arial" w:cs="Univers (WN);Arial"/>
      <w:sz w:val="22"/>
      <w:lang w:val="bg-BG"/>
    </w:rPr>
  </w:style>
  <w:style w:type="paragraph" w:styleId="BodyTextIndent">
    <w:name w:val="Body Text Indent"/>
    <w:basedOn w:val="Normal"/>
    <w:pPr>
      <w:ind w:hanging="0" w:start="720" w:end="0"/>
      <w:jc w:val="both"/>
    </w:pPr>
    <w:rPr>
      <w:sz w:val="24"/>
      <w:lang w:val="bg-BG"/>
    </w:rPr>
  </w:style>
  <w:style w:type="paragraph" w:styleId="BodyTextIndent2">
    <w:name w:val="Body Text Indent 2"/>
    <w:basedOn w:val="Normal"/>
    <w:qFormat/>
    <w:pPr>
      <w:spacing w:lineRule="auto" w:line="360"/>
      <w:ind w:firstLine="360" w:start="36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SimSun;宋体" w:cs="Tahoma"/>
      <w:color w:val="auto"/>
      <w:kern w:val="2"/>
      <w:sz w:val="24"/>
      <w:szCs w:val="24"/>
      <w:lang w:val="bg-BG" w:eastAsia="zh-CN" w:bidi="hi-IN"/>
    </w:rPr>
  </w:style>
  <w:style w:type="paragraph" w:styleId="Style18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2003-04-20T10:27:00Z</dcterms:created>
  <dc:creator>ILIA KIRCHEV</dc:creator>
  <dc:description/>
  <cp:keywords/>
  <dc:language>bg-BG</dc:language>
  <cp:lastModifiedBy>user</cp:lastModifiedBy>
  <cp:lastPrinted>2018-08-16T11:26:00Z</cp:lastPrinted>
  <dcterms:modified xsi:type="dcterms:W3CDTF">2021-03-22T12:54:00Z</dcterms:modified>
  <cp:revision>64</cp:revision>
  <dc:subject/>
  <dc:title>1</dc:title>
</cp:coreProperties>
</file>