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jc w:val="both"/>
        <w:rPr/>
      </w:pPr>
      <w:r>
        <w:rPr>
          <w:sz w:val="24"/>
          <w:szCs w:val="24"/>
          <w:lang w:val="bg-BG"/>
        </w:rPr>
        <w:t xml:space="preserve"> </w:t>
      </w:r>
      <w:r>
        <w:rPr>
          <w:b/>
          <w:sz w:val="24"/>
          <w:szCs w:val="24"/>
          <w:lang w:val="bg-BG"/>
        </w:rPr>
        <w:t>1.ЦЕЛ</w:t>
      </w:r>
    </w:p>
    <w:p>
      <w:pPr>
        <w:pStyle w:val="Style11"/>
        <w:tabs>
          <w:tab w:val="clear" w:pos="1276"/>
        </w:tabs>
        <w:spacing w:lineRule="auto" w:line="264" w:before="0" w:after="100"/>
        <w:ind w:start="0" w:end="97"/>
        <w:rPr>
          <w:szCs w:val="24"/>
        </w:rPr>
      </w:pPr>
      <w:r>
        <w:rPr>
          <w:szCs w:val="24"/>
        </w:rPr>
        <w:t>Целта на настоящата процедура е:</w:t>
      </w:r>
    </w:p>
    <w:p>
      <w:pPr>
        <w:pStyle w:val="Style11"/>
        <w:numPr>
          <w:ilvl w:val="0"/>
          <w:numId w:val="7"/>
        </w:numPr>
        <w:tabs>
          <w:tab w:val="clear" w:pos="1276"/>
        </w:tabs>
        <w:overflowPunct w:val="true"/>
        <w:autoSpaceDE w:val="true"/>
        <w:spacing w:lineRule="auto" w:line="264" w:before="0" w:after="100"/>
        <w:ind w:hanging="360" w:start="720" w:end="97"/>
        <w:textAlignment w:val="auto"/>
        <w:rPr>
          <w:szCs w:val="24"/>
        </w:rPr>
      </w:pPr>
      <w:r>
        <w:rPr>
          <w:szCs w:val="24"/>
        </w:rPr>
        <w:t>Определяне на реда и отговорностите при осъществяване процесите на обмен на информация относно аспектите на околната среда между система за управление и външни и вътрешни заинтересовани страни.</w:t>
      </w:r>
    </w:p>
    <w:p>
      <w:pPr>
        <w:pStyle w:val="Normal"/>
        <w:numPr>
          <w:ilvl w:val="0"/>
          <w:numId w:val="7"/>
        </w:numPr>
        <w:spacing w:lineRule="auto" w:line="252" w:before="40" w:after="40"/>
        <w:jc w:val="both"/>
        <w:rPr>
          <w:szCs w:val="24"/>
          <w:lang w:val="bg-BG"/>
        </w:rPr>
      </w:pPr>
      <w:r>
        <w:rPr>
          <w:szCs w:val="24"/>
          <w:lang w:val="bg-BG"/>
        </w:rPr>
        <w:t>Определяне на компетенциите и отговорностите на персонала при осъществяване процесите на вътрешна и външна комуникация, за постигане на определените показатели за резултатност по ОС;</w:t>
      </w:r>
    </w:p>
    <w:p>
      <w:pPr>
        <w:pStyle w:val="Normal"/>
        <w:numPr>
          <w:ilvl w:val="0"/>
          <w:numId w:val="7"/>
        </w:numPr>
        <w:spacing w:lineRule="auto" w:line="252" w:before="40" w:after="40"/>
        <w:jc w:val="both"/>
        <w:rPr>
          <w:szCs w:val="24"/>
          <w:lang w:val="bg-BG"/>
        </w:rPr>
      </w:pPr>
      <w:r>
        <w:rPr>
          <w:szCs w:val="24"/>
          <w:lang w:val="bg-BG"/>
        </w:rPr>
        <w:t xml:space="preserve">Участие и консултирането на персонала, подизпълнителите и външните заинтересовани страни на  БРАМАНД  ЕООД  по отношение на изискванията на ОС. </w:t>
      </w:r>
    </w:p>
    <w:p>
      <w:pPr>
        <w:pStyle w:val="Normal"/>
        <w:spacing w:lineRule="auto" w:line="252" w:before="40" w:after="40"/>
        <w:ind w:start="720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rPr>
          <w:b/>
          <w:szCs w:val="24"/>
          <w:lang w:val="bg-BG"/>
        </w:rPr>
      </w:pPr>
      <w:r>
        <w:rPr>
          <w:b/>
          <w:szCs w:val="24"/>
          <w:lang w:val="bg-BG"/>
        </w:rPr>
        <w:t>2. ОБЛАСТ НА ПРИЛОЖЕНИЕ</w:t>
      </w:r>
    </w:p>
    <w:p>
      <w:pPr>
        <w:pStyle w:val="Normal"/>
        <w:jc w:val="both"/>
        <w:rPr>
          <w:szCs w:val="24"/>
          <w:lang w:val="bg-BG"/>
        </w:rPr>
      </w:pPr>
      <w:r>
        <w:rPr>
          <w:szCs w:val="24"/>
          <w:lang w:val="bg-BG"/>
        </w:rPr>
        <w:t xml:space="preserve">Процедурата е предназначена за всички служители на организацията и се разпространява съгласно изискванията на </w:t>
      </w:r>
      <w:r>
        <w:rPr>
          <w:b/>
          <w:szCs w:val="24"/>
          <w:lang w:val="bg-BG"/>
        </w:rPr>
        <w:t>ПОС 06 Управление на документираната информация.</w:t>
      </w:r>
    </w:p>
    <w:p>
      <w:pPr>
        <w:pStyle w:val="Normal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rPr>
          <w:b/>
          <w:szCs w:val="24"/>
          <w:lang w:val="bg-BG"/>
        </w:rPr>
      </w:pPr>
      <w:r>
        <w:rPr>
          <w:b/>
          <w:szCs w:val="24"/>
          <w:lang w:val="bg-BG"/>
        </w:rPr>
        <w:t>3. ТЕРМИНИ И ОПРЕДЕЛЕНИЯ</w:t>
      </w:r>
    </w:p>
    <w:p>
      <w:pPr>
        <w:pStyle w:val="Normal"/>
        <w:jc w:val="both"/>
        <w:rPr/>
      </w:pPr>
      <w:r>
        <w:rPr>
          <w:b/>
          <w:szCs w:val="24"/>
          <w:lang w:val="bg-BG"/>
        </w:rPr>
        <w:t xml:space="preserve">3.1. Комуникация – </w:t>
      </w:r>
      <w:r>
        <w:rPr>
          <w:szCs w:val="24"/>
          <w:lang w:val="bg-BG"/>
        </w:rPr>
        <w:t xml:space="preserve"> размяна на информация, данни и знания;</w:t>
      </w:r>
    </w:p>
    <w:p>
      <w:pPr>
        <w:pStyle w:val="Normal"/>
        <w:jc w:val="both"/>
        <w:rPr/>
      </w:pPr>
      <w:r>
        <w:rPr>
          <w:b/>
          <w:szCs w:val="24"/>
          <w:lang w:val="bg-BG"/>
        </w:rPr>
        <w:t xml:space="preserve">3.2. Консултиране УОС – </w:t>
      </w:r>
      <w:r>
        <w:rPr>
          <w:szCs w:val="24"/>
          <w:lang w:val="bg-BG"/>
        </w:rPr>
        <w:t>насърчаване и увличане на всички служители на Организацията да участват в обмена на информация относно осигуряването на УОС и да се придържат към политиката  и целите по УОС на Организацията.</w:t>
      </w:r>
    </w:p>
    <w:p>
      <w:pPr>
        <w:pStyle w:val="Normal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rPr>
          <w:b/>
          <w:szCs w:val="24"/>
          <w:lang w:val="bg-BG"/>
        </w:rPr>
      </w:pPr>
      <w:r>
        <w:rPr>
          <w:b/>
          <w:szCs w:val="24"/>
          <w:lang w:val="bg-BG"/>
        </w:rPr>
        <w:t>4. СЪЩНОСТ И ОБХВАТ НА ПРОЦЕДУРАТА</w:t>
      </w:r>
    </w:p>
    <w:p>
      <w:pPr>
        <w:pStyle w:val="Heading2"/>
        <w:numPr>
          <w:ilvl w:val="0"/>
          <w:numId w:val="0"/>
        </w:numPr>
        <w:spacing w:before="0" w:after="100"/>
        <w:ind w:hanging="576" w:start="576" w:end="0"/>
        <w:jc w:val="start"/>
        <w:rPr>
          <w:szCs w:val="24"/>
        </w:rPr>
      </w:pPr>
      <w:r>
        <w:rPr>
          <w:szCs w:val="24"/>
        </w:rPr>
        <w:t>4.1 Общи положения</w:t>
      </w:r>
    </w:p>
    <w:p>
      <w:pPr>
        <w:pStyle w:val="3"/>
        <w:spacing w:lineRule="auto" w:line="264" w:before="0" w:after="100"/>
        <w:ind w:end="-6"/>
        <w:rPr/>
      </w:pPr>
      <w:r>
        <w:rPr>
          <w:i w:val="false"/>
          <w:spacing w:val="-4"/>
          <w:szCs w:val="24"/>
        </w:rPr>
        <w:t xml:space="preserve">Основен принцип при управление, процесите на обмен на информация, участие и консултация в </w:t>
      </w:r>
      <w:r>
        <w:rPr>
          <w:b/>
          <w:i w:val="false"/>
          <w:spacing w:val="-4"/>
          <w:szCs w:val="24"/>
          <w:lang w:val="en-US"/>
        </w:rPr>
        <w:t>БРАМАНД  ЕООД</w:t>
      </w:r>
      <w:r>
        <w:rPr>
          <w:i w:val="false"/>
          <w:spacing w:val="-4"/>
          <w:szCs w:val="24"/>
        </w:rPr>
        <w:t xml:space="preserve">  е, че степента на намеса на отделните длъжностни лица в процесите на СУОС в Организацията</w:t>
      </w:r>
      <w:r>
        <w:rPr>
          <w:b/>
          <w:bCs/>
          <w:i w:val="false"/>
          <w:spacing w:val="-4"/>
          <w:szCs w:val="24"/>
        </w:rPr>
        <w:t xml:space="preserve"> </w:t>
      </w:r>
      <w:r>
        <w:rPr>
          <w:bCs/>
          <w:i w:val="false"/>
          <w:spacing w:val="-4"/>
          <w:szCs w:val="24"/>
        </w:rPr>
        <w:t>съответства</w:t>
      </w:r>
      <w:r>
        <w:rPr>
          <w:i w:val="false"/>
          <w:spacing w:val="-4"/>
          <w:szCs w:val="24"/>
        </w:rPr>
        <w:t xml:space="preserve"> </w:t>
      </w:r>
      <w:r>
        <w:rPr>
          <w:bCs/>
          <w:i w:val="false"/>
          <w:spacing w:val="-4"/>
          <w:szCs w:val="24"/>
        </w:rPr>
        <w:t>на предварително обявените правомощия и отговорности</w:t>
      </w:r>
      <w:r>
        <w:rPr>
          <w:i w:val="false"/>
          <w:spacing w:val="-4"/>
          <w:szCs w:val="24"/>
        </w:rPr>
        <w:t>. Това означава, че:</w:t>
      </w:r>
    </w:p>
    <w:p>
      <w:pPr>
        <w:pStyle w:val="3"/>
        <w:numPr>
          <w:ilvl w:val="0"/>
          <w:numId w:val="12"/>
        </w:numPr>
        <w:overflowPunct w:val="true"/>
        <w:autoSpaceDE w:val="true"/>
        <w:spacing w:lineRule="auto" w:line="264" w:before="0" w:after="100"/>
        <w:textAlignment w:val="auto"/>
        <w:rPr>
          <w:i w:val="false"/>
          <w:szCs w:val="24"/>
        </w:rPr>
      </w:pPr>
      <w:r>
        <w:rPr>
          <w:i w:val="false"/>
          <w:szCs w:val="24"/>
        </w:rPr>
        <w:t>конкретните задачи се възлагат на лицата, които съответстват на изискванията за компетентност и на които са предоставени съответните правомощия;</w:t>
      </w:r>
    </w:p>
    <w:p>
      <w:pPr>
        <w:pStyle w:val="3"/>
        <w:numPr>
          <w:ilvl w:val="0"/>
          <w:numId w:val="12"/>
        </w:numPr>
        <w:overflowPunct w:val="true"/>
        <w:autoSpaceDE w:val="true"/>
        <w:spacing w:lineRule="auto" w:line="264" w:before="0" w:after="100"/>
        <w:textAlignment w:val="auto"/>
        <w:rPr>
          <w:i w:val="false"/>
          <w:szCs w:val="24"/>
        </w:rPr>
      </w:pPr>
      <w:r>
        <w:rPr>
          <w:i w:val="false"/>
          <w:szCs w:val="24"/>
        </w:rPr>
        <w:t>за легитимни се считат само решения, взети от упълномощените лица;</w:t>
      </w:r>
    </w:p>
    <w:p>
      <w:pPr>
        <w:pStyle w:val="BodyTextIndent"/>
        <w:spacing w:before="0" w:after="140"/>
        <w:rPr>
          <w:i w:val="false"/>
          <w:szCs w:val="24"/>
          <w:lang w:val="ru-RU"/>
        </w:rPr>
      </w:pPr>
      <w:r>
        <w:rPr>
          <w:i w:val="false"/>
          <w:szCs w:val="24"/>
        </w:rPr>
        <w:t xml:space="preserve">Информацията се приема като достоверна само когато е получена от компетентното лице. Този принцип осигурява достоверността на информацията и правилното функциониране на процесите на системата за управление. </w:t>
      </w:r>
    </w:p>
    <w:p>
      <w:pPr>
        <w:pStyle w:val="BodyTextIndent"/>
        <w:spacing w:before="0" w:after="140"/>
        <w:rPr>
          <w:i w:val="false"/>
          <w:szCs w:val="24"/>
        </w:rPr>
      </w:pPr>
      <w:r>
        <w:rPr>
          <w:i w:val="false"/>
          <w:szCs w:val="24"/>
        </w:rPr>
        <w:t>С оглед събиране на данни за постигане на непрекъснато развитие по отношение информираността на заинтересованите страни, се осигуряват съответните технически средства.</w:t>
      </w:r>
    </w:p>
    <w:p>
      <w:pPr>
        <w:pStyle w:val="BodyTextIndent"/>
        <w:spacing w:before="0" w:after="140"/>
        <w:rPr>
          <w:i w:val="false"/>
          <w:szCs w:val="24"/>
        </w:rPr>
      </w:pPr>
      <w:r>
        <w:rPr>
          <w:i w:val="false"/>
          <w:szCs w:val="24"/>
        </w:rPr>
        <w:t xml:space="preserve">Осигурен е  достъп до Интернет, което позволява бързо достигане до ресурсите на световната информационна мрежа и извличането от там на нужната за работата на служителите информация. </w:t>
      </w:r>
    </w:p>
    <w:p>
      <w:pPr>
        <w:pStyle w:val="BodyTextIndent"/>
        <w:spacing w:before="0" w:after="140"/>
        <w:rPr>
          <w:i w:val="false"/>
          <w:szCs w:val="24"/>
        </w:rPr>
      </w:pPr>
      <w:r>
        <w:rPr>
          <w:i w:val="false"/>
          <w:szCs w:val="24"/>
        </w:rPr>
        <w:t>За ефективното управление и контролиране на информацията Управителят определя:</w:t>
      </w:r>
    </w:p>
    <w:p>
      <w:pPr>
        <w:pStyle w:val="Normal"/>
        <w:numPr>
          <w:ilvl w:val="0"/>
          <w:numId w:val="16"/>
        </w:numPr>
        <w:overflowPunct w:val="true"/>
        <w:autoSpaceDE w:val="true"/>
        <w:spacing w:before="0" w:after="60"/>
        <w:jc w:val="both"/>
        <w:textAlignment w:val="auto"/>
        <w:rPr>
          <w:szCs w:val="24"/>
        </w:rPr>
      </w:pPr>
      <w:r>
        <w:rPr>
          <w:szCs w:val="24"/>
        </w:rPr>
        <w:t>потребността от информация;</w:t>
      </w:r>
    </w:p>
    <w:p>
      <w:pPr>
        <w:pStyle w:val="Normal"/>
        <w:numPr>
          <w:ilvl w:val="0"/>
          <w:numId w:val="16"/>
        </w:numPr>
        <w:overflowPunct w:val="true"/>
        <w:autoSpaceDE w:val="true"/>
        <w:spacing w:before="0" w:after="60"/>
        <w:jc w:val="both"/>
        <w:textAlignment w:val="auto"/>
        <w:rPr>
          <w:szCs w:val="24"/>
          <w:lang w:val="ru-RU"/>
        </w:rPr>
      </w:pPr>
      <w:r>
        <w:rPr>
          <w:szCs w:val="24"/>
          <w:lang w:val="ru-RU"/>
        </w:rPr>
        <w:t>външните и вътрешните източници на информация;</w:t>
      </w:r>
    </w:p>
    <w:p>
      <w:pPr>
        <w:pStyle w:val="Normal"/>
        <w:numPr>
          <w:ilvl w:val="0"/>
          <w:numId w:val="16"/>
        </w:numPr>
        <w:overflowPunct w:val="true"/>
        <w:autoSpaceDE w:val="true"/>
        <w:spacing w:before="0" w:after="60"/>
        <w:jc w:val="both"/>
        <w:textAlignment w:val="auto"/>
        <w:rPr>
          <w:szCs w:val="24"/>
          <w:lang w:val="ru-RU"/>
        </w:rPr>
      </w:pPr>
      <w:r>
        <w:rPr>
          <w:szCs w:val="24"/>
          <w:lang w:val="ru-RU"/>
        </w:rPr>
        <w:t>информацията и специализираните познания за осъществяването на стратегиите и целите на Организацията;</w:t>
      </w:r>
    </w:p>
    <w:p>
      <w:pPr>
        <w:pStyle w:val="Normal"/>
        <w:numPr>
          <w:ilvl w:val="0"/>
          <w:numId w:val="16"/>
        </w:numPr>
        <w:overflowPunct w:val="true"/>
        <w:autoSpaceDE w:val="true"/>
        <w:spacing w:before="0" w:after="60"/>
        <w:jc w:val="both"/>
        <w:textAlignment w:val="auto"/>
        <w:rPr>
          <w:szCs w:val="24"/>
          <w:lang w:val="ru-RU"/>
        </w:rPr>
      </w:pPr>
      <w:r>
        <w:rPr>
          <w:szCs w:val="24"/>
          <w:lang w:val="ru-RU"/>
        </w:rPr>
        <w:t>съответните отговорности при съхранение на поверителната информация. Определени са нива на достъп до ползваните софтуерни продукти и документация;</w:t>
      </w:r>
    </w:p>
    <w:p>
      <w:pPr>
        <w:pStyle w:val="Normal"/>
        <w:numPr>
          <w:ilvl w:val="0"/>
          <w:numId w:val="16"/>
        </w:numPr>
        <w:overflowPunct w:val="true"/>
        <w:autoSpaceDE w:val="true"/>
        <w:spacing w:before="0" w:after="140"/>
        <w:jc w:val="both"/>
        <w:textAlignment w:val="auto"/>
        <w:rPr>
          <w:szCs w:val="24"/>
          <w:lang w:val="ru-RU"/>
        </w:rPr>
      </w:pPr>
      <w:r>
        <w:rPr>
          <w:szCs w:val="24"/>
          <w:lang w:val="ru-RU"/>
        </w:rPr>
        <w:t>начин за анализ на резултатите от въвеждането на информацията.</w:t>
      </w:r>
    </w:p>
    <w:p>
      <w:pPr>
        <w:pStyle w:val="BodyText"/>
        <w:spacing w:before="0" w:after="140"/>
        <w:rPr>
          <w:szCs w:val="24"/>
        </w:rPr>
      </w:pPr>
      <w:r>
        <w:rPr>
          <w:szCs w:val="24"/>
        </w:rPr>
        <w:t>Достъпът до документацията и нейната конфиденциалност се определя със Заповед на Управителя.</w:t>
      </w:r>
    </w:p>
    <w:p>
      <w:pPr>
        <w:pStyle w:val="3"/>
        <w:spacing w:lineRule="auto" w:line="264" w:before="0" w:after="100"/>
        <w:ind w:end="-6"/>
        <w:rPr/>
      </w:pPr>
      <w:r>
        <w:rPr>
          <w:b/>
          <w:i w:val="false"/>
          <w:szCs w:val="24"/>
        </w:rPr>
        <w:t>4.2</w:t>
      </w:r>
      <w:r>
        <w:rPr>
          <w:i w:val="false"/>
          <w:szCs w:val="24"/>
        </w:rPr>
        <w:t xml:space="preserve"> </w:t>
      </w:r>
      <w:r>
        <w:rPr>
          <w:b/>
          <w:i w:val="false"/>
          <w:szCs w:val="24"/>
        </w:rPr>
        <w:t xml:space="preserve">Обмен на </w:t>
      </w:r>
      <w:r>
        <w:rPr>
          <w:i w:val="false"/>
          <w:szCs w:val="24"/>
        </w:rPr>
        <w:t xml:space="preserve"> </w:t>
      </w:r>
      <w:r>
        <w:rPr>
          <w:b/>
          <w:i w:val="false"/>
          <w:szCs w:val="24"/>
        </w:rPr>
        <w:t xml:space="preserve">информация </w:t>
      </w:r>
    </w:p>
    <w:p>
      <w:pPr>
        <w:pStyle w:val="3"/>
        <w:spacing w:lineRule="auto" w:line="264" w:before="0" w:after="100"/>
        <w:ind w:end="-6"/>
        <w:rPr/>
      </w:pPr>
      <w:r>
        <w:rPr>
          <w:i w:val="false"/>
          <w:szCs w:val="24"/>
        </w:rPr>
        <w:t xml:space="preserve">Процесите на обмен на  информация </w:t>
      </w:r>
      <w:r>
        <w:rPr>
          <w:b/>
          <w:i w:val="false"/>
          <w:szCs w:val="24"/>
        </w:rPr>
        <w:t xml:space="preserve"> </w:t>
      </w:r>
      <w:r>
        <w:rPr>
          <w:i w:val="false"/>
          <w:szCs w:val="24"/>
        </w:rPr>
        <w:t xml:space="preserve">в </w:t>
      </w:r>
      <w:r>
        <w:rPr>
          <w:i w:val="false"/>
          <w:spacing w:val="-4"/>
          <w:szCs w:val="24"/>
          <w:lang w:val="en-US"/>
        </w:rPr>
        <w:t xml:space="preserve">БРАМАНД  ЕООД </w:t>
      </w:r>
      <w:r>
        <w:rPr>
          <w:i w:val="false"/>
          <w:szCs w:val="24"/>
        </w:rPr>
        <w:t>се разглеждат в два основни аспекта:</w:t>
      </w:r>
    </w:p>
    <w:p>
      <w:pPr>
        <w:pStyle w:val="3"/>
        <w:spacing w:lineRule="auto" w:line="264" w:before="0" w:after="100"/>
        <w:rPr/>
      </w:pPr>
      <w:r>
        <w:rPr>
          <w:b/>
          <w:i w:val="false"/>
          <w:szCs w:val="24"/>
        </w:rPr>
        <w:t xml:space="preserve">Обмен на </w:t>
      </w:r>
      <w:r>
        <w:rPr>
          <w:i w:val="false"/>
          <w:szCs w:val="24"/>
        </w:rPr>
        <w:t xml:space="preserve"> </w:t>
      </w:r>
      <w:r>
        <w:rPr>
          <w:b/>
          <w:i w:val="false"/>
          <w:szCs w:val="24"/>
        </w:rPr>
        <w:t>информация с</w:t>
      </w:r>
      <w:r>
        <w:rPr>
          <w:i w:val="false"/>
          <w:szCs w:val="24"/>
        </w:rPr>
        <w:t xml:space="preserve"> </w:t>
      </w:r>
      <w:r>
        <w:rPr>
          <w:b/>
          <w:i w:val="false"/>
          <w:szCs w:val="24"/>
        </w:rPr>
        <w:t xml:space="preserve"> подизпълнители и външни заинтересовани страни </w:t>
      </w:r>
      <w:r>
        <w:rPr>
          <w:i w:val="false"/>
          <w:szCs w:val="24"/>
        </w:rPr>
        <w:t>– обхваща връзките и отношенията на Организацията с:</w:t>
      </w:r>
    </w:p>
    <w:p>
      <w:pPr>
        <w:pStyle w:val="3"/>
        <w:numPr>
          <w:ilvl w:val="0"/>
          <w:numId w:val="4"/>
        </w:numPr>
        <w:overflowPunct w:val="true"/>
        <w:autoSpaceDE w:val="true"/>
        <w:spacing w:lineRule="auto" w:line="264" w:before="0" w:after="100"/>
        <w:textAlignment w:val="auto"/>
        <w:rPr>
          <w:i w:val="false"/>
          <w:szCs w:val="24"/>
        </w:rPr>
      </w:pPr>
      <w:r>
        <w:rPr>
          <w:i w:val="false"/>
          <w:szCs w:val="24"/>
        </w:rPr>
        <w:t>Подизпълнителите.</w:t>
      </w:r>
    </w:p>
    <w:p>
      <w:pPr>
        <w:pStyle w:val="3"/>
        <w:numPr>
          <w:ilvl w:val="0"/>
          <w:numId w:val="4"/>
        </w:numPr>
        <w:overflowPunct w:val="true"/>
        <w:autoSpaceDE w:val="true"/>
        <w:spacing w:lineRule="auto" w:line="264" w:before="0" w:after="100"/>
        <w:textAlignment w:val="auto"/>
        <w:rPr>
          <w:i w:val="false"/>
          <w:szCs w:val="24"/>
        </w:rPr>
      </w:pPr>
      <w:r>
        <w:rPr>
          <w:i w:val="false"/>
          <w:szCs w:val="24"/>
        </w:rPr>
        <w:t xml:space="preserve">Външните заинтересовани страни : </w:t>
      </w:r>
    </w:p>
    <w:p>
      <w:pPr>
        <w:pStyle w:val="3"/>
        <w:numPr>
          <w:ilvl w:val="2"/>
          <w:numId w:val="3"/>
        </w:numPr>
        <w:overflowPunct w:val="true"/>
        <w:autoSpaceDE w:val="true"/>
        <w:spacing w:lineRule="auto" w:line="264" w:before="0" w:after="100"/>
        <w:textAlignment w:val="auto"/>
        <w:rPr>
          <w:i w:val="false"/>
          <w:szCs w:val="24"/>
        </w:rPr>
      </w:pPr>
      <w:r>
        <w:rPr>
          <w:i w:val="false"/>
          <w:szCs w:val="24"/>
        </w:rPr>
        <w:t>клиентите/инвеститорите,</w:t>
      </w:r>
    </w:p>
    <w:p>
      <w:pPr>
        <w:pStyle w:val="3"/>
        <w:numPr>
          <w:ilvl w:val="2"/>
          <w:numId w:val="3"/>
        </w:numPr>
        <w:tabs>
          <w:tab w:val="clear" w:pos="708"/>
          <w:tab w:val="left" w:pos="912" w:leader="none"/>
        </w:tabs>
        <w:overflowPunct w:val="true"/>
        <w:autoSpaceDE w:val="true"/>
        <w:spacing w:lineRule="auto" w:line="264" w:before="0" w:after="100"/>
        <w:textAlignment w:val="auto"/>
        <w:rPr>
          <w:i w:val="false"/>
          <w:szCs w:val="24"/>
        </w:rPr>
      </w:pPr>
      <w:r>
        <w:rPr>
          <w:i w:val="false"/>
          <w:szCs w:val="24"/>
        </w:rPr>
        <w:t xml:space="preserve">доставчиците, </w:t>
      </w:r>
    </w:p>
    <w:p>
      <w:pPr>
        <w:pStyle w:val="3"/>
        <w:numPr>
          <w:ilvl w:val="2"/>
          <w:numId w:val="3"/>
        </w:numPr>
        <w:tabs>
          <w:tab w:val="clear" w:pos="708"/>
          <w:tab w:val="left" w:pos="912" w:leader="none"/>
        </w:tabs>
        <w:overflowPunct w:val="true"/>
        <w:autoSpaceDE w:val="true"/>
        <w:spacing w:lineRule="auto" w:line="264" w:before="0" w:after="100"/>
        <w:textAlignment w:val="auto"/>
        <w:rPr>
          <w:i w:val="false"/>
          <w:szCs w:val="24"/>
        </w:rPr>
      </w:pPr>
      <w:r>
        <w:rPr>
          <w:i w:val="false"/>
          <w:szCs w:val="24"/>
        </w:rPr>
        <w:t xml:space="preserve">държавните институции, </w:t>
      </w:r>
    </w:p>
    <w:p>
      <w:pPr>
        <w:pStyle w:val="3"/>
        <w:numPr>
          <w:ilvl w:val="2"/>
          <w:numId w:val="3"/>
        </w:numPr>
        <w:tabs>
          <w:tab w:val="clear" w:pos="708"/>
          <w:tab w:val="left" w:pos="912" w:leader="none"/>
        </w:tabs>
        <w:overflowPunct w:val="true"/>
        <w:autoSpaceDE w:val="true"/>
        <w:spacing w:lineRule="auto" w:line="264" w:before="0" w:after="100"/>
        <w:textAlignment w:val="auto"/>
        <w:rPr>
          <w:i w:val="false"/>
          <w:szCs w:val="24"/>
        </w:rPr>
      </w:pPr>
      <w:r>
        <w:rPr>
          <w:i w:val="false"/>
          <w:szCs w:val="24"/>
        </w:rPr>
        <w:t xml:space="preserve">представителите на обществото. </w:t>
      </w:r>
    </w:p>
    <w:p>
      <w:pPr>
        <w:pStyle w:val="3"/>
        <w:spacing w:lineRule="auto" w:line="264" w:before="0" w:after="100"/>
        <w:rPr/>
      </w:pPr>
      <w:r>
        <w:rPr>
          <w:b/>
          <w:i w:val="false"/>
          <w:szCs w:val="24"/>
        </w:rPr>
        <w:t>Вътрешен обмен на</w:t>
      </w:r>
      <w:r>
        <w:rPr>
          <w:i w:val="false"/>
          <w:szCs w:val="24"/>
        </w:rPr>
        <w:t xml:space="preserve"> </w:t>
      </w:r>
      <w:r>
        <w:rPr>
          <w:b/>
          <w:i w:val="false"/>
          <w:szCs w:val="24"/>
        </w:rPr>
        <w:t>информация</w:t>
      </w:r>
      <w:r>
        <w:rPr>
          <w:i w:val="false"/>
          <w:szCs w:val="24"/>
        </w:rPr>
        <w:t xml:space="preserve"> – обхваща всички вертикални и хоризонтални връзки между отделните структурни единици и длъжности в </w:t>
      </w:r>
      <w:r>
        <w:rPr>
          <w:i w:val="false"/>
          <w:spacing w:val="-4"/>
          <w:szCs w:val="24"/>
          <w:lang w:val="en-US"/>
        </w:rPr>
        <w:t>БРАМАНД  ЕООД</w:t>
      </w:r>
      <w:r>
        <w:rPr>
          <w:i w:val="false"/>
          <w:szCs w:val="24"/>
        </w:rPr>
        <w:t>.</w:t>
      </w:r>
    </w:p>
    <w:p>
      <w:pPr>
        <w:pStyle w:val="Heading2"/>
        <w:numPr>
          <w:ilvl w:val="0"/>
          <w:numId w:val="0"/>
        </w:numPr>
        <w:spacing w:before="200" w:after="100"/>
        <w:ind w:hanging="576" w:start="576" w:end="0"/>
        <w:jc w:val="both"/>
        <w:rPr>
          <w:szCs w:val="24"/>
        </w:rPr>
      </w:pPr>
      <w:r>
        <w:rPr>
          <w:szCs w:val="24"/>
        </w:rPr>
        <w:t>4.2.1 Процеси на обмен на  информация с подизпълнители и външни заинтересовани страни.</w:t>
      </w:r>
    </w:p>
    <w:p>
      <w:pPr>
        <w:pStyle w:val="Heading2"/>
        <w:numPr>
          <w:ilvl w:val="0"/>
          <w:numId w:val="0"/>
        </w:numPr>
        <w:spacing w:before="200" w:after="100"/>
        <w:ind w:hanging="576" w:start="576" w:end="0"/>
        <w:jc w:val="both"/>
        <w:rPr/>
      </w:pPr>
      <w:r>
        <w:rPr>
          <w:b w:val="false"/>
          <w:szCs w:val="24"/>
        </w:rPr>
        <w:t>Към</w:t>
      </w:r>
      <w:r>
        <w:rPr>
          <w:szCs w:val="24"/>
        </w:rPr>
        <w:t xml:space="preserve"> </w:t>
      </w:r>
      <w:r>
        <w:rPr>
          <w:b w:val="false"/>
          <w:szCs w:val="24"/>
        </w:rPr>
        <w:t>процесите на обмен на  информация с  подизпълнители и външни заинтересовани</w:t>
      </w:r>
    </w:p>
    <w:p>
      <w:pPr>
        <w:pStyle w:val="Heading2"/>
        <w:numPr>
          <w:ilvl w:val="0"/>
          <w:numId w:val="0"/>
        </w:numPr>
        <w:spacing w:before="200" w:after="100"/>
        <w:ind w:hanging="576" w:start="576" w:end="0"/>
        <w:jc w:val="both"/>
        <w:rPr>
          <w:b w:val="false"/>
          <w:szCs w:val="24"/>
        </w:rPr>
      </w:pPr>
      <w:r>
        <w:rPr>
          <w:b w:val="false"/>
          <w:szCs w:val="24"/>
        </w:rPr>
        <w:t>страни се отнасят:</w:t>
      </w:r>
    </w:p>
    <w:p>
      <w:pPr>
        <w:pStyle w:val="3"/>
        <w:numPr>
          <w:ilvl w:val="0"/>
          <w:numId w:val="13"/>
        </w:numPr>
        <w:overflowPunct w:val="true"/>
        <w:autoSpaceDE w:val="true"/>
        <w:spacing w:lineRule="auto" w:line="264" w:before="0" w:after="100"/>
        <w:ind w:hanging="360" w:start="720" w:end="-6"/>
        <w:textAlignment w:val="auto"/>
        <w:rPr>
          <w:i w:val="false"/>
          <w:szCs w:val="24"/>
        </w:rPr>
      </w:pPr>
      <w:r>
        <w:rPr>
          <w:i w:val="false"/>
          <w:szCs w:val="24"/>
        </w:rPr>
        <w:t>Определяне на реда за осъществяване на връзките и обмена на информация</w:t>
      </w:r>
      <w:r>
        <w:rPr>
          <w:b/>
          <w:i w:val="false"/>
          <w:szCs w:val="24"/>
        </w:rPr>
        <w:t xml:space="preserve"> </w:t>
      </w:r>
      <w:r>
        <w:rPr>
          <w:i w:val="false"/>
          <w:szCs w:val="24"/>
        </w:rPr>
        <w:t>с подизпълнителите.</w:t>
      </w:r>
    </w:p>
    <w:p>
      <w:pPr>
        <w:pStyle w:val="3"/>
        <w:numPr>
          <w:ilvl w:val="0"/>
          <w:numId w:val="13"/>
        </w:numPr>
        <w:overflowPunct w:val="true"/>
        <w:autoSpaceDE w:val="true"/>
        <w:spacing w:lineRule="auto" w:line="264" w:before="0" w:after="100"/>
        <w:ind w:hanging="360" w:start="720" w:end="-6"/>
        <w:textAlignment w:val="auto"/>
        <w:rPr>
          <w:i w:val="false"/>
          <w:szCs w:val="24"/>
        </w:rPr>
      </w:pPr>
      <w:r>
        <w:rPr>
          <w:i w:val="false"/>
          <w:szCs w:val="24"/>
        </w:rPr>
        <w:t>Определяне и осъществяване на обмен на информация и осъществяване връзки с външните заинтересовани страни;</w:t>
      </w:r>
    </w:p>
    <w:p>
      <w:pPr>
        <w:pStyle w:val="3"/>
        <w:numPr>
          <w:ilvl w:val="0"/>
          <w:numId w:val="14"/>
        </w:numPr>
        <w:overflowPunct w:val="true"/>
        <w:autoSpaceDE w:val="true"/>
        <w:spacing w:lineRule="auto" w:line="264" w:before="0" w:after="100"/>
        <w:ind w:hanging="360" w:start="720" w:end="-6"/>
        <w:textAlignment w:val="auto"/>
        <w:rPr>
          <w:i w:val="false"/>
          <w:szCs w:val="24"/>
        </w:rPr>
      </w:pPr>
      <w:r>
        <w:rPr>
          <w:i w:val="false"/>
          <w:szCs w:val="24"/>
        </w:rPr>
        <w:t>Обмен на информация с клиентите/инвеститорите;</w:t>
      </w:r>
    </w:p>
    <w:p>
      <w:pPr>
        <w:pStyle w:val="3"/>
        <w:numPr>
          <w:ilvl w:val="1"/>
          <w:numId w:val="11"/>
        </w:numPr>
        <w:overflowPunct w:val="true"/>
        <w:autoSpaceDE w:val="true"/>
        <w:spacing w:lineRule="auto" w:line="264" w:before="0" w:after="100"/>
        <w:textAlignment w:val="auto"/>
        <w:rPr>
          <w:i w:val="false"/>
          <w:szCs w:val="24"/>
        </w:rPr>
      </w:pPr>
      <w:r>
        <w:rPr>
          <w:i w:val="false"/>
          <w:szCs w:val="24"/>
        </w:rPr>
        <w:t>получаване на запитвания и поръчки;</w:t>
      </w:r>
    </w:p>
    <w:p>
      <w:pPr>
        <w:pStyle w:val="3"/>
        <w:numPr>
          <w:ilvl w:val="1"/>
          <w:numId w:val="11"/>
        </w:numPr>
        <w:overflowPunct w:val="true"/>
        <w:autoSpaceDE w:val="true"/>
        <w:spacing w:lineRule="auto" w:line="264" w:before="0" w:after="100"/>
        <w:textAlignment w:val="auto"/>
        <w:rPr>
          <w:i w:val="false"/>
          <w:szCs w:val="24"/>
        </w:rPr>
      </w:pPr>
      <w:r>
        <w:rPr>
          <w:i w:val="false"/>
          <w:szCs w:val="24"/>
        </w:rPr>
        <w:t>определяне на изискванията към продукта;</w:t>
      </w:r>
    </w:p>
    <w:p>
      <w:pPr>
        <w:pStyle w:val="3"/>
        <w:numPr>
          <w:ilvl w:val="0"/>
          <w:numId w:val="14"/>
        </w:numPr>
        <w:overflowPunct w:val="true"/>
        <w:autoSpaceDE w:val="true"/>
        <w:spacing w:lineRule="auto" w:line="264" w:before="0" w:after="100"/>
        <w:ind w:hanging="360" w:start="720" w:end="-6"/>
        <w:textAlignment w:val="auto"/>
        <w:rPr>
          <w:i w:val="false"/>
          <w:szCs w:val="24"/>
        </w:rPr>
      </w:pPr>
      <w:r>
        <w:rPr>
          <w:i w:val="false"/>
          <w:szCs w:val="24"/>
        </w:rPr>
        <w:t>Осъществяване на връзки с държавните институции;</w:t>
      </w:r>
    </w:p>
    <w:p>
      <w:pPr>
        <w:pStyle w:val="3"/>
        <w:numPr>
          <w:ilvl w:val="0"/>
          <w:numId w:val="14"/>
        </w:numPr>
        <w:overflowPunct w:val="true"/>
        <w:autoSpaceDE w:val="true"/>
        <w:spacing w:lineRule="auto" w:line="264" w:before="0" w:after="100"/>
        <w:ind w:hanging="360" w:start="720" w:end="-6"/>
        <w:textAlignment w:val="auto"/>
        <w:rPr>
          <w:i w:val="false"/>
          <w:szCs w:val="24"/>
        </w:rPr>
      </w:pPr>
      <w:r>
        <w:rPr>
          <w:i w:val="false"/>
          <w:szCs w:val="24"/>
        </w:rPr>
        <w:t>Поддържане на актуална информация за законовите изисквания;</w:t>
      </w:r>
    </w:p>
    <w:p>
      <w:pPr>
        <w:pStyle w:val="3"/>
        <w:numPr>
          <w:ilvl w:val="0"/>
          <w:numId w:val="14"/>
        </w:numPr>
        <w:overflowPunct w:val="true"/>
        <w:autoSpaceDE w:val="true"/>
        <w:spacing w:lineRule="auto" w:line="264" w:before="0" w:after="100"/>
        <w:ind w:hanging="360" w:start="720" w:end="-6"/>
        <w:textAlignment w:val="auto"/>
        <w:rPr>
          <w:i w:val="false"/>
          <w:szCs w:val="24"/>
        </w:rPr>
      </w:pPr>
      <w:r>
        <w:rPr>
          <w:i w:val="false"/>
          <w:szCs w:val="24"/>
        </w:rPr>
        <w:t xml:space="preserve">Поддържане на актуална информация за обществения интерес към дейността на </w:t>
      </w:r>
      <w:r>
        <w:rPr>
          <w:i w:val="false"/>
          <w:spacing w:val="-4"/>
          <w:szCs w:val="24"/>
          <w:lang w:val="en-US"/>
        </w:rPr>
        <w:t>БРАМАНД  ЕООД</w:t>
      </w:r>
      <w:r>
        <w:rPr>
          <w:i w:val="false"/>
          <w:szCs w:val="24"/>
        </w:rPr>
        <w:t>.</w:t>
      </w:r>
    </w:p>
    <w:p>
      <w:pPr>
        <w:pStyle w:val="3"/>
        <w:spacing w:lineRule="auto" w:line="264" w:before="0" w:after="100"/>
        <w:ind w:end="-6"/>
        <w:rPr/>
      </w:pPr>
      <w:r>
        <w:rPr>
          <w:i w:val="false"/>
          <w:szCs w:val="24"/>
        </w:rPr>
        <w:t>При определянето на заинтересованите страни и реда за обмен на информация ръководството взема предвид:</w:t>
      </w:r>
    </w:p>
    <w:p>
      <w:pPr>
        <w:pStyle w:val="BodyText"/>
        <w:numPr>
          <w:ilvl w:val="0"/>
          <w:numId w:val="15"/>
        </w:numPr>
        <w:overflowPunct w:val="true"/>
        <w:autoSpaceDE w:val="true"/>
        <w:spacing w:lineRule="auto" w:line="264" w:before="0" w:after="100"/>
        <w:textAlignment w:val="auto"/>
        <w:rPr>
          <w:spacing w:val="-2"/>
          <w:szCs w:val="24"/>
        </w:rPr>
      </w:pPr>
      <w:r>
        <w:rPr>
          <w:spacing w:val="-2"/>
          <w:szCs w:val="24"/>
        </w:rPr>
        <w:t xml:space="preserve">Дейностите на </w:t>
      </w:r>
      <w:r>
        <w:rPr>
          <w:spacing w:val="-4"/>
          <w:szCs w:val="24"/>
          <w:lang w:val="en-US"/>
        </w:rPr>
        <w:t xml:space="preserve">БРАМАНД  ЕООД </w:t>
      </w:r>
      <w:r>
        <w:rPr>
          <w:spacing w:val="-2"/>
          <w:szCs w:val="24"/>
        </w:rPr>
        <w:t>по отношение на изискванията към продукта;</w:t>
      </w:r>
    </w:p>
    <w:p>
      <w:pPr>
        <w:pStyle w:val="BodyText"/>
        <w:numPr>
          <w:ilvl w:val="0"/>
          <w:numId w:val="15"/>
        </w:numPr>
        <w:overflowPunct w:val="true"/>
        <w:autoSpaceDE w:val="true"/>
        <w:spacing w:lineRule="auto" w:line="264" w:before="0" w:after="100"/>
        <w:textAlignment w:val="auto"/>
        <w:rPr>
          <w:szCs w:val="24"/>
        </w:rPr>
      </w:pPr>
      <w:r>
        <w:rPr>
          <w:szCs w:val="24"/>
        </w:rPr>
        <w:t>Влиянието на дейността на доставчиците по отношение:</w:t>
      </w:r>
    </w:p>
    <w:p>
      <w:pPr>
        <w:pStyle w:val="BodyText"/>
        <w:numPr>
          <w:ilvl w:val="0"/>
          <w:numId w:val="5"/>
        </w:numPr>
        <w:overflowPunct w:val="true"/>
        <w:autoSpaceDE w:val="true"/>
        <w:spacing w:lineRule="auto" w:line="264" w:before="0" w:after="100"/>
        <w:textAlignment w:val="auto"/>
        <w:rPr>
          <w:szCs w:val="24"/>
        </w:rPr>
      </w:pPr>
      <w:r>
        <w:rPr>
          <w:szCs w:val="24"/>
        </w:rPr>
        <w:t>изискванията към продукта;</w:t>
      </w:r>
    </w:p>
    <w:p>
      <w:pPr>
        <w:pStyle w:val="BodyText"/>
        <w:numPr>
          <w:ilvl w:val="0"/>
          <w:numId w:val="5"/>
        </w:numPr>
        <w:overflowPunct w:val="true"/>
        <w:autoSpaceDE w:val="true"/>
        <w:spacing w:lineRule="auto" w:line="264" w:before="0" w:after="100"/>
        <w:textAlignment w:val="auto"/>
        <w:rPr>
          <w:szCs w:val="24"/>
        </w:rPr>
      </w:pPr>
      <w:r>
        <w:rPr>
          <w:szCs w:val="24"/>
        </w:rPr>
        <w:t>значимите аспекти на околната среда;</w:t>
      </w:r>
    </w:p>
    <w:p>
      <w:pPr>
        <w:pStyle w:val="BodyText"/>
        <w:numPr>
          <w:ilvl w:val="0"/>
          <w:numId w:val="15"/>
        </w:numPr>
        <w:overflowPunct w:val="true"/>
        <w:autoSpaceDE w:val="true"/>
        <w:spacing w:lineRule="auto" w:line="264" w:before="0" w:after="100"/>
        <w:textAlignment w:val="auto"/>
        <w:rPr>
          <w:szCs w:val="24"/>
        </w:rPr>
      </w:pPr>
      <w:r>
        <w:rPr>
          <w:szCs w:val="24"/>
        </w:rPr>
        <w:t xml:space="preserve">Определените от законодателството права на персонала на </w:t>
      </w:r>
      <w:r>
        <w:rPr>
          <w:spacing w:val="-4"/>
          <w:szCs w:val="24"/>
          <w:lang w:val="en-US"/>
        </w:rPr>
        <w:t xml:space="preserve">БРАМАНД  ЕООД </w:t>
      </w:r>
      <w:r>
        <w:rPr>
          <w:szCs w:val="24"/>
        </w:rPr>
        <w:t xml:space="preserve">по отношение управлението на околната среда </w:t>
      </w:r>
    </w:p>
    <w:p>
      <w:pPr>
        <w:pStyle w:val="BodyText"/>
        <w:numPr>
          <w:ilvl w:val="0"/>
          <w:numId w:val="15"/>
        </w:numPr>
        <w:overflowPunct w:val="true"/>
        <w:autoSpaceDE w:val="true"/>
        <w:spacing w:lineRule="auto" w:line="264" w:before="0" w:after="100"/>
        <w:ind w:hanging="360" w:start="720" w:end="-57"/>
        <w:textAlignment w:val="auto"/>
        <w:rPr>
          <w:szCs w:val="24"/>
        </w:rPr>
      </w:pPr>
      <w:r>
        <w:rPr>
          <w:szCs w:val="24"/>
        </w:rPr>
        <w:t>Изискванията на заинтересованите страни по отношение на околната среда</w:t>
      </w:r>
    </w:p>
    <w:p>
      <w:pPr>
        <w:pStyle w:val="BodyText"/>
        <w:numPr>
          <w:ilvl w:val="0"/>
          <w:numId w:val="15"/>
        </w:numPr>
        <w:overflowPunct w:val="true"/>
        <w:autoSpaceDE w:val="true"/>
        <w:spacing w:lineRule="auto" w:line="264" w:before="0" w:after="100"/>
        <w:textAlignment w:val="auto"/>
        <w:rPr>
          <w:szCs w:val="24"/>
        </w:rPr>
      </w:pPr>
      <w:r>
        <w:rPr>
          <w:szCs w:val="24"/>
        </w:rPr>
        <w:t xml:space="preserve">Интересите на обществото (както заявените от представители на обществени организации и сдружения, така и предполагаеми) по отношение на поддържането и непрекъснатото подобряване на околната среда. </w:t>
      </w:r>
    </w:p>
    <w:p>
      <w:pPr>
        <w:pStyle w:val="3"/>
        <w:spacing w:lineRule="auto" w:line="264" w:before="0" w:after="100"/>
        <w:ind w:end="-6"/>
        <w:rPr/>
      </w:pPr>
      <w:r>
        <w:rPr>
          <w:i w:val="false"/>
          <w:spacing w:val="-4"/>
          <w:szCs w:val="24"/>
          <w:lang w:val="en-US"/>
        </w:rPr>
        <w:t xml:space="preserve">БРАМАНД  ЕООД </w:t>
      </w:r>
      <w:r>
        <w:rPr>
          <w:i w:val="false"/>
          <w:szCs w:val="24"/>
        </w:rPr>
        <w:t xml:space="preserve">предоставя при поискване от заинтересованите страни информация, касаеща значимите аспекти на околната среда. При  наличие на желание от заинтересованите страни Управителят преценява и разпорежда на УПР да предостави необходимите документи и информация. На строителните обекти на Организацията Техническият ръководител предоставя при поискване, в рамките на своята компетентност, такава информация. </w:t>
      </w:r>
    </w:p>
    <w:p>
      <w:pPr>
        <w:pStyle w:val="3"/>
        <w:spacing w:lineRule="auto" w:line="264" w:before="0" w:after="100"/>
        <w:ind w:end="-6"/>
        <w:rPr>
          <w:i w:val="false"/>
          <w:szCs w:val="24"/>
        </w:rPr>
      </w:pPr>
      <w:r>
        <w:rPr>
          <w:i w:val="false"/>
          <w:szCs w:val="24"/>
        </w:rPr>
        <w:t xml:space="preserve">С цел осигуряване на процесите на комуникация със заинтересованите страни се поддържа </w:t>
      </w:r>
      <w:r>
        <w:rPr>
          <w:b/>
          <w:i w:val="false"/>
          <w:szCs w:val="24"/>
          <w:lang w:val="en-US"/>
        </w:rPr>
        <w:t xml:space="preserve">ФОС </w:t>
      </w:r>
      <w:r>
        <w:rPr>
          <w:b/>
          <w:i w:val="false"/>
          <w:szCs w:val="24"/>
        </w:rPr>
        <w:t>05</w:t>
      </w:r>
      <w:r>
        <w:rPr>
          <w:i w:val="false"/>
          <w:szCs w:val="24"/>
        </w:rPr>
        <w:t xml:space="preserve"> - </w:t>
      </w:r>
      <w:r>
        <w:rPr>
          <w:b/>
          <w:i w:val="false"/>
          <w:szCs w:val="24"/>
        </w:rPr>
        <w:t>Списък на заинтересованите страни.</w:t>
      </w:r>
    </w:p>
    <w:p>
      <w:pPr>
        <w:pStyle w:val="3"/>
        <w:spacing w:lineRule="auto" w:line="264" w:before="0" w:after="100"/>
        <w:ind w:end="-6"/>
        <w:rPr/>
      </w:pPr>
      <w:r>
        <w:rPr>
          <w:i w:val="false"/>
          <w:szCs w:val="24"/>
        </w:rPr>
        <w:t xml:space="preserve">В </w:t>
      </w:r>
      <w:r>
        <w:rPr>
          <w:b/>
          <w:i w:val="false"/>
          <w:szCs w:val="24"/>
        </w:rPr>
        <w:t xml:space="preserve">Списъка на заинтересованите страни </w:t>
      </w:r>
      <w:r>
        <w:rPr>
          <w:i w:val="false"/>
          <w:szCs w:val="24"/>
        </w:rPr>
        <w:t xml:space="preserve">се съхраняват данни за онези организации/лица, които трябва да бъдат уведомявани при: </w:t>
      </w:r>
    </w:p>
    <w:p>
      <w:pPr>
        <w:pStyle w:val="3"/>
        <w:numPr>
          <w:ilvl w:val="0"/>
          <w:numId w:val="15"/>
        </w:numPr>
        <w:overflowPunct w:val="true"/>
        <w:autoSpaceDE w:val="true"/>
        <w:spacing w:lineRule="auto" w:line="264" w:before="0" w:after="100"/>
        <w:ind w:hanging="360" w:start="720" w:end="-6"/>
        <w:textAlignment w:val="auto"/>
        <w:rPr>
          <w:i w:val="false"/>
          <w:szCs w:val="24"/>
        </w:rPr>
      </w:pPr>
      <w:r>
        <w:rPr>
          <w:i w:val="false"/>
          <w:szCs w:val="24"/>
        </w:rPr>
        <w:t xml:space="preserve">възникване или установен риск от възникване на извънредни ситуации, </w:t>
      </w:r>
    </w:p>
    <w:p>
      <w:pPr>
        <w:pStyle w:val="3"/>
        <w:numPr>
          <w:ilvl w:val="0"/>
          <w:numId w:val="15"/>
        </w:numPr>
        <w:overflowPunct w:val="true"/>
        <w:autoSpaceDE w:val="true"/>
        <w:spacing w:lineRule="auto" w:line="264" w:before="0" w:after="100"/>
        <w:ind w:hanging="360" w:start="720" w:end="-6"/>
        <w:textAlignment w:val="auto"/>
        <w:rPr>
          <w:i w:val="false"/>
          <w:szCs w:val="24"/>
        </w:rPr>
      </w:pPr>
      <w:r>
        <w:rPr>
          <w:i w:val="false"/>
          <w:szCs w:val="24"/>
        </w:rPr>
        <w:t xml:space="preserve">при получено оплакване от представител на заинтересована страна; </w:t>
      </w:r>
    </w:p>
    <w:p>
      <w:pPr>
        <w:pStyle w:val="3"/>
        <w:numPr>
          <w:ilvl w:val="0"/>
          <w:numId w:val="15"/>
        </w:numPr>
        <w:overflowPunct w:val="true"/>
        <w:autoSpaceDE w:val="true"/>
        <w:spacing w:lineRule="auto" w:line="264" w:before="0" w:after="100"/>
        <w:ind w:hanging="360" w:start="720" w:end="-6"/>
        <w:textAlignment w:val="auto"/>
        <w:rPr>
          <w:i w:val="false"/>
          <w:szCs w:val="24"/>
        </w:rPr>
      </w:pPr>
      <w:r>
        <w:rPr>
          <w:i w:val="false"/>
          <w:szCs w:val="24"/>
        </w:rPr>
        <w:t xml:space="preserve">евентуална промяна в законовите изисквания; </w:t>
      </w:r>
    </w:p>
    <w:p>
      <w:pPr>
        <w:pStyle w:val="3"/>
        <w:numPr>
          <w:ilvl w:val="0"/>
          <w:numId w:val="15"/>
        </w:numPr>
        <w:overflowPunct w:val="true"/>
        <w:autoSpaceDE w:val="true"/>
        <w:spacing w:lineRule="auto" w:line="264" w:before="0" w:after="100"/>
        <w:ind w:hanging="360" w:start="720" w:end="-6"/>
        <w:textAlignment w:val="auto"/>
        <w:rPr>
          <w:i w:val="false"/>
          <w:szCs w:val="24"/>
        </w:rPr>
      </w:pPr>
      <w:r>
        <w:rPr>
          <w:i w:val="false"/>
          <w:szCs w:val="24"/>
        </w:rPr>
        <w:t>при всички други случаи, изискващи установяване на връзка с представители на заинтересованите страни.</w:t>
      </w:r>
    </w:p>
    <w:p>
      <w:pPr>
        <w:pStyle w:val="3"/>
        <w:spacing w:lineRule="auto" w:line="264" w:before="0" w:after="100"/>
        <w:rPr>
          <w:b/>
          <w:i w:val="false"/>
          <w:szCs w:val="24"/>
        </w:rPr>
      </w:pPr>
      <w:r>
        <w:rPr>
          <w:b/>
          <w:i w:val="false"/>
          <w:szCs w:val="24"/>
        </w:rPr>
        <w:t>Обменът на информация с подизпълнителите.</w:t>
      </w:r>
    </w:p>
    <w:p>
      <w:pPr>
        <w:pStyle w:val="3"/>
        <w:spacing w:lineRule="auto" w:line="264" w:before="0" w:after="100"/>
        <w:rPr/>
      </w:pPr>
      <w:r>
        <w:rPr>
          <w:i w:val="false"/>
          <w:szCs w:val="24"/>
        </w:rPr>
        <w:t xml:space="preserve">Осъществява се като още по време на сключване на Договорите с тях те се запознават с основни изисквания на внедрената СУОС. Спазването на Нормативните изисквания, свързани с ОС е част от Договора. Редът за обмен на информация с подизпълнителите, работещи на строителни площадки на Организацията е същият като реда за вътрешен обмен на информация. Достъпът и обменът на информация с подизпълнителите на обекти на Организацията се регулира от </w:t>
      </w:r>
      <w:r>
        <w:rPr>
          <w:b/>
          <w:i w:val="false"/>
          <w:szCs w:val="24"/>
        </w:rPr>
        <w:t>Методика и инструкция за работа с подизпълнители и външни лица</w:t>
      </w:r>
      <w:r>
        <w:rPr>
          <w:i w:val="false"/>
          <w:szCs w:val="24"/>
        </w:rPr>
        <w:t xml:space="preserve">.   </w:t>
      </w:r>
    </w:p>
    <w:p>
      <w:pPr>
        <w:pStyle w:val="3"/>
        <w:spacing w:lineRule="auto" w:line="264" w:before="0" w:after="100"/>
        <w:rPr>
          <w:b/>
          <w:i w:val="false"/>
          <w:szCs w:val="24"/>
        </w:rPr>
      </w:pPr>
      <w:r>
        <w:rPr>
          <w:b/>
          <w:i w:val="false"/>
          <w:szCs w:val="24"/>
        </w:rPr>
        <w:t>Обменът на информация с клиентите и доставчиците.</w:t>
      </w:r>
    </w:p>
    <w:p>
      <w:pPr>
        <w:pStyle w:val="3"/>
        <w:spacing w:lineRule="auto" w:line="264" w:before="0" w:after="100"/>
        <w:rPr>
          <w:b/>
          <w:i w:val="false"/>
          <w:szCs w:val="24"/>
        </w:rPr>
      </w:pPr>
      <w:r>
        <w:rPr>
          <w:i w:val="false"/>
          <w:szCs w:val="24"/>
        </w:rPr>
        <w:t>Осъществява се съгласно изискванията на СУОС от ръководството и от упълномощените длъжностни лица.</w:t>
      </w:r>
    </w:p>
    <w:p>
      <w:pPr>
        <w:pStyle w:val="3"/>
        <w:spacing w:lineRule="auto" w:line="264" w:before="0" w:after="100"/>
        <w:rPr/>
      </w:pPr>
      <w:r>
        <w:rPr>
          <w:b/>
          <w:i w:val="false"/>
          <w:szCs w:val="24"/>
        </w:rPr>
        <w:t>Обмен на информация</w:t>
      </w:r>
      <w:r>
        <w:rPr>
          <w:i w:val="false"/>
          <w:szCs w:val="24"/>
        </w:rPr>
        <w:t xml:space="preserve"> </w:t>
      </w:r>
      <w:r>
        <w:rPr>
          <w:b/>
          <w:i w:val="false"/>
          <w:szCs w:val="24"/>
        </w:rPr>
        <w:t>с държавните институции и оторизираните/акредитираните външни организации</w:t>
      </w:r>
      <w:r>
        <w:rPr>
          <w:i w:val="false"/>
          <w:szCs w:val="24"/>
        </w:rPr>
        <w:t>.</w:t>
      </w:r>
    </w:p>
    <w:p>
      <w:pPr>
        <w:pStyle w:val="3"/>
        <w:spacing w:lineRule="auto" w:line="264" w:before="0" w:after="100"/>
        <w:rPr>
          <w:i w:val="false"/>
          <w:szCs w:val="24"/>
        </w:rPr>
      </w:pPr>
      <w:r>
        <w:rPr>
          <w:i w:val="false"/>
          <w:szCs w:val="24"/>
        </w:rPr>
        <w:t xml:space="preserve">Обменът на информация с държавните институции се извършва от ръководството или упълномощени от ръководството длъжностни лица. </w:t>
      </w:r>
    </w:p>
    <w:p>
      <w:pPr>
        <w:pStyle w:val="3"/>
        <w:spacing w:lineRule="auto" w:line="264" w:before="0" w:after="100"/>
        <w:rPr/>
      </w:pPr>
      <w:r>
        <w:rPr>
          <w:i w:val="false"/>
          <w:spacing w:val="-2"/>
          <w:szCs w:val="24"/>
        </w:rPr>
        <w:t>Упълномощеният представител на ръководството поддържа връзките със Сертифициращата организация</w:t>
      </w:r>
      <w:r>
        <w:rPr>
          <w:i w:val="false"/>
          <w:szCs w:val="24"/>
        </w:rPr>
        <w:t>.</w:t>
      </w:r>
    </w:p>
    <w:p>
      <w:pPr>
        <w:pStyle w:val="3"/>
        <w:spacing w:lineRule="auto" w:line="264" w:before="0" w:after="100"/>
        <w:rPr/>
      </w:pPr>
      <w:r>
        <w:rPr>
          <w:i w:val="false"/>
          <w:szCs w:val="24"/>
        </w:rPr>
        <w:t>Връзките със съответните акредитирани Организации се поддържат от Ръководството, при необходимост от изпълнение</w:t>
      </w:r>
      <w:r>
        <w:rPr>
          <w:i w:val="false"/>
          <w:szCs w:val="24"/>
          <w:lang w:val="ru-RU"/>
        </w:rPr>
        <w:t xml:space="preserve"> </w:t>
      </w:r>
      <w:r>
        <w:rPr>
          <w:i w:val="false"/>
          <w:szCs w:val="24"/>
        </w:rPr>
        <w:t>или удостоверяване на изискванията по оценка на съответствието;</w:t>
      </w:r>
    </w:p>
    <w:p>
      <w:pPr>
        <w:pStyle w:val="Heading2"/>
        <w:numPr>
          <w:ilvl w:val="0"/>
          <w:numId w:val="0"/>
        </w:numPr>
        <w:spacing w:before="200" w:after="100"/>
        <w:ind w:hanging="576" w:start="576" w:end="0"/>
        <w:jc w:val="both"/>
        <w:rPr>
          <w:szCs w:val="24"/>
        </w:rPr>
      </w:pPr>
      <w:r>
        <w:rPr>
          <w:szCs w:val="24"/>
        </w:rPr>
        <w:t>4.2.2 Процеси на вътрешен обмен на информация между различни нива и функции в Организацията.</w:t>
      </w:r>
    </w:p>
    <w:p>
      <w:pPr>
        <w:pStyle w:val="3"/>
        <w:spacing w:lineRule="auto" w:line="264" w:before="0" w:after="100"/>
        <w:ind w:end="-6"/>
        <w:rPr>
          <w:i w:val="false"/>
          <w:szCs w:val="24"/>
        </w:rPr>
      </w:pPr>
      <w:r>
        <w:rPr>
          <w:i w:val="false"/>
          <w:szCs w:val="24"/>
        </w:rPr>
        <w:t>Процесите на вътрешен обмен на информация между различни нива и функции в Организацията включват:</w:t>
      </w:r>
    </w:p>
    <w:p>
      <w:pPr>
        <w:pStyle w:val="3"/>
        <w:numPr>
          <w:ilvl w:val="0"/>
          <w:numId w:val="2"/>
        </w:numPr>
        <w:overflowPunct w:val="true"/>
        <w:autoSpaceDE w:val="true"/>
        <w:spacing w:lineRule="auto" w:line="264" w:before="0" w:after="100"/>
        <w:textAlignment w:val="auto"/>
        <w:rPr>
          <w:i w:val="false"/>
          <w:szCs w:val="24"/>
        </w:rPr>
      </w:pPr>
      <w:r>
        <w:rPr>
          <w:i w:val="false"/>
          <w:szCs w:val="24"/>
        </w:rPr>
        <w:t>свеждане на целите по управление до всички структурни звена в Организацията;</w:t>
      </w:r>
    </w:p>
    <w:p>
      <w:pPr>
        <w:pStyle w:val="3"/>
        <w:numPr>
          <w:ilvl w:val="0"/>
          <w:numId w:val="2"/>
        </w:numPr>
        <w:overflowPunct w:val="true"/>
        <w:autoSpaceDE w:val="true"/>
        <w:spacing w:lineRule="auto" w:line="264" w:before="0" w:after="100"/>
        <w:textAlignment w:val="auto"/>
        <w:rPr>
          <w:i w:val="false"/>
          <w:szCs w:val="24"/>
        </w:rPr>
      </w:pPr>
      <w:r>
        <w:rPr>
          <w:i w:val="false"/>
          <w:szCs w:val="24"/>
        </w:rPr>
        <w:t>разпространение и разясняване на изискванията на заинтересованите страни с цел тяхното разбиране и осъзнаване във Организацията ;</w:t>
      </w:r>
    </w:p>
    <w:p>
      <w:pPr>
        <w:pStyle w:val="3"/>
        <w:numPr>
          <w:ilvl w:val="0"/>
          <w:numId w:val="2"/>
        </w:numPr>
        <w:overflowPunct w:val="true"/>
        <w:autoSpaceDE w:val="true"/>
        <w:spacing w:lineRule="auto" w:line="264" w:before="0" w:after="100"/>
        <w:textAlignment w:val="auto"/>
        <w:rPr>
          <w:i w:val="false"/>
          <w:szCs w:val="24"/>
        </w:rPr>
      </w:pPr>
      <w:r>
        <w:rPr>
          <w:i w:val="false"/>
          <w:szCs w:val="24"/>
        </w:rPr>
        <w:t>провеждане на заседания на Управителя  с ръководителите на структурните звена;</w:t>
      </w:r>
    </w:p>
    <w:p>
      <w:pPr>
        <w:pStyle w:val="3"/>
        <w:numPr>
          <w:ilvl w:val="0"/>
          <w:numId w:val="2"/>
        </w:numPr>
        <w:overflowPunct w:val="true"/>
        <w:autoSpaceDE w:val="true"/>
        <w:spacing w:lineRule="auto" w:line="264" w:before="0" w:after="100"/>
        <w:textAlignment w:val="auto"/>
        <w:rPr>
          <w:i w:val="false"/>
          <w:szCs w:val="24"/>
        </w:rPr>
      </w:pPr>
      <w:r>
        <w:rPr>
          <w:i w:val="false"/>
          <w:szCs w:val="24"/>
        </w:rPr>
        <w:t>обмен на информация между различните нива във Организацията по проблеми, свързани с:</w:t>
      </w:r>
    </w:p>
    <w:p>
      <w:pPr>
        <w:pStyle w:val="3"/>
        <w:numPr>
          <w:ilvl w:val="1"/>
          <w:numId w:val="10"/>
        </w:numPr>
        <w:overflowPunct w:val="true"/>
        <w:autoSpaceDE w:val="true"/>
        <w:spacing w:lineRule="auto" w:line="264" w:before="0" w:after="100"/>
        <w:textAlignment w:val="auto"/>
        <w:rPr>
          <w:i w:val="false"/>
          <w:szCs w:val="24"/>
        </w:rPr>
      </w:pPr>
      <w:r>
        <w:rPr>
          <w:i w:val="false"/>
          <w:szCs w:val="24"/>
        </w:rPr>
        <w:t>изпълнение изискванията на продукта/услугата;</w:t>
      </w:r>
    </w:p>
    <w:p>
      <w:pPr>
        <w:pStyle w:val="3"/>
        <w:numPr>
          <w:ilvl w:val="1"/>
          <w:numId w:val="10"/>
        </w:numPr>
        <w:overflowPunct w:val="true"/>
        <w:autoSpaceDE w:val="true"/>
        <w:spacing w:lineRule="auto" w:line="264" w:before="0" w:after="100"/>
        <w:textAlignment w:val="auto"/>
        <w:rPr>
          <w:i w:val="false"/>
          <w:szCs w:val="24"/>
        </w:rPr>
      </w:pPr>
      <w:r>
        <w:rPr>
          <w:i w:val="false"/>
          <w:szCs w:val="24"/>
        </w:rPr>
        <w:t>управлението на аспектите на ОС.</w:t>
      </w:r>
    </w:p>
    <w:p>
      <w:pPr>
        <w:pStyle w:val="3"/>
        <w:spacing w:lineRule="auto" w:line="264" w:before="0" w:after="100"/>
        <w:rPr/>
      </w:pPr>
      <w:r>
        <w:rPr>
          <w:i w:val="false"/>
          <w:szCs w:val="24"/>
        </w:rPr>
        <w:t>Редът вътрешен обмен на информация е даден при описанието на отделните процеси на системата по управление.</w:t>
      </w:r>
    </w:p>
    <w:p>
      <w:pPr>
        <w:pStyle w:val="3"/>
        <w:spacing w:lineRule="auto" w:line="264" w:before="0" w:after="100"/>
        <w:ind w:end="-6"/>
        <w:rPr/>
      </w:pPr>
      <w:r>
        <w:rPr>
          <w:i w:val="false"/>
          <w:szCs w:val="24"/>
        </w:rPr>
        <w:t>Редът за свеждане на целите по управление на всички нива във Организацията е описан в  Наръчника по управление.</w:t>
      </w:r>
    </w:p>
    <w:p>
      <w:pPr>
        <w:pStyle w:val="3"/>
        <w:spacing w:lineRule="auto" w:line="264" w:before="0" w:after="100"/>
        <w:ind w:end="-6"/>
        <w:rPr>
          <w:i w:val="false"/>
          <w:szCs w:val="24"/>
        </w:rPr>
      </w:pPr>
      <w:r>
        <w:rPr>
          <w:i w:val="false"/>
          <w:spacing w:val="-2"/>
          <w:szCs w:val="24"/>
        </w:rPr>
        <w:t xml:space="preserve">Изискванията на заинтересованите страни се разискват и разясняват от Управителя. </w:t>
      </w:r>
    </w:p>
    <w:p>
      <w:pPr>
        <w:pStyle w:val="BodyText"/>
        <w:numPr>
          <w:ilvl w:val="0"/>
          <w:numId w:val="0"/>
        </w:numPr>
        <w:spacing w:lineRule="auto" w:line="264" w:before="0" w:after="100"/>
        <w:ind w:hanging="0" w:start="0"/>
        <w:rPr>
          <w:szCs w:val="24"/>
        </w:rPr>
      </w:pPr>
      <w:r>
        <w:rPr>
          <w:szCs w:val="24"/>
        </w:rPr>
        <w:t>Информацията за протичането на производствените процеси се осъществява чрез оперативни доклади.</w:t>
      </w:r>
    </w:p>
    <w:p>
      <w:pPr>
        <w:pStyle w:val="3"/>
        <w:spacing w:lineRule="auto" w:line="264" w:before="0" w:after="100"/>
        <w:ind w:end="-6"/>
        <w:rPr>
          <w:b/>
          <w:i w:val="false"/>
          <w:szCs w:val="24"/>
        </w:rPr>
      </w:pPr>
      <w:r>
        <w:rPr>
          <w:b/>
          <w:i w:val="false"/>
          <w:szCs w:val="24"/>
        </w:rPr>
        <w:t>Обмен на информация, отнасяща се до нормативните изисквания</w:t>
      </w:r>
    </w:p>
    <w:p>
      <w:pPr>
        <w:pStyle w:val="3"/>
        <w:spacing w:lineRule="auto" w:line="264" w:before="0" w:after="60"/>
        <w:ind w:end="-6"/>
        <w:rPr/>
      </w:pPr>
      <w:r>
        <w:rPr>
          <w:i w:val="false"/>
          <w:spacing w:val="-2"/>
          <w:szCs w:val="24"/>
        </w:rPr>
        <w:t xml:space="preserve">Актуалната версия на нормативните документи се осигурява съгласно </w:t>
      </w:r>
      <w:r>
        <w:rPr>
          <w:b/>
          <w:i w:val="false"/>
          <w:spacing w:val="-2"/>
          <w:szCs w:val="24"/>
        </w:rPr>
        <w:t>Управление на документите</w:t>
      </w:r>
      <w:r>
        <w:rPr>
          <w:i w:val="false"/>
          <w:spacing w:val="-2"/>
          <w:szCs w:val="24"/>
        </w:rPr>
        <w:t>.</w:t>
      </w:r>
    </w:p>
    <w:p>
      <w:pPr>
        <w:pStyle w:val="3"/>
        <w:spacing w:lineRule="auto" w:line="264" w:before="0" w:after="100"/>
        <w:ind w:end="-6"/>
        <w:rPr>
          <w:i w:val="false"/>
          <w:spacing w:val="-4"/>
          <w:szCs w:val="24"/>
        </w:rPr>
      </w:pPr>
      <w:r>
        <w:rPr>
          <w:i w:val="false"/>
          <w:spacing w:val="-4"/>
          <w:szCs w:val="24"/>
        </w:rPr>
        <w:t>Упълномощеният представител на ръководството следи за всички изменения в законодателството, свързани с изискванията за</w:t>
      </w:r>
      <w:r>
        <w:rPr>
          <w:szCs w:val="24"/>
        </w:rPr>
        <w:t xml:space="preserve"> </w:t>
      </w:r>
      <w:r>
        <w:rPr>
          <w:i w:val="false"/>
          <w:szCs w:val="24"/>
        </w:rPr>
        <w:t>ОС.</w:t>
      </w:r>
    </w:p>
    <w:p>
      <w:pPr>
        <w:pStyle w:val="3"/>
        <w:spacing w:lineRule="auto" w:line="264" w:before="0" w:after="100"/>
        <w:ind w:end="-6"/>
        <w:rPr>
          <w:i w:val="false"/>
          <w:spacing w:val="-4"/>
          <w:szCs w:val="24"/>
        </w:rPr>
      </w:pPr>
      <w:r>
        <w:rPr>
          <w:i w:val="false"/>
          <w:szCs w:val="24"/>
        </w:rPr>
        <w:t xml:space="preserve">Съответствието с нормативните изисквания по отношение на значимите аспекти на околната среда се определя съгласно регламента, определен в </w:t>
      </w:r>
      <w:r>
        <w:rPr>
          <w:b/>
          <w:i w:val="false"/>
          <w:szCs w:val="24"/>
        </w:rPr>
        <w:t>Оценка на съответствието</w:t>
      </w:r>
      <w:r>
        <w:rPr>
          <w:i w:val="false"/>
          <w:szCs w:val="24"/>
        </w:rPr>
        <w:t>.</w:t>
      </w:r>
    </w:p>
    <w:p>
      <w:pPr>
        <w:pStyle w:val="3"/>
        <w:spacing w:lineRule="auto" w:line="264" w:before="0" w:after="100"/>
        <w:ind w:end="-6"/>
        <w:rPr>
          <w:i w:val="false"/>
          <w:szCs w:val="24"/>
        </w:rPr>
      </w:pPr>
      <w:r>
        <w:rPr>
          <w:i w:val="false"/>
          <w:szCs w:val="24"/>
        </w:rPr>
        <w:t xml:space="preserve">На заседанията на колективните органи за управление: </w:t>
      </w:r>
    </w:p>
    <w:p>
      <w:pPr>
        <w:pStyle w:val="3"/>
        <w:numPr>
          <w:ilvl w:val="0"/>
          <w:numId w:val="6"/>
        </w:numPr>
        <w:overflowPunct w:val="true"/>
        <w:autoSpaceDE w:val="true"/>
        <w:spacing w:lineRule="auto" w:line="264" w:before="0" w:after="100"/>
        <w:textAlignment w:val="auto"/>
        <w:rPr>
          <w:i w:val="false"/>
          <w:szCs w:val="24"/>
        </w:rPr>
      </w:pPr>
      <w:r>
        <w:rPr>
          <w:i w:val="false"/>
          <w:szCs w:val="24"/>
        </w:rPr>
        <w:t>обсъждат се промените в нормативните изисквания;</w:t>
      </w:r>
    </w:p>
    <w:p>
      <w:pPr>
        <w:pStyle w:val="3"/>
        <w:numPr>
          <w:ilvl w:val="0"/>
          <w:numId w:val="6"/>
        </w:numPr>
        <w:overflowPunct w:val="true"/>
        <w:autoSpaceDE w:val="true"/>
        <w:spacing w:lineRule="auto" w:line="264" w:before="0" w:after="100"/>
        <w:textAlignment w:val="auto"/>
        <w:rPr>
          <w:i w:val="false"/>
          <w:szCs w:val="24"/>
        </w:rPr>
      </w:pPr>
      <w:r>
        <w:rPr>
          <w:i w:val="false"/>
          <w:szCs w:val="24"/>
        </w:rPr>
        <w:t>взимат се решения за тяхното изпълнение.</w:t>
      </w:r>
    </w:p>
    <w:p>
      <w:pPr>
        <w:pStyle w:val="BodyText"/>
        <w:spacing w:lineRule="auto" w:line="264" w:before="0" w:after="100"/>
        <w:rPr>
          <w:b/>
          <w:szCs w:val="24"/>
        </w:rPr>
      </w:pPr>
      <w:r>
        <w:rPr>
          <w:b/>
          <w:szCs w:val="24"/>
        </w:rPr>
        <w:t>4.3 Участие и консултиране на персонала, свързано с ОС</w:t>
      </w:r>
    </w:p>
    <w:p>
      <w:pPr>
        <w:pStyle w:val="BodyText"/>
        <w:spacing w:lineRule="auto" w:line="264" w:before="0" w:after="100"/>
        <w:rPr/>
      </w:pPr>
      <w:r>
        <w:rPr>
          <w:szCs w:val="24"/>
        </w:rPr>
        <w:t xml:space="preserve">Упълномощеният представител на ръководството организира провеждането на периодични анкети на целия персонал на Организацията, чрез предоставяне за попълване от служителите и работниците на </w:t>
      </w:r>
      <w:r>
        <w:rPr>
          <w:b/>
          <w:szCs w:val="24"/>
          <w:lang w:val="en-US"/>
        </w:rPr>
        <w:t xml:space="preserve">ФОС </w:t>
      </w:r>
      <w:r>
        <w:rPr>
          <w:b/>
          <w:szCs w:val="24"/>
        </w:rPr>
        <w:t>05</w:t>
      </w:r>
      <w:r>
        <w:rPr>
          <w:b/>
          <w:szCs w:val="24"/>
          <w:lang w:val="en-US"/>
        </w:rPr>
        <w:t>-2</w:t>
      </w:r>
      <w:r>
        <w:rPr>
          <w:szCs w:val="24"/>
        </w:rPr>
        <w:t xml:space="preserve"> - </w:t>
      </w:r>
      <w:r>
        <w:rPr>
          <w:b/>
          <w:szCs w:val="24"/>
        </w:rPr>
        <w:t xml:space="preserve">Формуляр за анкетиране на персонала </w:t>
      </w:r>
      <w:r>
        <w:rPr>
          <w:szCs w:val="24"/>
        </w:rPr>
        <w:t>с цел проучване степента на удовлетвореност и мотивация на работещите в Организацията.</w:t>
      </w:r>
    </w:p>
    <w:p>
      <w:pPr>
        <w:pStyle w:val="Normal"/>
        <w:jc w:val="both"/>
        <w:rPr/>
      </w:pPr>
      <w:r>
        <w:rPr>
          <w:b/>
          <w:szCs w:val="24"/>
          <w:lang w:val="bg-BG"/>
        </w:rPr>
        <w:t>Разпределяне на роли и пълномощия по осигуряване и Опазване на ОС в Организацията.</w:t>
      </w:r>
    </w:p>
    <w:p>
      <w:pPr>
        <w:pStyle w:val="Normal"/>
        <w:jc w:val="both"/>
        <w:rPr/>
      </w:pPr>
      <w:r>
        <w:rPr>
          <w:b/>
          <w:szCs w:val="24"/>
          <w:lang w:val="bg-BG"/>
        </w:rPr>
        <w:t>Роли, пълномощия и задължения на служителите на Организацията.</w:t>
      </w:r>
    </w:p>
    <w:p>
      <w:pPr>
        <w:pStyle w:val="Style12"/>
        <w:spacing w:before="0" w:after="0"/>
        <w:jc w:val="both"/>
        <w:rPr/>
      </w:pPr>
      <w:r>
        <w:rPr/>
        <w:t xml:space="preserve">Служителите на организацията в съответствие със своята квалификация и дадените им инструкции са длъжни да : </w:t>
      </w:r>
    </w:p>
    <w:p>
      <w:pPr>
        <w:pStyle w:val="Style12"/>
        <w:numPr>
          <w:ilvl w:val="0"/>
          <w:numId w:val="8"/>
        </w:numPr>
        <w:spacing w:before="0" w:after="0"/>
        <w:jc w:val="both"/>
        <w:rPr/>
      </w:pPr>
      <w:r>
        <w:rPr/>
        <w:t xml:space="preserve">използват правилно, без да прекъсват, променят или произволно отстраняват приспособления на машините, апаратите, инструментите, служещи за защита на околната среда </w:t>
      </w:r>
    </w:p>
    <w:p>
      <w:pPr>
        <w:pStyle w:val="Style12"/>
        <w:numPr>
          <w:ilvl w:val="0"/>
          <w:numId w:val="8"/>
        </w:numPr>
        <w:spacing w:before="0" w:after="0"/>
        <w:jc w:val="both"/>
        <w:rPr/>
      </w:pPr>
      <w:r>
        <w:rPr/>
        <w:t>информират незабавно прекия си ръководител или Управителя за всяка възникнала ситуация при работа, за която имат основателни причини да смятат, че представлява сериозна и непосредствена опасност и вредно въздействие върху околната среда,  както и за всяка неизправност на защитните средства и средствата за сигнализация;</w:t>
      </w:r>
    </w:p>
    <w:p>
      <w:pPr>
        <w:pStyle w:val="Style12"/>
        <w:numPr>
          <w:ilvl w:val="0"/>
          <w:numId w:val="9"/>
        </w:numPr>
        <w:tabs>
          <w:tab w:val="clear" w:pos="708"/>
          <w:tab w:val="left" w:pos="1134" w:leader="none"/>
        </w:tabs>
        <w:spacing w:before="0" w:after="0"/>
        <w:ind w:hanging="360" w:start="1134" w:end="0"/>
        <w:jc w:val="both"/>
        <w:rPr/>
      </w:pPr>
      <w:r>
        <w:rPr/>
        <w:t>сътрудничат в рамките на своята компетентност и обхват на дейност на работодателя и на отговорните длъжностни лица при изпълнение на мерките за осигуряване и опазване на околната среда и на предписанията, дадени от контролните органи;</w:t>
      </w:r>
    </w:p>
    <w:p>
      <w:pPr>
        <w:pStyle w:val="Style12"/>
        <w:numPr>
          <w:ilvl w:val="0"/>
          <w:numId w:val="9"/>
        </w:numPr>
        <w:tabs>
          <w:tab w:val="clear" w:pos="708"/>
          <w:tab w:val="left" w:pos="1134" w:leader="none"/>
        </w:tabs>
        <w:spacing w:before="0" w:after="0"/>
        <w:ind w:hanging="360" w:start="1134" w:end="0"/>
        <w:jc w:val="both"/>
        <w:rPr/>
      </w:pPr>
      <w:r>
        <w:rPr/>
        <w:t>спазват при изпълнение на възложената им работа изискванията на нормативните актове опазване на околната среда;</w:t>
      </w:r>
    </w:p>
    <w:p>
      <w:pPr>
        <w:pStyle w:val="Header"/>
        <w:numPr>
          <w:ilvl w:val="0"/>
          <w:numId w:val="9"/>
        </w:numPr>
        <w:tabs>
          <w:tab w:val="left" w:pos="1134" w:leader="none"/>
        </w:tabs>
        <w:ind w:hanging="425" w:start="1134" w:end="0"/>
        <w:jc w:val="both"/>
        <w:rPr>
          <w:b/>
          <w:sz w:val="24"/>
          <w:szCs w:val="24"/>
          <w:lang w:val="bg-BG"/>
        </w:rPr>
      </w:pPr>
      <w:r>
        <w:rPr>
          <w:sz w:val="24"/>
          <w:szCs w:val="24"/>
          <w:lang w:val="ru-RU"/>
        </w:rPr>
        <w:t>да информират незабавно контролните органи и ръководителите си при инциденти и отразяване чрез</w:t>
      </w:r>
      <w:r>
        <w:rPr>
          <w:b/>
          <w:sz w:val="24"/>
          <w:szCs w:val="24"/>
          <w:lang w:val="bg-BG"/>
        </w:rPr>
        <w:t xml:space="preserve"> Протокол за несъответствие. </w:t>
      </w:r>
    </w:p>
    <w:p>
      <w:pPr>
        <w:pStyle w:val="Header"/>
        <w:ind w:start="1134" w:end="0"/>
        <w:rPr>
          <w:b/>
          <w:sz w:val="24"/>
          <w:szCs w:val="24"/>
          <w:lang w:val="bg-BG"/>
        </w:rPr>
      </w:pPr>
      <w:r>
        <w:rPr>
          <w:b/>
          <w:sz w:val="24"/>
          <w:szCs w:val="24"/>
          <w:lang w:val="bg-BG"/>
        </w:rPr>
      </w:r>
    </w:p>
    <w:p>
      <w:pPr>
        <w:pStyle w:val="Header"/>
        <w:ind w:start="1134" w:end="0"/>
        <w:rPr>
          <w:b/>
          <w:sz w:val="24"/>
          <w:szCs w:val="24"/>
          <w:lang w:val="bg-BG"/>
        </w:rPr>
      </w:pPr>
      <w:r>
        <w:rPr>
          <w:b/>
          <w:sz w:val="24"/>
          <w:szCs w:val="24"/>
          <w:lang w:val="bg-BG"/>
        </w:rPr>
      </w:r>
    </w:p>
    <w:p>
      <w:pPr>
        <w:pStyle w:val="Style12"/>
        <w:spacing w:before="0" w:after="0"/>
        <w:rPr>
          <w:b/>
          <w:sz w:val="24"/>
          <w:szCs w:val="24"/>
          <w:lang w:val="bg-BG"/>
        </w:rPr>
      </w:pPr>
      <w:r>
        <w:rPr>
          <w:b/>
          <w:sz w:val="24"/>
          <w:szCs w:val="24"/>
          <w:lang w:val="bg-BG"/>
        </w:rPr>
      </w:r>
    </w:p>
    <w:p>
      <w:pPr>
        <w:pStyle w:val="Normal"/>
        <w:jc w:val="both"/>
        <w:rPr/>
      </w:pPr>
      <w:r>
        <w:rPr>
          <w:b/>
          <w:szCs w:val="24"/>
          <w:lang w:val="bg-BG"/>
        </w:rPr>
        <w:t>Участие при разработване и преглед на политиката и целите по УОС и разработване на процедури и инструкции</w:t>
      </w:r>
    </w:p>
    <w:p>
      <w:pPr>
        <w:pStyle w:val="Normal"/>
        <w:jc w:val="both"/>
        <w:rPr/>
      </w:pPr>
      <w:r>
        <w:rPr>
          <w:szCs w:val="24"/>
          <w:lang w:val="bg-BG"/>
        </w:rPr>
        <w:t>Политиката и целите по УОС на Организацията се определят от Управителя и имат за цел покриване минимум на изискванията на законовата база в Република България.</w:t>
      </w:r>
    </w:p>
    <w:p>
      <w:pPr>
        <w:pStyle w:val="Normal"/>
        <w:jc w:val="both"/>
        <w:rPr/>
      </w:pPr>
      <w:r>
        <w:rPr>
          <w:szCs w:val="24"/>
          <w:lang w:val="bg-BG"/>
        </w:rPr>
        <w:t>Комитетът по УОС идентифицира и анализира аспектите на УОС в Организацията с помощта на всички служители чрез ефективен обмен на информация.</w:t>
      </w:r>
    </w:p>
    <w:p>
      <w:pPr>
        <w:pStyle w:val="Normal"/>
        <w:jc w:val="both"/>
        <w:rPr>
          <w:szCs w:val="24"/>
          <w:lang w:val="bg-BG"/>
        </w:rPr>
      </w:pPr>
      <w:r>
        <w:rPr>
          <w:szCs w:val="24"/>
          <w:lang w:val="bg-BG"/>
        </w:rPr>
        <w:t>Консултира персонала на Организацията относно приетите приоритети и определените показатели за резултатност по отношение на  УОС.</w:t>
      </w:r>
    </w:p>
    <w:p>
      <w:pPr>
        <w:pStyle w:val="Normal"/>
        <w:jc w:val="both"/>
        <w:rPr/>
      </w:pPr>
      <w:r>
        <w:rPr>
          <w:szCs w:val="24"/>
          <w:lang w:val="bg-BG"/>
        </w:rPr>
        <w:t>Комитетът по УОС изисква пълна информация от персонала за възникнали инциденти, злополуки и аварии с цел предприемане на адекватни мерки за намаляване на опасностите от замърсяване на ОС, защита на информацията и недопускане до пазара несъответстващ продукт.</w:t>
      </w:r>
    </w:p>
    <w:p>
      <w:pPr>
        <w:pStyle w:val="Normal"/>
        <w:jc w:val="both"/>
        <w:rPr>
          <w:b/>
          <w:szCs w:val="24"/>
          <w:lang w:val="bg-BG"/>
        </w:rPr>
      </w:pPr>
      <w:r>
        <w:rPr>
          <w:b/>
          <w:szCs w:val="24"/>
          <w:lang w:val="bg-BG"/>
        </w:rPr>
        <w:t>Участие и консултации при промени, свързани с приоритетите за УОС.</w:t>
      </w:r>
    </w:p>
    <w:p>
      <w:pPr>
        <w:pStyle w:val="Normal"/>
        <w:jc w:val="both"/>
        <w:rPr/>
      </w:pPr>
      <w:r>
        <w:rPr>
          <w:szCs w:val="24"/>
          <w:lang w:val="bg-BG"/>
        </w:rPr>
        <w:t>Комитетът по УОС изисква от персонала да споделя отговорността при осигуряване и постигане на планираните показатели за резултатност по отношение на УОС чрез активно проучване на промените, които възникват при изпълнение на конкр</w:t>
      </w:r>
      <w:r>
        <w:rPr>
          <w:szCs w:val="24"/>
        </w:rPr>
        <w:t>e</w:t>
      </w:r>
      <w:r>
        <w:rPr>
          <w:szCs w:val="24"/>
          <w:lang w:val="bg-BG"/>
        </w:rPr>
        <w:t>тната дейност на Организацията.</w:t>
      </w:r>
    </w:p>
    <w:p>
      <w:pPr>
        <w:pStyle w:val="Normal"/>
        <w:jc w:val="both"/>
        <w:rPr/>
      </w:pPr>
      <w:r>
        <w:rPr>
          <w:szCs w:val="24"/>
          <w:lang w:val="bg-BG"/>
        </w:rPr>
        <w:t>При промени, свързани с изискванията на нормативните документи, технологията на работа, повишеното ниво на инциденти през текущ период, промяната в показателите за резултатност и лимитите, които се контролират по отношение на УОС чрез Заповед на Управителя се осигурява необходимата информация за всички служители.</w:t>
      </w:r>
    </w:p>
    <w:p>
      <w:pPr>
        <w:pStyle w:val="Normal"/>
        <w:jc w:val="both"/>
        <w:rPr>
          <w:szCs w:val="24"/>
          <w:lang w:val="bg-BG"/>
        </w:rPr>
      </w:pPr>
      <w:r>
        <w:rPr>
          <w:szCs w:val="24"/>
          <w:lang w:val="bg-BG"/>
        </w:rPr>
        <w:t xml:space="preserve">Обмен на информация в Организацията става и под формата на вътрешни обучения, събеседвания и др., които се документират. Комитетът по УОС попълва </w:t>
      </w:r>
      <w:r>
        <w:rPr>
          <w:b/>
          <w:szCs w:val="24"/>
          <w:lang w:eastAsia="ar-SA"/>
        </w:rPr>
        <w:t xml:space="preserve">ФОС </w:t>
      </w:r>
      <w:r>
        <w:rPr>
          <w:b/>
          <w:szCs w:val="24"/>
          <w:lang w:val="bg-BG" w:eastAsia="ar-SA"/>
        </w:rPr>
        <w:t>05</w:t>
      </w:r>
      <w:r>
        <w:rPr>
          <w:b/>
          <w:szCs w:val="24"/>
          <w:lang w:eastAsia="ar-SA"/>
        </w:rPr>
        <w:t>-</w:t>
      </w:r>
      <w:r>
        <w:rPr>
          <w:b/>
          <w:szCs w:val="24"/>
          <w:lang w:val="bg-BG" w:eastAsia="ar-SA"/>
        </w:rPr>
        <w:t>3</w:t>
      </w:r>
      <w:r>
        <w:rPr>
          <w:szCs w:val="24"/>
          <w:lang w:val="bg-BG" w:eastAsia="ar-SA"/>
        </w:rPr>
        <w:t xml:space="preserve"> - </w:t>
      </w:r>
      <w:r>
        <w:rPr>
          <w:b/>
          <w:szCs w:val="24"/>
          <w:lang w:val="bg-BG"/>
        </w:rPr>
        <w:t>Дневник за извършени дейности от КУОС</w:t>
      </w:r>
      <w:r>
        <w:rPr>
          <w:szCs w:val="24"/>
          <w:lang w:val="bg-BG"/>
        </w:rPr>
        <w:t>, който се контролира от Управителя.</w:t>
      </w:r>
    </w:p>
    <w:p>
      <w:pPr>
        <w:pStyle w:val="Normal"/>
        <w:jc w:val="both"/>
        <w:rPr/>
      </w:pPr>
      <w:r>
        <w:rPr>
          <w:szCs w:val="24"/>
          <w:lang w:val="bg-BG"/>
        </w:rPr>
        <w:t xml:space="preserve">На заседания на Комитетът по УОС се води </w:t>
      </w:r>
      <w:r>
        <w:rPr>
          <w:b/>
          <w:szCs w:val="24"/>
          <w:lang w:val="bg-BG"/>
        </w:rPr>
        <w:t>Протокол</w:t>
      </w:r>
      <w:r>
        <w:rPr>
          <w:szCs w:val="24"/>
          <w:lang w:val="bg-BG"/>
        </w:rPr>
        <w:t>.</w:t>
      </w:r>
    </w:p>
    <w:p>
      <w:pPr>
        <w:pStyle w:val="BodyText"/>
        <w:spacing w:lineRule="auto" w:line="264" w:before="0" w:after="100"/>
        <w:rPr>
          <w:szCs w:val="24"/>
        </w:rPr>
      </w:pPr>
      <w:r>
        <w:rPr>
          <w:szCs w:val="24"/>
        </w:rPr>
        <w:t xml:space="preserve">В случаите, когато служител или работник установи възникнала опасност за значимо въздействие върху живота и здравето на служителите и върху околната среда, той прави писмено предложение (свободна форма) за оценка за аспекта за конкретната дейност, чиято основателност се разглежда на заседание на Комитета по УОС и се документира в </w:t>
      </w:r>
      <w:r>
        <w:rPr>
          <w:b/>
          <w:szCs w:val="24"/>
        </w:rPr>
        <w:t>Протокол</w:t>
      </w:r>
      <w:r>
        <w:rPr>
          <w:szCs w:val="24"/>
        </w:rPr>
        <w:t xml:space="preserve">. </w:t>
      </w:r>
    </w:p>
    <w:p>
      <w:pPr>
        <w:pStyle w:val="BodyText"/>
        <w:spacing w:lineRule="auto" w:line="264" w:before="0" w:after="100"/>
        <w:rPr>
          <w:szCs w:val="24"/>
        </w:rPr>
      </w:pPr>
      <w:r>
        <w:rPr>
          <w:szCs w:val="24"/>
        </w:rPr>
      </w:r>
    </w:p>
    <w:p>
      <w:pPr>
        <w:pStyle w:val="BodyText"/>
        <w:spacing w:lineRule="auto" w:line="264" w:before="0" w:after="100"/>
        <w:rPr>
          <w:szCs w:val="24"/>
        </w:rPr>
      </w:pPr>
      <w:r>
        <w:rPr>
          <w:szCs w:val="24"/>
        </w:rPr>
      </w:r>
    </w:p>
    <w:p>
      <w:pPr>
        <w:pStyle w:val="BodyText"/>
        <w:spacing w:lineRule="auto" w:line="264" w:before="0" w:after="100"/>
        <w:rPr>
          <w:szCs w:val="24"/>
        </w:rPr>
      </w:pPr>
      <w:r>
        <w:rPr>
          <w:szCs w:val="24"/>
        </w:rPr>
      </w:r>
    </w:p>
    <w:p>
      <w:pPr>
        <w:pStyle w:val="BodyText"/>
        <w:spacing w:lineRule="auto" w:line="264" w:before="0" w:after="100"/>
        <w:rPr>
          <w:szCs w:val="24"/>
        </w:rPr>
      </w:pPr>
      <w:r>
        <w:rPr>
          <w:szCs w:val="24"/>
        </w:rPr>
      </w:r>
    </w:p>
    <w:p>
      <w:pPr>
        <w:pStyle w:val="BodyText"/>
        <w:spacing w:lineRule="auto" w:line="264" w:before="0" w:after="100"/>
        <w:rPr>
          <w:szCs w:val="24"/>
        </w:rPr>
      </w:pPr>
      <w:r>
        <w:rPr>
          <w:szCs w:val="24"/>
        </w:rPr>
      </w:r>
    </w:p>
    <w:p>
      <w:pPr>
        <w:pStyle w:val="Normal"/>
        <w:rPr>
          <w:b/>
          <w:szCs w:val="24"/>
          <w:lang w:val="bg-BG"/>
        </w:rPr>
      </w:pPr>
      <w:r>
        <w:rPr>
          <w:b/>
          <w:szCs w:val="24"/>
          <w:lang w:val="bg-BG"/>
        </w:rPr>
        <w:t>Общо описание на процеса</w:t>
      </w:r>
    </w:p>
    <w:p>
      <w:pPr>
        <w:pStyle w:val="Normal"/>
        <w:rPr>
          <w:b/>
          <w:color w:val="FF0000"/>
          <w:szCs w:val="24"/>
          <w:lang w:val="bg-BG"/>
        </w:rPr>
      </w:pPr>
      <w:r>
        <w:rPr>
          <w:b/>
          <w:color w:val="FF0000"/>
          <w:szCs w:val="24"/>
          <w:lang w:val="bg-BG"/>
        </w:rPr>
      </w:r>
    </w:p>
    <w:p>
      <w:pPr>
        <w:pStyle w:val="Normal"/>
        <w:rPr>
          <w:b/>
          <w:color w:val="FF0000"/>
          <w:szCs w:val="24"/>
          <w:lang w:val="bg-BG" w:eastAsia="bg-BG"/>
        </w:rPr>
      </w:pPr>
      <w:r>
        <w:rPr>
          <w:b/>
          <w:color w:val="FF0000"/>
          <w:szCs w:val="24"/>
          <w:lang w:val="bg-BG" w:eastAsia="bg-BG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-158750</wp:posOffset>
                </wp:positionH>
                <wp:positionV relativeFrom="paragraph">
                  <wp:posOffset>7620</wp:posOffset>
                </wp:positionV>
                <wp:extent cx="1534795" cy="2597150"/>
                <wp:effectExtent l="0" t="0" r="0" b="0"/>
                <wp:wrapNone/>
                <wp:docPr id="1" name="Рамка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4795" cy="259715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ascii="Arial" w:hAnsi="Arial" w:cs="Arial"/>
                                <w:sz w:val="20"/>
                                <w:lang w:val="bg-BG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20"/>
                                <w:lang w:val="bg-BG"/>
                              </w:rPr>
                              <w:t>Политика и цели по УОС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Arial" w:hAnsi="Arial" w:cs="Arial"/>
                                <w:sz w:val="20"/>
                                <w:lang w:val="bg-BG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20"/>
                                <w:lang w:val="bg-BG"/>
                              </w:rPr>
                              <w:t>Осигуряване на ресурси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Arial" w:hAnsi="Arial" w:cs="Arial"/>
                                <w:sz w:val="20"/>
                                <w:lang w:val="bg-BG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20"/>
                                <w:lang w:val="bg-BG"/>
                              </w:rPr>
                              <w:t>Разпределяне на отговорности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Arial" w:hAnsi="Arial" w:cs="Arial"/>
                                <w:sz w:val="20"/>
                                <w:lang w:val="bg-BG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20"/>
                                <w:lang w:val="bg-BG"/>
                              </w:rPr>
                              <w:t xml:space="preserve">Одобряване на </w:t>
                            </w:r>
                            <w:r>
                              <w:rPr>
                                <w:rFonts w:cs="Arial" w:ascii="Arial" w:hAnsi="Arial"/>
                                <w:b/>
                                <w:sz w:val="20"/>
                                <w:lang w:val="ru-RU"/>
                              </w:rPr>
                              <w:t xml:space="preserve"> Програма за постигане на целите по УОС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Arial" w:hAnsi="Arial" w:cs="Arial"/>
                                <w:sz w:val="20"/>
                                <w:lang w:val="bg-BG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20"/>
                                <w:lang w:val="bg-BG"/>
                              </w:rPr>
                              <w:t xml:space="preserve">Решения за подобряване 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Arial" w:hAnsi="Arial" w:cs="Arial"/>
                                <w:sz w:val="20"/>
                                <w:lang w:val="bg-BG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20"/>
                                <w:lang w:val="bg-BG"/>
                              </w:rPr>
                              <w:t>Контрол върху ИСУ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Arial" w:hAnsi="Arial" w:cs="Arial"/>
                                <w:sz w:val="20"/>
                                <w:lang w:val="bg-BG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20"/>
                                <w:lang w:val="bg-BG"/>
                              </w:rPr>
                              <w:t>Отговаря пред ИА ГИТ и РИОСВ и др. органи за осигуряване на УОС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Arial" w:hAnsi="Arial" w:cs="Arial"/>
                                <w:b/>
                                <w:caps/>
                                <w:sz w:val="20"/>
                                <w:szCs w:val="24"/>
                                <w:lang w:val="bg-BG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caps/>
                                <w:sz w:val="20"/>
                                <w:szCs w:val="24"/>
                                <w:lang w:val="bg-BG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b/>
                                <w:caps/>
                                <w:szCs w:val="24"/>
                                <w:lang w:val="bg-BG"/>
                              </w:rPr>
                            </w:pPr>
                            <w:r>
                              <w:rPr>
                                <w:b/>
                                <w:caps/>
                                <w:szCs w:val="24"/>
                                <w:lang w:val="bg-B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20.85pt;height:204.5pt;mso-wrap-distance-left:9.05pt;mso-wrap-distance-right:9.05pt;mso-wrap-distance-top:0pt;mso-wrap-distance-bottom:0pt;margin-top:0.6pt;mso-position-vertical-relative:text;margin-left:-12.5pt;mso-position-horizontal-relative:text">
                <v:textbox>
                  <w:txbxContent>
                    <w:p>
                      <w:pPr>
                        <w:pStyle w:val="Normal"/>
                        <w:jc w:val="center"/>
                        <w:rPr>
                          <w:rFonts w:ascii="Arial" w:hAnsi="Arial" w:cs="Arial"/>
                          <w:sz w:val="20"/>
                          <w:lang w:val="bg-BG"/>
                        </w:rPr>
                      </w:pPr>
                      <w:r>
                        <w:rPr>
                          <w:rFonts w:cs="Arial" w:ascii="Arial" w:hAnsi="Arial"/>
                          <w:sz w:val="20"/>
                          <w:lang w:val="bg-BG"/>
                        </w:rPr>
                        <w:t>Политика и цели по УОС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Arial" w:hAnsi="Arial" w:cs="Arial"/>
                          <w:sz w:val="20"/>
                          <w:lang w:val="bg-BG"/>
                        </w:rPr>
                      </w:pPr>
                      <w:r>
                        <w:rPr>
                          <w:rFonts w:cs="Arial" w:ascii="Arial" w:hAnsi="Arial"/>
                          <w:sz w:val="20"/>
                          <w:lang w:val="bg-BG"/>
                        </w:rPr>
                        <w:t>Осигуряване на ресурси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Arial" w:hAnsi="Arial" w:cs="Arial"/>
                          <w:sz w:val="20"/>
                          <w:lang w:val="bg-BG"/>
                        </w:rPr>
                      </w:pPr>
                      <w:r>
                        <w:rPr>
                          <w:rFonts w:cs="Arial" w:ascii="Arial" w:hAnsi="Arial"/>
                          <w:sz w:val="20"/>
                          <w:lang w:val="bg-BG"/>
                        </w:rPr>
                        <w:t>Разпределяне на отговорности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Arial" w:hAnsi="Arial" w:cs="Arial"/>
                          <w:sz w:val="20"/>
                          <w:lang w:val="bg-BG"/>
                        </w:rPr>
                      </w:pPr>
                      <w:r>
                        <w:rPr>
                          <w:rFonts w:cs="Arial" w:ascii="Arial" w:hAnsi="Arial"/>
                          <w:sz w:val="20"/>
                          <w:lang w:val="bg-BG"/>
                        </w:rPr>
                        <w:t xml:space="preserve">Одобряване на </w:t>
                      </w:r>
                      <w:r>
                        <w:rPr>
                          <w:rFonts w:cs="Arial" w:ascii="Arial" w:hAnsi="Arial"/>
                          <w:b/>
                          <w:sz w:val="20"/>
                          <w:lang w:val="ru-RU"/>
                        </w:rPr>
                        <w:t xml:space="preserve"> Програма за постигане на целите по УОС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Arial" w:hAnsi="Arial" w:cs="Arial"/>
                          <w:sz w:val="20"/>
                          <w:lang w:val="bg-BG"/>
                        </w:rPr>
                      </w:pPr>
                      <w:r>
                        <w:rPr>
                          <w:rFonts w:cs="Arial" w:ascii="Arial" w:hAnsi="Arial"/>
                          <w:sz w:val="20"/>
                          <w:lang w:val="bg-BG"/>
                        </w:rPr>
                        <w:t xml:space="preserve">Решения за подобряване 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Arial" w:hAnsi="Arial" w:cs="Arial"/>
                          <w:sz w:val="20"/>
                          <w:lang w:val="bg-BG"/>
                        </w:rPr>
                      </w:pPr>
                      <w:r>
                        <w:rPr>
                          <w:rFonts w:cs="Arial" w:ascii="Arial" w:hAnsi="Arial"/>
                          <w:sz w:val="20"/>
                          <w:lang w:val="bg-BG"/>
                        </w:rPr>
                        <w:t>Контрол върху ИСУ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Arial" w:hAnsi="Arial" w:cs="Arial"/>
                          <w:sz w:val="20"/>
                          <w:lang w:val="bg-BG"/>
                        </w:rPr>
                      </w:pPr>
                      <w:r>
                        <w:rPr>
                          <w:rFonts w:cs="Arial" w:ascii="Arial" w:hAnsi="Arial"/>
                          <w:sz w:val="20"/>
                          <w:lang w:val="bg-BG"/>
                        </w:rPr>
                        <w:t>Отговаря пред ИА ГИТ и РИОСВ и др. органи за осигуряване на УОС</w:t>
                      </w:r>
                    </w:p>
                    <w:p>
                      <w:pPr>
                        <w:pStyle w:val="Normal"/>
                        <w:rPr>
                          <w:rFonts w:ascii="Arial" w:hAnsi="Arial" w:cs="Arial"/>
                          <w:b/>
                          <w:caps/>
                          <w:sz w:val="20"/>
                          <w:szCs w:val="24"/>
                          <w:lang w:val="bg-BG"/>
                        </w:rPr>
                      </w:pPr>
                      <w:r>
                        <w:rPr>
                          <w:rFonts w:cs="Arial" w:ascii="Arial" w:hAnsi="Arial"/>
                          <w:b/>
                          <w:caps/>
                          <w:sz w:val="20"/>
                          <w:szCs w:val="24"/>
                          <w:lang w:val="bg-BG"/>
                        </w:rPr>
                      </w:r>
                    </w:p>
                    <w:p>
                      <w:pPr>
                        <w:pStyle w:val="Normal"/>
                        <w:rPr>
                          <w:b/>
                          <w:caps/>
                          <w:szCs w:val="24"/>
                          <w:lang w:val="bg-BG"/>
                        </w:rPr>
                      </w:pPr>
                      <w:r>
                        <w:rPr>
                          <w:b/>
                          <w:caps/>
                          <w:szCs w:val="24"/>
                          <w:lang w:val="bg-B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3" behindDoc="0" locked="0" layoutInCell="1" allowOverlap="1">
                <wp:simplePos x="0" y="0"/>
                <wp:positionH relativeFrom="column">
                  <wp:posOffset>1699895</wp:posOffset>
                </wp:positionH>
                <wp:positionV relativeFrom="paragraph">
                  <wp:posOffset>36830</wp:posOffset>
                </wp:positionV>
                <wp:extent cx="2001520" cy="2567940"/>
                <wp:effectExtent l="0" t="0" r="0" b="0"/>
                <wp:wrapNone/>
                <wp:docPr id="2" name="Рамка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1520" cy="25679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ascii="Arial" w:hAnsi="Arial" w:cs="Arial"/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20"/>
                                <w:lang w:val="ru-RU"/>
                              </w:rPr>
                              <w:t>Организация на обучение по УОС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Arial" w:ascii="Arial" w:hAnsi="Arial"/>
                                <w:sz w:val="20"/>
                                <w:lang w:val="ru-RU"/>
                              </w:rPr>
                              <w:t>Разследване на инциденти и  злополуки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Arial" w:hAnsi="Arial" w:cs="Arial"/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20"/>
                                <w:lang w:val="ru-RU"/>
                              </w:rPr>
                              <w:t>Инспекции по обекти и раб. места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Arial" w:hAnsi="Arial" w:cs="Arial"/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20"/>
                                <w:lang w:val="ru-RU"/>
                              </w:rPr>
                              <w:t>Подготовка на инструкции за реагиране при извънредни ситуации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Arial" w:hAnsi="Arial" w:cs="Arial"/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20"/>
                                <w:lang w:val="ru-RU"/>
                              </w:rPr>
                              <w:t>Докладване на Преглед от Р-вото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Arial" w:ascii="Arial" w:hAnsi="Arial"/>
                                <w:sz w:val="20"/>
                                <w:lang w:val="ru-RU"/>
                              </w:rPr>
                              <w:t>Преглед на нормативните документи по УОС за актуалност и приложимост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Arial" w:hAnsi="Arial" w:cs="Arial"/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20"/>
                                <w:lang w:val="ru-RU"/>
                              </w:rPr>
                              <w:t>Предложения за коригиращи действия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Arial" w:hAnsi="Arial" w:cs="Arial"/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20"/>
                                <w:lang w:val="ru-RU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57.6pt;height:202.2pt;mso-wrap-distance-left:9.05pt;mso-wrap-distance-right:9.05pt;mso-wrap-distance-top:0pt;mso-wrap-distance-bottom:0pt;margin-top:2.9pt;mso-position-vertical-relative:text;margin-left:133.85pt;mso-position-horizontal-relative:text">
                <v:textbox>
                  <w:txbxContent>
                    <w:p>
                      <w:pPr>
                        <w:pStyle w:val="Normal"/>
                        <w:jc w:val="center"/>
                        <w:rPr>
                          <w:rFonts w:ascii="Arial" w:hAnsi="Arial" w:cs="Arial"/>
                          <w:sz w:val="20"/>
                          <w:lang w:val="ru-RU"/>
                        </w:rPr>
                      </w:pPr>
                      <w:r>
                        <w:rPr>
                          <w:rFonts w:cs="Arial" w:ascii="Arial" w:hAnsi="Arial"/>
                          <w:sz w:val="20"/>
                          <w:lang w:val="ru-RU"/>
                        </w:rPr>
                        <w:t>Организация на обучение по УОС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Arial" w:ascii="Arial" w:hAnsi="Arial"/>
                          <w:sz w:val="20"/>
                          <w:lang w:val="ru-RU"/>
                        </w:rPr>
                        <w:t>Разследване на инциденти и  злополуки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Arial" w:hAnsi="Arial" w:cs="Arial"/>
                          <w:sz w:val="20"/>
                          <w:lang w:val="ru-RU"/>
                        </w:rPr>
                      </w:pPr>
                      <w:r>
                        <w:rPr>
                          <w:rFonts w:cs="Arial" w:ascii="Arial" w:hAnsi="Arial"/>
                          <w:sz w:val="20"/>
                          <w:lang w:val="ru-RU"/>
                        </w:rPr>
                        <w:t>Инспекции по обекти и раб. места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Arial" w:hAnsi="Arial" w:cs="Arial"/>
                          <w:sz w:val="20"/>
                          <w:lang w:val="ru-RU"/>
                        </w:rPr>
                      </w:pPr>
                      <w:r>
                        <w:rPr>
                          <w:rFonts w:cs="Arial" w:ascii="Arial" w:hAnsi="Arial"/>
                          <w:sz w:val="20"/>
                          <w:lang w:val="ru-RU"/>
                        </w:rPr>
                        <w:t>Подготовка на инструкции за реагиране при извънредни ситуации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Arial" w:hAnsi="Arial" w:cs="Arial"/>
                          <w:sz w:val="20"/>
                          <w:lang w:val="ru-RU"/>
                        </w:rPr>
                      </w:pPr>
                      <w:r>
                        <w:rPr>
                          <w:rFonts w:cs="Arial" w:ascii="Arial" w:hAnsi="Arial"/>
                          <w:sz w:val="20"/>
                          <w:lang w:val="ru-RU"/>
                        </w:rPr>
                        <w:t>Докладване на Преглед от Р-вото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Arial" w:ascii="Arial" w:hAnsi="Arial"/>
                          <w:sz w:val="20"/>
                          <w:lang w:val="ru-RU"/>
                        </w:rPr>
                        <w:t>Преглед на нормативните документи по УОС за актуалност и приложимост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Arial" w:hAnsi="Arial" w:cs="Arial"/>
                          <w:sz w:val="20"/>
                          <w:lang w:val="ru-RU"/>
                        </w:rPr>
                      </w:pPr>
                      <w:r>
                        <w:rPr>
                          <w:rFonts w:cs="Arial" w:ascii="Arial" w:hAnsi="Arial"/>
                          <w:sz w:val="20"/>
                          <w:lang w:val="ru-RU"/>
                        </w:rPr>
                        <w:t>Предложения за коригиращи действия</w:t>
                      </w:r>
                    </w:p>
                    <w:p>
                      <w:pPr>
                        <w:pStyle w:val="Normal"/>
                        <w:rPr>
                          <w:rFonts w:ascii="Arial" w:hAnsi="Arial" w:cs="Arial"/>
                          <w:sz w:val="20"/>
                          <w:lang w:val="ru-RU"/>
                        </w:rPr>
                      </w:pPr>
                      <w:r>
                        <w:rPr>
                          <w:rFonts w:cs="Arial" w:ascii="Arial" w:hAnsi="Arial"/>
                          <w:sz w:val="20"/>
                          <w:lang w:val="ru-RU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b/>
          <w:color w:val="FF0000"/>
          <w:szCs w:val="24"/>
          <w:lang w:val="bg-BG"/>
        </w:rPr>
      </w:pPr>
      <w:r>
        <w:rPr>
          <w:b/>
          <w:color w:val="FF0000"/>
          <w:szCs w:val="24"/>
          <w:lang w:val="bg-BG"/>
        </w:rPr>
      </w:r>
    </w:p>
    <w:p>
      <w:pPr>
        <w:pStyle w:val="Normal"/>
        <w:rPr>
          <w:b/>
          <w:color w:val="FF0000"/>
          <w:szCs w:val="24"/>
          <w:lang w:val="bg-BG"/>
        </w:rPr>
      </w:pPr>
      <w:r>
        <w:rPr>
          <w:b/>
          <w:color w:val="FF0000"/>
          <w:szCs w:val="24"/>
          <w:lang w:val="bg-BG"/>
        </w:rPr>
      </w:r>
    </w:p>
    <w:p>
      <w:pPr>
        <w:pStyle w:val="Normal"/>
        <w:rPr>
          <w:b/>
          <w:color w:val="FF0000"/>
          <w:szCs w:val="24"/>
          <w:lang w:val="bg-BG"/>
        </w:rPr>
      </w:pPr>
      <w:r>
        <w:rPr>
          <w:b/>
          <w:color w:val="FF0000"/>
          <w:szCs w:val="24"/>
          <w:lang w:val="bg-BG"/>
        </w:rPr>
      </w:r>
    </w:p>
    <w:p>
      <w:pPr>
        <w:pStyle w:val="Normal"/>
        <w:rPr>
          <w:b/>
          <w:color w:val="FF0000"/>
          <w:szCs w:val="24"/>
          <w:lang w:val="bg-BG"/>
        </w:rPr>
      </w:pPr>
      <w:r>
        <w:rPr>
          <w:b/>
          <w:color w:val="FF0000"/>
          <w:szCs w:val="24"/>
          <w:lang w:val="bg-BG"/>
        </w:rPr>
      </w:r>
    </w:p>
    <w:p>
      <w:pPr>
        <w:pStyle w:val="Normal"/>
        <w:rPr>
          <w:b/>
          <w:color w:val="FF0000"/>
          <w:szCs w:val="24"/>
          <w:lang w:val="bg-BG" w:eastAsia="bg-BG"/>
        </w:rPr>
      </w:pPr>
      <w:r>
        <w:rPr>
          <w:b/>
          <w:color w:val="FF0000"/>
          <w:szCs w:val="24"/>
          <w:lang w:val="bg-BG" w:eastAsia="bg-BG"/>
        </w:rPr>
        <mc:AlternateContent>
          <mc:Choice Requires="wps">
            <w:drawing>
              <wp:anchor distT="0" distB="0" distL="114935" distR="114935" simplePos="0" relativeHeight="6" behindDoc="0" locked="0" layoutInCell="1" allowOverlap="1">
                <wp:simplePos x="0" y="0"/>
                <wp:positionH relativeFrom="column">
                  <wp:posOffset>1323340</wp:posOffset>
                </wp:positionH>
                <wp:positionV relativeFrom="paragraph">
                  <wp:posOffset>162560</wp:posOffset>
                </wp:positionV>
                <wp:extent cx="381000" cy="0"/>
                <wp:effectExtent l="0" t="38100" r="0" b="38100"/>
                <wp:wrapNone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8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headEnd len="med" type="triangle" w="med"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4.2pt,12.8pt" to="134.15pt,12.8pt" stroked="t" o:allowincell="f" style="position:absolute">
                <v:stroke color="black" weight="9360" startarrow="block" endarrow="block" startarrowwidth="medium" startarrowlength="medium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7" behindDoc="0" locked="0" layoutInCell="1" allowOverlap="1">
                <wp:simplePos x="0" y="0"/>
                <wp:positionH relativeFrom="column">
                  <wp:posOffset>3696970</wp:posOffset>
                </wp:positionH>
                <wp:positionV relativeFrom="paragraph">
                  <wp:posOffset>114300</wp:posOffset>
                </wp:positionV>
                <wp:extent cx="1055370" cy="0"/>
                <wp:effectExtent l="0" t="38100" r="0" b="38100"/>
                <wp:wrapNone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55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headEnd len="med" type="triangle" w="med"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1.1pt,9pt" to="374.15pt,9pt" stroked="t" o:allowincell="f" style="position:absolute">
                <v:stroke color="black" weight="9360" startarrow="block" endarrow="block" startarrowwidth="medium" startarrowlength="medium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8" behindDoc="0" locked="0" layoutInCell="1" allowOverlap="1">
                <wp:simplePos x="0" y="0"/>
                <wp:positionH relativeFrom="column">
                  <wp:posOffset>4752340</wp:posOffset>
                </wp:positionH>
                <wp:positionV relativeFrom="paragraph">
                  <wp:posOffset>114300</wp:posOffset>
                </wp:positionV>
                <wp:extent cx="0" cy="167640"/>
                <wp:effectExtent l="38100" t="0" r="38100" b="0"/>
                <wp:wrapNone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6776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headEnd len="med" type="triangle" w="med"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4.2pt,9pt" to="374.2pt,22.15pt" stroked="t" o:allowincell="f" style="position:absolute">
                <v:stroke color="black" weight="9360" startarrow="block" endarrow="block" startarrowwidth="medium" startarrowlength="medium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rPr>
          <w:b/>
          <w:color w:val="FF0000"/>
          <w:szCs w:val="24"/>
          <w:lang w:val="bg-BG" w:eastAsia="bg-BG"/>
        </w:rPr>
      </w:pPr>
      <w:r>
        <w:rPr>
          <w:b/>
          <w:color w:val="FF0000"/>
          <w:szCs w:val="24"/>
          <w:lang w:val="bg-BG" w:eastAsia="bg-BG"/>
        </w:rPr>
      </w:r>
      <w:r>
        <mc:AlternateContent>
          <mc:Choice Requires="wps">
            <w:drawing>
              <wp:anchor distT="0" distB="0" distL="114935" distR="114935" simplePos="0" relativeHeight="4" behindDoc="0" locked="0" layoutInCell="1" allowOverlap="1">
                <wp:simplePos x="0" y="0"/>
                <wp:positionH relativeFrom="column">
                  <wp:posOffset>3862070</wp:posOffset>
                </wp:positionH>
                <wp:positionV relativeFrom="paragraph">
                  <wp:posOffset>97790</wp:posOffset>
                </wp:positionV>
                <wp:extent cx="1931670" cy="1724660"/>
                <wp:effectExtent l="0" t="0" r="0" b="0"/>
                <wp:wrapNone/>
                <wp:docPr id="6" name="Рамка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1670" cy="172466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ascii="Arial" w:hAnsi="Arial" w:cs="Arial"/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20"/>
                                <w:lang w:val="ru-RU"/>
                              </w:rPr>
                              <w:t>Грижа за УОС,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Arial" w:hAnsi="Arial" w:cs="Arial"/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20"/>
                                <w:lang w:val="ru-RU"/>
                              </w:rPr>
                              <w:t>Спазване на норм. изисквания, вътрешни инструкции и процедури по УОС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Arial" w:hAnsi="Arial" w:cs="Arial"/>
                                <w:sz w:val="20"/>
                                <w:lang w:val="bg-BG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20"/>
                                <w:lang w:val="ru-RU"/>
                              </w:rPr>
                              <w:t xml:space="preserve">Докладване на инциденти и </w:t>
                            </w:r>
                            <w:r>
                              <w:rPr>
                                <w:rFonts w:cs="Arial" w:ascii="Arial" w:hAnsi="Arial"/>
                                <w:sz w:val="20"/>
                                <w:lang w:val="bg-BG"/>
                              </w:rPr>
                              <w:t>аварии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Arial" w:hAnsi="Arial" w:cs="Arial"/>
                                <w:sz w:val="20"/>
                                <w:lang w:val="bg-BG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20"/>
                                <w:lang w:val="ru-RU"/>
                              </w:rPr>
                              <w:t xml:space="preserve">Предложения за намаляване риска 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20"/>
                              </w:rPr>
                              <w:t>Участие в тренировъчни обучения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52.1pt;height:135.8pt;mso-wrap-distance-left:9.05pt;mso-wrap-distance-right:9.05pt;mso-wrap-distance-top:0pt;mso-wrap-distance-bottom:0pt;margin-top:7.7pt;mso-position-vertical-relative:text;margin-left:304.1pt;mso-position-horizontal-relative:text">
                <v:textbox>
                  <w:txbxContent>
                    <w:p>
                      <w:pPr>
                        <w:pStyle w:val="Normal"/>
                        <w:jc w:val="center"/>
                        <w:rPr>
                          <w:rFonts w:ascii="Arial" w:hAnsi="Arial" w:cs="Arial"/>
                          <w:sz w:val="20"/>
                          <w:lang w:val="ru-RU"/>
                        </w:rPr>
                      </w:pPr>
                      <w:r>
                        <w:rPr>
                          <w:rFonts w:cs="Arial" w:ascii="Arial" w:hAnsi="Arial"/>
                          <w:sz w:val="20"/>
                          <w:lang w:val="ru-RU"/>
                        </w:rPr>
                        <w:t>Грижа за УОС,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Arial" w:hAnsi="Arial" w:cs="Arial"/>
                          <w:sz w:val="20"/>
                          <w:lang w:val="ru-RU"/>
                        </w:rPr>
                      </w:pPr>
                      <w:r>
                        <w:rPr>
                          <w:rFonts w:cs="Arial" w:ascii="Arial" w:hAnsi="Arial"/>
                          <w:sz w:val="20"/>
                          <w:lang w:val="ru-RU"/>
                        </w:rPr>
                        <w:t>Спазване на норм. изисквания, вътрешни инструкции и процедури по УОС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Arial" w:hAnsi="Arial" w:cs="Arial"/>
                          <w:sz w:val="20"/>
                          <w:lang w:val="bg-BG"/>
                        </w:rPr>
                      </w:pPr>
                      <w:r>
                        <w:rPr>
                          <w:rFonts w:cs="Arial" w:ascii="Arial" w:hAnsi="Arial"/>
                          <w:sz w:val="20"/>
                          <w:lang w:val="ru-RU"/>
                        </w:rPr>
                        <w:t xml:space="preserve">Докладване на инциденти и </w:t>
                      </w:r>
                      <w:r>
                        <w:rPr>
                          <w:rFonts w:cs="Arial" w:ascii="Arial" w:hAnsi="Arial"/>
                          <w:sz w:val="20"/>
                          <w:lang w:val="bg-BG"/>
                        </w:rPr>
                        <w:t>аварии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Arial" w:hAnsi="Arial" w:cs="Arial"/>
                          <w:sz w:val="20"/>
                          <w:lang w:val="bg-BG"/>
                        </w:rPr>
                      </w:pPr>
                      <w:r>
                        <w:rPr>
                          <w:rFonts w:cs="Arial" w:ascii="Arial" w:hAnsi="Arial"/>
                          <w:sz w:val="20"/>
                          <w:lang w:val="ru-RU"/>
                        </w:rPr>
                        <w:t xml:space="preserve">Предложения за намаляване риска 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Arial" w:hAnsi="Arial" w:cs="Arial"/>
                          <w:sz w:val="20"/>
                        </w:rPr>
                      </w:pPr>
                      <w:r>
                        <w:rPr>
                          <w:rFonts w:cs="Arial" w:ascii="Arial" w:hAnsi="Arial"/>
                          <w:sz w:val="20"/>
                        </w:rPr>
                        <w:t>Участие в тренировъчни обучения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b/>
          <w:color w:val="FF0000"/>
          <w:szCs w:val="24"/>
          <w:lang w:val="bg-BG"/>
        </w:rPr>
      </w:pPr>
      <w:r>
        <w:rPr>
          <w:b/>
          <w:color w:val="FF0000"/>
          <w:szCs w:val="24"/>
          <w:lang w:val="bg-BG"/>
        </w:rPr>
      </w:r>
    </w:p>
    <w:p>
      <w:pPr>
        <w:pStyle w:val="Normal"/>
        <w:rPr>
          <w:b/>
          <w:color w:val="FF0000"/>
          <w:szCs w:val="24"/>
          <w:lang w:val="bg-BG"/>
        </w:rPr>
      </w:pPr>
      <w:r>
        <w:rPr>
          <w:b/>
          <w:color w:val="FF0000"/>
          <w:szCs w:val="24"/>
          <w:lang w:val="bg-BG"/>
        </w:rPr>
      </w:r>
    </w:p>
    <w:p>
      <w:pPr>
        <w:pStyle w:val="Normal"/>
        <w:rPr>
          <w:b/>
          <w:color w:val="FF0000"/>
          <w:szCs w:val="24"/>
          <w:lang w:val="bg-BG"/>
        </w:rPr>
      </w:pPr>
      <w:r>
        <w:rPr>
          <w:b/>
          <w:color w:val="FF0000"/>
          <w:szCs w:val="24"/>
          <w:lang w:val="bg-BG"/>
        </w:rPr>
      </w:r>
    </w:p>
    <w:p>
      <w:pPr>
        <w:pStyle w:val="Normal"/>
        <w:rPr>
          <w:b/>
          <w:color w:val="FF0000"/>
          <w:szCs w:val="24"/>
          <w:lang w:val="bg-BG"/>
        </w:rPr>
      </w:pPr>
      <w:r>
        <w:rPr>
          <w:b/>
          <w:color w:val="FF0000"/>
          <w:szCs w:val="24"/>
          <w:lang w:val="bg-BG"/>
        </w:rPr>
      </w:r>
    </w:p>
    <w:p>
      <w:pPr>
        <w:pStyle w:val="Normal"/>
        <w:rPr>
          <w:b/>
          <w:color w:val="FF0000"/>
          <w:szCs w:val="24"/>
          <w:lang w:val="bg-BG"/>
        </w:rPr>
      </w:pPr>
      <w:r>
        <w:rPr>
          <w:b/>
          <w:color w:val="FF0000"/>
          <w:szCs w:val="24"/>
          <w:lang w:val="bg-BG"/>
        </w:rPr>
      </w:r>
    </w:p>
    <w:p>
      <w:pPr>
        <w:pStyle w:val="Normal"/>
        <w:rPr>
          <w:b/>
          <w:color w:val="FF0000"/>
          <w:szCs w:val="24"/>
          <w:lang w:val="bg-BG"/>
        </w:rPr>
      </w:pPr>
      <w:r>
        <w:rPr>
          <w:b/>
          <w:color w:val="FF0000"/>
          <w:szCs w:val="24"/>
          <w:lang w:val="bg-BG"/>
        </w:rPr>
      </w:r>
    </w:p>
    <w:p>
      <w:pPr>
        <w:pStyle w:val="Normal"/>
        <w:rPr>
          <w:b/>
          <w:color w:val="FF0000"/>
          <w:szCs w:val="24"/>
          <w:lang w:val="bg-BG"/>
        </w:rPr>
      </w:pPr>
      <w:r>
        <w:rPr>
          <w:b/>
          <w:color w:val="FF0000"/>
          <w:szCs w:val="24"/>
          <w:lang w:val="bg-BG"/>
        </w:rPr>
      </w:r>
    </w:p>
    <w:p>
      <w:pPr>
        <w:pStyle w:val="Normal"/>
        <w:rPr>
          <w:b/>
          <w:color w:val="FF0000"/>
          <w:szCs w:val="24"/>
          <w:lang w:val="bg-BG"/>
        </w:rPr>
      </w:pPr>
      <w:r>
        <w:rPr>
          <w:b/>
          <w:color w:val="FF0000"/>
          <w:szCs w:val="24"/>
          <w:lang w:val="bg-BG"/>
        </w:rPr>
      </w:r>
    </w:p>
    <w:p>
      <w:pPr>
        <w:pStyle w:val="Normal"/>
        <w:rPr>
          <w:b/>
          <w:color w:val="FF0000"/>
          <w:szCs w:val="24"/>
          <w:lang w:val="bg-BG"/>
        </w:rPr>
      </w:pPr>
      <w:r>
        <w:rPr>
          <w:b/>
          <w:color w:val="FF0000"/>
          <w:szCs w:val="24"/>
          <w:lang w:val="bg-BG"/>
        </w:rPr>
      </w:r>
    </w:p>
    <w:p>
      <w:pPr>
        <w:pStyle w:val="Normal"/>
        <w:rPr>
          <w:b/>
          <w:color w:val="FF0000"/>
          <w:szCs w:val="24"/>
          <w:lang w:val="bg-BG" w:eastAsia="bg-BG"/>
        </w:rPr>
      </w:pPr>
      <w:r>
        <w:rPr>
          <w:b/>
          <w:color w:val="FF0000"/>
          <w:szCs w:val="24"/>
          <w:lang w:val="bg-BG" w:eastAsia="bg-BG"/>
        </w:rPr>
        <mc:AlternateContent>
          <mc:Choice Requires="wps">
            <w:drawing>
              <wp:anchor distT="0" distB="0" distL="114935" distR="114935" simplePos="0" relativeHeight="9" behindDoc="0" locked="0" layoutInCell="1" allowOverlap="1">
                <wp:simplePos x="0" y="0"/>
                <wp:positionH relativeFrom="column">
                  <wp:posOffset>4805045</wp:posOffset>
                </wp:positionH>
                <wp:positionV relativeFrom="paragraph">
                  <wp:posOffset>65405</wp:posOffset>
                </wp:positionV>
                <wp:extent cx="0" cy="269875"/>
                <wp:effectExtent l="38100" t="0" r="38100" b="0"/>
                <wp:wrapNone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700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8.35pt,5.15pt" to="378.35pt,26.35pt" stroked="t" o:allowincell="f" style="position:absolute;flip:y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rPr>
          <w:b/>
          <w:color w:val="FF0000"/>
          <w:szCs w:val="24"/>
          <w:lang w:val="bg-BG" w:eastAsia="bg-BG"/>
        </w:rPr>
      </w:pPr>
      <w:r>
        <w:rPr>
          <w:b/>
          <w:color w:val="FF0000"/>
          <w:szCs w:val="24"/>
          <w:lang w:val="bg-BG" w:eastAsia="bg-BG"/>
        </w:rPr>
      </w:r>
      <w:r>
        <mc:AlternateContent>
          <mc:Choice Requires="wps">
            <w:drawing>
              <wp:anchor distT="0" distB="0" distL="114935" distR="114935" simplePos="0" relativeHeight="5" behindDoc="0" locked="0" layoutInCell="1" allowOverlap="1">
                <wp:simplePos x="0" y="0"/>
                <wp:positionH relativeFrom="column">
                  <wp:posOffset>3862070</wp:posOffset>
                </wp:positionH>
                <wp:positionV relativeFrom="paragraph">
                  <wp:posOffset>156210</wp:posOffset>
                </wp:positionV>
                <wp:extent cx="1896745" cy="312420"/>
                <wp:effectExtent l="0" t="0" r="0" b="0"/>
                <wp:wrapNone/>
                <wp:docPr id="8" name="Рамка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6745" cy="31242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sz w:val="20"/>
                              </w:rPr>
                              <w:t>Служители на фирмата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49.35pt;height:24.6pt;mso-wrap-distance-left:9.05pt;mso-wrap-distance-right:9.05pt;mso-wrap-distance-top:0pt;mso-wrap-distance-bottom:0pt;margin-top:12.3pt;mso-position-vertical-relative:text;margin-left:304.1pt;mso-position-horizontal-relative:text">
                <v:textbox>
                  <w:txbxContent>
                    <w:p>
                      <w:pPr>
                        <w:pStyle w:val="Normal"/>
                        <w:jc w:val="center"/>
                        <w:rPr>
                          <w:rFonts w:ascii="Arial" w:hAnsi="Arial" w:cs="Arial"/>
                          <w:b/>
                          <w:sz w:val="20"/>
                        </w:rPr>
                      </w:pPr>
                      <w:r>
                        <w:rPr>
                          <w:rFonts w:cs="Arial" w:ascii="Arial" w:hAnsi="Arial"/>
                          <w:b/>
                          <w:sz w:val="20"/>
                        </w:rPr>
                        <w:t>Служители на фирмата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b/>
          <w:color w:val="FF0000"/>
          <w:szCs w:val="24"/>
          <w:lang w:val="bg-BG"/>
        </w:rPr>
      </w:pPr>
      <w:r>
        <w:rPr>
          <w:b/>
          <w:color w:val="FF0000"/>
          <w:szCs w:val="24"/>
          <w:lang w:val="bg-BG"/>
        </w:rPr>
      </w:r>
    </w:p>
    <w:p>
      <w:pPr>
        <w:pStyle w:val="Normal"/>
        <w:rPr>
          <w:b/>
          <w:color w:val="FF0000"/>
          <w:szCs w:val="24"/>
          <w:lang w:val="bg-BG"/>
        </w:rPr>
      </w:pPr>
      <w:r>
        <w:rPr>
          <w:b/>
          <w:color w:val="FF0000"/>
          <w:szCs w:val="24"/>
          <w:lang w:val="bg-BG"/>
        </w:rPr>
      </w:r>
    </w:p>
    <w:p>
      <w:pPr>
        <w:pStyle w:val="Normal"/>
        <w:rPr>
          <w:b/>
          <w:szCs w:val="24"/>
          <w:lang w:val="bg-BG"/>
        </w:rPr>
      </w:pPr>
      <w:r>
        <w:rPr>
          <w:b/>
          <w:szCs w:val="24"/>
          <w:lang w:val="bg-BG"/>
        </w:rPr>
      </w:r>
    </w:p>
    <w:p>
      <w:pPr>
        <w:pStyle w:val="Normal"/>
        <w:rPr>
          <w:b/>
          <w:szCs w:val="24"/>
          <w:lang w:val="bg-BG"/>
        </w:rPr>
      </w:pPr>
      <w:r>
        <w:rPr>
          <w:b/>
          <w:szCs w:val="24"/>
          <w:lang w:val="bg-BG"/>
        </w:rPr>
      </w:r>
    </w:p>
    <w:p>
      <w:pPr>
        <w:pStyle w:val="Normal"/>
        <w:jc w:val="both"/>
        <w:rPr>
          <w:b/>
          <w:szCs w:val="24"/>
          <w:lang w:val="bg-BG"/>
        </w:rPr>
      </w:pPr>
      <w:r>
        <w:rPr>
          <w:b/>
          <w:szCs w:val="24"/>
          <w:lang w:val="bg-BG"/>
        </w:rPr>
        <w:t>4.4. Оценка на ефективността на процесите за обмен на информация, участие и консултация и предприемане на мерки за подобряване</w:t>
      </w:r>
    </w:p>
    <w:p>
      <w:pPr>
        <w:pStyle w:val="Normal"/>
        <w:jc w:val="both"/>
        <w:rPr/>
      </w:pPr>
      <w:r>
        <w:rPr>
          <w:szCs w:val="24"/>
          <w:lang w:val="bg-BG"/>
        </w:rPr>
        <w:t>Ежегодна оценка за ефективност на обмена на информация по отношение на УОС в Организацията се извършва на Преглед от Ръководството, където се планират и мерки за подобряване на системата под формата на коригиращи и превантивни действия.</w:t>
      </w:r>
    </w:p>
    <w:p>
      <w:pPr>
        <w:pStyle w:val="Normal"/>
        <w:jc w:val="both"/>
        <w:rPr>
          <w:szCs w:val="24"/>
          <w:lang w:val="bg-BG"/>
        </w:rPr>
      </w:pPr>
      <w:r>
        <w:rPr>
          <w:szCs w:val="24"/>
          <w:lang w:val="bg-BG"/>
        </w:rPr>
        <w:t>Контрол върху изпълнението й упражнява Управителя.</w:t>
      </w:r>
    </w:p>
    <w:p>
      <w:pPr>
        <w:pStyle w:val="Normal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jc w:val="both"/>
        <w:rPr/>
      </w:pPr>
      <w:r>
        <w:rPr>
          <w:b/>
          <w:szCs w:val="24"/>
          <w:lang w:val="bg-BG"/>
        </w:rPr>
        <w:t>5. ПРИЛОЖЕНИЯ</w:t>
      </w:r>
    </w:p>
    <w:p>
      <w:pPr>
        <w:pStyle w:val="Normal"/>
        <w:rPr>
          <w:b/>
          <w:color w:val="FF0000"/>
          <w:szCs w:val="24"/>
          <w:lang w:val="bg-BG"/>
        </w:rPr>
      </w:pPr>
      <w:r>
        <w:rPr>
          <w:b/>
          <w:szCs w:val="24"/>
        </w:rPr>
        <w:t xml:space="preserve">ФОС </w:t>
      </w:r>
      <w:r>
        <w:rPr>
          <w:b/>
          <w:szCs w:val="24"/>
          <w:lang w:val="bg-BG"/>
        </w:rPr>
        <w:t>05</w:t>
      </w:r>
      <w:r>
        <w:rPr>
          <w:b/>
          <w:szCs w:val="24"/>
        </w:rPr>
        <w:t>-</w:t>
      </w:r>
      <w:r>
        <w:rPr>
          <w:b/>
          <w:szCs w:val="24"/>
          <w:lang w:val="bg-BG"/>
        </w:rPr>
        <w:t xml:space="preserve">1 - </w:t>
      </w:r>
      <w:r>
        <w:rPr>
          <w:b/>
          <w:szCs w:val="24"/>
          <w:lang w:val="ru-RU"/>
        </w:rPr>
        <w:t xml:space="preserve">Списък на </w:t>
      </w:r>
      <w:r>
        <w:rPr>
          <w:b/>
          <w:szCs w:val="24"/>
          <w:lang w:val="bg-BG"/>
        </w:rPr>
        <w:t xml:space="preserve">представителите на </w:t>
      </w:r>
      <w:r>
        <w:rPr>
          <w:b/>
          <w:szCs w:val="24"/>
          <w:lang w:val="ru-RU"/>
        </w:rPr>
        <w:t xml:space="preserve">заинтересованите страни </w:t>
      </w:r>
    </w:p>
    <w:p>
      <w:pPr>
        <w:pStyle w:val="Normal"/>
        <w:rPr>
          <w:b/>
          <w:color w:val="FF0000"/>
          <w:szCs w:val="24"/>
          <w:lang w:val="bg-BG"/>
        </w:rPr>
      </w:pPr>
      <w:r>
        <w:rPr>
          <w:b/>
          <w:szCs w:val="24"/>
        </w:rPr>
        <w:t xml:space="preserve">ФОС </w:t>
      </w:r>
      <w:r>
        <w:rPr>
          <w:b/>
          <w:szCs w:val="24"/>
          <w:lang w:val="bg-BG"/>
        </w:rPr>
        <w:t>05</w:t>
      </w:r>
      <w:r>
        <w:rPr>
          <w:b/>
          <w:szCs w:val="24"/>
        </w:rPr>
        <w:t>-</w:t>
      </w:r>
      <w:r>
        <w:rPr>
          <w:b/>
          <w:szCs w:val="24"/>
          <w:lang w:val="bg-BG"/>
        </w:rPr>
        <w:t xml:space="preserve">2 - </w:t>
      </w:r>
      <w:r>
        <w:rPr>
          <w:b/>
          <w:szCs w:val="24"/>
          <w:lang w:val="ru-RU"/>
        </w:rPr>
        <w:t xml:space="preserve">Формуляр за анкетиране на персонала </w:t>
      </w:r>
    </w:p>
    <w:p>
      <w:pPr>
        <w:pStyle w:val="Normal"/>
        <w:rPr>
          <w:b/>
          <w:szCs w:val="24"/>
          <w:lang w:val="bg-BG"/>
        </w:rPr>
      </w:pPr>
      <w:r>
        <w:rPr>
          <w:b/>
          <w:szCs w:val="24"/>
        </w:rPr>
        <w:t xml:space="preserve">ФОС </w:t>
      </w:r>
      <w:r>
        <w:rPr>
          <w:b/>
          <w:szCs w:val="24"/>
          <w:lang w:val="bg-BG"/>
        </w:rPr>
        <w:t>05</w:t>
      </w:r>
      <w:r>
        <w:rPr>
          <w:b/>
          <w:szCs w:val="24"/>
        </w:rPr>
        <w:t>-</w:t>
      </w:r>
      <w:r>
        <w:rPr>
          <w:b/>
          <w:szCs w:val="24"/>
          <w:lang w:val="bg-BG"/>
        </w:rPr>
        <w:t>3 - Дневник за извършени дейности от КУОС</w:t>
      </w:r>
    </w:p>
    <w:p>
      <w:pPr>
        <w:pStyle w:val="Normal"/>
        <w:rPr>
          <w:b/>
          <w:szCs w:val="24"/>
          <w:lang w:val="bg-BG"/>
        </w:rPr>
      </w:pPr>
      <w:r>
        <w:rPr>
          <w:b/>
          <w:szCs w:val="24"/>
          <w:lang w:val="bg-BG"/>
        </w:rPr>
      </w:r>
    </w:p>
    <w:p>
      <w:pPr>
        <w:pStyle w:val="Normal"/>
        <w:rPr>
          <w:b/>
          <w:color w:val="FF0000"/>
          <w:szCs w:val="24"/>
          <w:lang w:val="bg-BG"/>
        </w:rPr>
      </w:pPr>
      <w:r>
        <w:rPr>
          <w:b/>
          <w:color w:val="FF0000"/>
          <w:szCs w:val="24"/>
          <w:lang w:val="bg-BG"/>
        </w:rPr>
      </w:r>
    </w:p>
    <w:p>
      <w:pPr>
        <w:pStyle w:val="BodyText"/>
        <w:jc w:val="center"/>
        <w:rPr>
          <w:b/>
          <w:color w:val="FF0000"/>
          <w:szCs w:val="24"/>
          <w:lang w:val="bg-BG"/>
        </w:rPr>
      </w:pPr>
      <w:r>
        <w:rPr>
          <w:b/>
          <w:color w:val="FF0000"/>
          <w:szCs w:val="24"/>
          <w:lang w:val="bg-BG"/>
        </w:rPr>
      </w:r>
    </w:p>
    <w:p>
      <w:pPr>
        <w:pStyle w:val="BodyText"/>
        <w:jc w:val="center"/>
        <w:rPr>
          <w:b/>
          <w:szCs w:val="24"/>
        </w:rPr>
      </w:pPr>
      <w:r>
        <w:rPr>
          <w:b/>
          <w:szCs w:val="24"/>
        </w:rPr>
        <w:t>ИЗПОЛЗВАНИ УСЛОВНИ ОЗНАЧЕНИЯ</w:t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44"/>
        <w:gridCol w:w="5184"/>
      </w:tblGrid>
      <w:tr>
        <w:trPr/>
        <w:tc>
          <w:tcPr>
            <w:tcW w:w="4644" w:type="dxa"/>
            <w:tcBorders/>
          </w:tcPr>
          <w:p>
            <w:pPr>
              <w:pStyle w:val="BodyText"/>
              <w:rPr>
                <w:b/>
                <w:szCs w:val="24"/>
              </w:rPr>
            </w:pPr>
            <w:r>
              <w:rPr>
                <w:b/>
                <w:szCs w:val="24"/>
              </w:rPr>
              <w:t>ПОС</w:t>
            </w:r>
          </w:p>
        </w:tc>
        <w:tc>
          <w:tcPr>
            <w:tcW w:w="5184" w:type="dxa"/>
            <w:tcBorders/>
          </w:tcPr>
          <w:p>
            <w:pPr>
              <w:pStyle w:val="BodyText"/>
              <w:rPr>
                <w:szCs w:val="24"/>
              </w:rPr>
            </w:pPr>
            <w:r>
              <w:rPr>
                <w:szCs w:val="24"/>
              </w:rPr>
              <w:t>Процедура по околна среда</w:t>
            </w:r>
          </w:p>
        </w:tc>
      </w:tr>
      <w:tr>
        <w:trPr/>
        <w:tc>
          <w:tcPr>
            <w:tcW w:w="4644" w:type="dxa"/>
            <w:tcBorders/>
          </w:tcPr>
          <w:p>
            <w:pPr>
              <w:pStyle w:val="BodyText"/>
              <w:rPr>
                <w:b/>
                <w:szCs w:val="24"/>
              </w:rPr>
            </w:pPr>
            <w:r>
              <w:rPr>
                <w:b/>
                <w:szCs w:val="24"/>
              </w:rPr>
              <w:t>РИ</w:t>
            </w:r>
          </w:p>
        </w:tc>
        <w:tc>
          <w:tcPr>
            <w:tcW w:w="5184" w:type="dxa"/>
            <w:tcBorders/>
          </w:tcPr>
          <w:p>
            <w:pPr>
              <w:pStyle w:val="BodyText"/>
              <w:rPr>
                <w:szCs w:val="24"/>
              </w:rPr>
            </w:pPr>
            <w:r>
              <w:rPr>
                <w:szCs w:val="24"/>
              </w:rPr>
              <w:t>Работна инструкция</w:t>
            </w:r>
          </w:p>
        </w:tc>
      </w:tr>
      <w:tr>
        <w:trPr/>
        <w:tc>
          <w:tcPr>
            <w:tcW w:w="4644" w:type="dxa"/>
            <w:tcBorders/>
          </w:tcPr>
          <w:p>
            <w:pPr>
              <w:pStyle w:val="BodyText"/>
              <w:rPr>
                <w:b/>
                <w:szCs w:val="24"/>
              </w:rPr>
            </w:pPr>
            <w:r>
              <w:rPr>
                <w:b/>
                <w:szCs w:val="24"/>
              </w:rPr>
              <w:t>ФОС</w:t>
            </w:r>
          </w:p>
        </w:tc>
        <w:tc>
          <w:tcPr>
            <w:tcW w:w="5184" w:type="dxa"/>
            <w:tcBorders/>
          </w:tcPr>
          <w:p>
            <w:pPr>
              <w:pStyle w:val="BodyText"/>
              <w:rPr>
                <w:szCs w:val="24"/>
              </w:rPr>
            </w:pPr>
            <w:r>
              <w:rPr>
                <w:szCs w:val="24"/>
              </w:rPr>
              <w:t>Формуляр по околна среда</w:t>
            </w:r>
          </w:p>
        </w:tc>
      </w:tr>
      <w:tr>
        <w:trPr/>
        <w:tc>
          <w:tcPr>
            <w:tcW w:w="4644" w:type="dxa"/>
            <w:tcBorders/>
          </w:tcPr>
          <w:p>
            <w:pPr>
              <w:pStyle w:val="BodyText"/>
              <w:rPr>
                <w:b/>
                <w:szCs w:val="24"/>
              </w:rPr>
            </w:pPr>
            <w:r>
              <w:rPr>
                <w:b/>
                <w:szCs w:val="24"/>
              </w:rPr>
              <w:t>У</w:t>
            </w:r>
          </w:p>
        </w:tc>
        <w:tc>
          <w:tcPr>
            <w:tcW w:w="5184" w:type="dxa"/>
            <w:tcBorders/>
          </w:tcPr>
          <w:p>
            <w:pPr>
              <w:pStyle w:val="BodyText"/>
              <w:rPr>
                <w:szCs w:val="24"/>
              </w:rPr>
            </w:pPr>
            <w:r>
              <w:rPr>
                <w:szCs w:val="24"/>
              </w:rPr>
              <w:t>Управител</w:t>
            </w:r>
          </w:p>
        </w:tc>
      </w:tr>
      <w:tr>
        <w:trPr/>
        <w:tc>
          <w:tcPr>
            <w:tcW w:w="4644" w:type="dxa"/>
            <w:tcBorders/>
          </w:tcPr>
          <w:p>
            <w:pPr>
              <w:pStyle w:val="BodyText"/>
              <w:rPr>
                <w:b/>
                <w:szCs w:val="24"/>
              </w:rPr>
            </w:pPr>
            <w:r>
              <w:rPr>
                <w:b/>
                <w:szCs w:val="24"/>
              </w:rPr>
              <w:t>УПР</w:t>
            </w:r>
          </w:p>
        </w:tc>
        <w:tc>
          <w:tcPr>
            <w:tcW w:w="5184" w:type="dxa"/>
            <w:tcBorders/>
          </w:tcPr>
          <w:p>
            <w:pPr>
              <w:pStyle w:val="BodyText"/>
              <w:rPr>
                <w:szCs w:val="24"/>
              </w:rPr>
            </w:pPr>
            <w:r>
              <w:rPr>
                <w:szCs w:val="24"/>
              </w:rPr>
              <w:t>Упълномощен представител на ръководството</w:t>
            </w:r>
          </w:p>
        </w:tc>
      </w:tr>
      <w:tr>
        <w:trPr/>
        <w:tc>
          <w:tcPr>
            <w:tcW w:w="4644" w:type="dxa"/>
            <w:tcBorders/>
          </w:tcPr>
          <w:p>
            <w:pPr>
              <w:pStyle w:val="BodyText"/>
              <w:rPr>
                <w:b/>
                <w:szCs w:val="24"/>
              </w:rPr>
            </w:pPr>
            <w:r>
              <w:rPr>
                <w:b/>
                <w:szCs w:val="24"/>
              </w:rPr>
              <w:t>КООС</w:t>
            </w:r>
          </w:p>
        </w:tc>
        <w:tc>
          <w:tcPr>
            <w:tcW w:w="5184" w:type="dxa"/>
            <w:tcBorders/>
          </w:tcPr>
          <w:p>
            <w:pPr>
              <w:pStyle w:val="BodyText"/>
              <w:rPr>
                <w:szCs w:val="24"/>
              </w:rPr>
            </w:pPr>
            <w:r>
              <w:rPr>
                <w:szCs w:val="24"/>
              </w:rPr>
              <w:t>Комитет по опазване на околната среда</w:t>
            </w:r>
          </w:p>
        </w:tc>
      </w:tr>
      <w:tr>
        <w:trPr/>
        <w:tc>
          <w:tcPr>
            <w:tcW w:w="4644" w:type="dxa"/>
            <w:tcBorders/>
          </w:tcPr>
          <w:p>
            <w:pPr>
              <w:pStyle w:val="BodyText"/>
              <w:snapToGrid w:val="false"/>
              <w:rPr>
                <w:b/>
                <w:szCs w:val="24"/>
                <w:lang w:val="bg-BG"/>
              </w:rPr>
            </w:pPr>
            <w:r>
              <w:rPr>
                <w:b/>
                <w:szCs w:val="24"/>
                <w:lang w:val="bg-BG"/>
              </w:rPr>
            </w:r>
          </w:p>
        </w:tc>
        <w:tc>
          <w:tcPr>
            <w:tcW w:w="5184" w:type="dxa"/>
            <w:tcBorders/>
          </w:tcPr>
          <w:p>
            <w:pPr>
              <w:pStyle w:val="BodyText"/>
              <w:snapToGrid w:val="false"/>
              <w:rPr>
                <w:b/>
                <w:szCs w:val="24"/>
              </w:rPr>
            </w:pPr>
            <w:r>
              <w:rPr>
                <w:b/>
                <w:szCs w:val="24"/>
              </w:rPr>
            </w:r>
          </w:p>
        </w:tc>
      </w:tr>
      <w:tr>
        <w:trPr/>
        <w:tc>
          <w:tcPr>
            <w:tcW w:w="4644" w:type="dxa"/>
            <w:tcBorders/>
          </w:tcPr>
          <w:p>
            <w:pPr>
              <w:pStyle w:val="BodyText"/>
              <w:snapToGrid w:val="false"/>
              <w:rPr>
                <w:b/>
                <w:szCs w:val="24"/>
              </w:rPr>
            </w:pPr>
            <w:r>
              <w:rPr>
                <w:b/>
                <w:szCs w:val="24"/>
              </w:rPr>
            </w:r>
          </w:p>
        </w:tc>
        <w:tc>
          <w:tcPr>
            <w:tcW w:w="5184" w:type="dxa"/>
            <w:tcBorders/>
          </w:tcPr>
          <w:p>
            <w:pPr>
              <w:pStyle w:val="BodyText"/>
              <w:snapToGrid w:val="false"/>
              <w:rPr>
                <w:b/>
                <w:szCs w:val="24"/>
              </w:rPr>
            </w:pPr>
            <w:r>
              <w:rPr>
                <w:b/>
                <w:szCs w:val="24"/>
              </w:rPr>
            </w:r>
          </w:p>
        </w:tc>
      </w:tr>
      <w:tr>
        <w:trPr/>
        <w:tc>
          <w:tcPr>
            <w:tcW w:w="4644" w:type="dxa"/>
            <w:tcBorders/>
          </w:tcPr>
          <w:p>
            <w:pPr>
              <w:pStyle w:val="BodyText"/>
              <w:snapToGrid w:val="false"/>
              <w:rPr>
                <w:b/>
                <w:szCs w:val="24"/>
                <w:lang w:val="bg-BG"/>
              </w:rPr>
            </w:pPr>
            <w:r>
              <w:rPr>
                <w:b/>
                <w:szCs w:val="24"/>
                <w:lang w:val="bg-BG"/>
              </w:rPr>
            </w:r>
          </w:p>
        </w:tc>
        <w:tc>
          <w:tcPr>
            <w:tcW w:w="5184" w:type="dxa"/>
            <w:tcBorders/>
          </w:tcPr>
          <w:p>
            <w:pPr>
              <w:pStyle w:val="BodyText"/>
              <w:snapToGrid w:val="false"/>
              <w:rPr>
                <w:b/>
                <w:szCs w:val="24"/>
              </w:rPr>
            </w:pPr>
            <w:r>
              <w:rPr>
                <w:b/>
                <w:szCs w:val="24"/>
              </w:rPr>
            </w:r>
          </w:p>
        </w:tc>
      </w:tr>
      <w:tr>
        <w:trPr/>
        <w:tc>
          <w:tcPr>
            <w:tcW w:w="4644" w:type="dxa"/>
            <w:tcBorders/>
          </w:tcPr>
          <w:p>
            <w:pPr>
              <w:pStyle w:val="BodyText"/>
              <w:snapToGrid w:val="false"/>
              <w:rPr>
                <w:b/>
                <w:szCs w:val="24"/>
                <w:lang w:val="bg-BG"/>
              </w:rPr>
            </w:pPr>
            <w:r>
              <w:rPr>
                <w:b/>
                <w:szCs w:val="24"/>
                <w:lang w:val="bg-BG"/>
              </w:rPr>
            </w:r>
          </w:p>
        </w:tc>
        <w:tc>
          <w:tcPr>
            <w:tcW w:w="5184" w:type="dxa"/>
            <w:tcBorders/>
          </w:tcPr>
          <w:p>
            <w:pPr>
              <w:pStyle w:val="BodyText"/>
              <w:snapToGrid w:val="false"/>
              <w:rPr>
                <w:b/>
                <w:szCs w:val="24"/>
              </w:rPr>
            </w:pPr>
            <w:r>
              <w:rPr>
                <w:b/>
                <w:szCs w:val="24"/>
              </w:rPr>
            </w:r>
          </w:p>
        </w:tc>
      </w:tr>
    </w:tbl>
    <w:p>
      <w:pPr>
        <w:pStyle w:val="Normal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rPr>
          <w:b/>
          <w:color w:val="FF0000"/>
          <w:szCs w:val="24"/>
          <w:lang w:val="bg-BG"/>
        </w:rPr>
      </w:pPr>
      <w:r>
        <w:rPr>
          <w:b/>
          <w:color w:val="FF0000"/>
          <w:szCs w:val="24"/>
          <w:lang w:val="bg-BG"/>
        </w:rPr>
      </w:r>
    </w:p>
    <w:p>
      <w:pPr>
        <w:pStyle w:val="Normal"/>
        <w:rPr>
          <w:b/>
          <w:color w:val="FF0000"/>
          <w:szCs w:val="24"/>
          <w:lang w:val="bg-BG"/>
        </w:rPr>
      </w:pPr>
      <w:r>
        <w:rPr>
          <w:b/>
          <w:color w:val="FF0000"/>
          <w:szCs w:val="24"/>
          <w:lang w:val="bg-BG"/>
        </w:rPr>
      </w:r>
    </w:p>
    <w:p>
      <w:pPr>
        <w:pStyle w:val="Normal"/>
        <w:rPr>
          <w:b/>
          <w:color w:val="FF0000"/>
          <w:szCs w:val="24"/>
          <w:lang w:val="bg-BG"/>
        </w:rPr>
      </w:pPr>
      <w:r>
        <w:rPr>
          <w:b/>
          <w:color w:val="FF0000"/>
          <w:szCs w:val="24"/>
          <w:lang w:val="bg-BG"/>
        </w:rPr>
      </w:r>
    </w:p>
    <w:p>
      <w:pPr>
        <w:pStyle w:val="Normal"/>
        <w:rPr>
          <w:b/>
          <w:color w:val="FF0000"/>
          <w:szCs w:val="24"/>
          <w:lang w:val="bg-BG"/>
        </w:rPr>
      </w:pPr>
      <w:r>
        <w:rPr>
          <w:b/>
          <w:color w:val="FF0000"/>
          <w:szCs w:val="24"/>
          <w:lang w:val="bg-BG"/>
        </w:rPr>
      </w:r>
    </w:p>
    <w:p>
      <w:pPr>
        <w:pStyle w:val="Normal"/>
        <w:rPr>
          <w:b/>
          <w:color w:val="FF0000"/>
          <w:szCs w:val="24"/>
          <w:lang w:val="bg-BG"/>
        </w:rPr>
      </w:pPr>
      <w:r>
        <w:rPr>
          <w:b/>
          <w:color w:val="FF0000"/>
          <w:szCs w:val="24"/>
          <w:lang w:val="bg-BG"/>
        </w:rPr>
      </w:r>
    </w:p>
    <w:p>
      <w:pPr>
        <w:pStyle w:val="Normal"/>
        <w:rPr>
          <w:b/>
          <w:color w:val="FF0000"/>
          <w:szCs w:val="24"/>
          <w:lang w:val="bg-BG"/>
        </w:rPr>
      </w:pPr>
      <w:r>
        <w:rPr>
          <w:b/>
          <w:color w:val="FF0000"/>
          <w:szCs w:val="24"/>
          <w:lang w:val="bg-BG"/>
        </w:rPr>
      </w:r>
    </w:p>
    <w:p>
      <w:pPr>
        <w:pStyle w:val="Normal"/>
        <w:rPr>
          <w:b/>
          <w:color w:val="FF0000"/>
          <w:szCs w:val="24"/>
          <w:lang w:val="bg-BG"/>
        </w:rPr>
      </w:pPr>
      <w:r>
        <w:rPr>
          <w:b/>
          <w:color w:val="FF0000"/>
          <w:szCs w:val="24"/>
          <w:lang w:val="bg-BG"/>
        </w:rPr>
      </w:r>
    </w:p>
    <w:p>
      <w:pPr>
        <w:pStyle w:val="Normal"/>
        <w:rPr>
          <w:b/>
          <w:color w:val="FF0000"/>
          <w:szCs w:val="24"/>
          <w:lang w:val="bg-BG"/>
        </w:rPr>
      </w:pPr>
      <w:r>
        <w:rPr>
          <w:b/>
          <w:color w:val="FF0000"/>
          <w:szCs w:val="24"/>
          <w:lang w:val="bg-BG"/>
        </w:rPr>
      </w:r>
    </w:p>
    <w:p>
      <w:pPr>
        <w:pStyle w:val="Normal"/>
        <w:rPr>
          <w:b/>
          <w:color w:val="FF0000"/>
          <w:szCs w:val="24"/>
          <w:lang w:val="bg-BG"/>
        </w:rPr>
      </w:pPr>
      <w:r>
        <w:rPr>
          <w:b/>
          <w:color w:val="FF0000"/>
          <w:szCs w:val="24"/>
          <w:lang w:val="bg-BG"/>
        </w:rPr>
      </w:r>
    </w:p>
    <w:p>
      <w:pPr>
        <w:pStyle w:val="Normal"/>
        <w:rPr>
          <w:b/>
          <w:color w:val="FF0000"/>
          <w:szCs w:val="24"/>
          <w:lang w:val="bg-BG"/>
        </w:rPr>
      </w:pPr>
      <w:r>
        <w:rPr>
          <w:b/>
          <w:color w:val="FF0000"/>
          <w:szCs w:val="24"/>
          <w:lang w:val="bg-BG"/>
        </w:rPr>
      </w:r>
    </w:p>
    <w:p>
      <w:pPr>
        <w:pStyle w:val="Normal"/>
        <w:rPr>
          <w:b/>
          <w:color w:val="FF0000"/>
          <w:szCs w:val="24"/>
          <w:lang w:val="bg-BG"/>
        </w:rPr>
      </w:pPr>
      <w:r>
        <w:rPr>
          <w:b/>
          <w:color w:val="FF0000"/>
          <w:szCs w:val="24"/>
          <w:lang w:val="bg-BG"/>
        </w:rPr>
      </w:r>
    </w:p>
    <w:p>
      <w:pPr>
        <w:pStyle w:val="Normal"/>
        <w:rPr>
          <w:b/>
          <w:color w:val="FF0000"/>
          <w:szCs w:val="24"/>
          <w:lang w:val="bg-BG"/>
        </w:rPr>
      </w:pPr>
      <w:r>
        <w:rPr>
          <w:b/>
          <w:color w:val="FF0000"/>
          <w:szCs w:val="24"/>
          <w:lang w:val="bg-BG"/>
        </w:rPr>
      </w:r>
    </w:p>
    <w:p>
      <w:pPr>
        <w:pStyle w:val="Normal"/>
        <w:rPr>
          <w:b/>
          <w:color w:val="FF0000"/>
          <w:szCs w:val="24"/>
          <w:lang w:val="bg-BG"/>
        </w:rPr>
      </w:pPr>
      <w:r>
        <w:rPr>
          <w:b/>
          <w:color w:val="FF0000"/>
          <w:szCs w:val="24"/>
          <w:lang w:val="bg-BG"/>
        </w:rPr>
      </w:r>
    </w:p>
    <w:p>
      <w:pPr>
        <w:pStyle w:val="Normal"/>
        <w:rPr>
          <w:b/>
          <w:color w:val="FF0000"/>
          <w:szCs w:val="24"/>
          <w:lang w:val="bg-BG"/>
        </w:rPr>
      </w:pPr>
      <w:r>
        <w:rPr>
          <w:b/>
          <w:color w:val="FF0000"/>
          <w:szCs w:val="24"/>
          <w:lang w:val="bg-BG"/>
        </w:rPr>
      </w:r>
    </w:p>
    <w:p>
      <w:pPr>
        <w:pStyle w:val="Normal"/>
        <w:rPr>
          <w:b/>
          <w:color w:val="FF0000"/>
          <w:szCs w:val="24"/>
          <w:lang w:val="bg-BG"/>
        </w:rPr>
      </w:pPr>
      <w:r>
        <w:rPr>
          <w:b/>
          <w:color w:val="FF0000"/>
          <w:szCs w:val="24"/>
          <w:lang w:val="bg-BG"/>
        </w:rPr>
      </w:r>
    </w:p>
    <w:p>
      <w:pPr>
        <w:pStyle w:val="Normal"/>
        <w:rPr>
          <w:b/>
          <w:color w:val="FF0000"/>
          <w:szCs w:val="24"/>
          <w:lang w:val="bg-BG"/>
        </w:rPr>
      </w:pPr>
      <w:r>
        <w:rPr>
          <w:b/>
          <w:color w:val="FF0000"/>
          <w:szCs w:val="24"/>
          <w:lang w:val="bg-BG"/>
        </w:rPr>
      </w:r>
    </w:p>
    <w:p>
      <w:pPr>
        <w:pStyle w:val="Normal"/>
        <w:rPr>
          <w:b/>
          <w:color w:val="FF0000"/>
          <w:szCs w:val="24"/>
          <w:lang w:val="bg-BG"/>
        </w:rPr>
      </w:pPr>
      <w:r>
        <w:rPr>
          <w:b/>
          <w:color w:val="FF0000"/>
          <w:szCs w:val="24"/>
          <w:lang w:val="bg-BG"/>
        </w:rPr>
      </w:r>
    </w:p>
    <w:p>
      <w:pPr>
        <w:pStyle w:val="Normal"/>
        <w:rPr>
          <w:b/>
          <w:color w:val="FF0000"/>
          <w:szCs w:val="24"/>
          <w:lang w:val="bg-BG"/>
        </w:rPr>
      </w:pPr>
      <w:r>
        <w:rPr>
          <w:b/>
          <w:color w:val="FF0000"/>
          <w:szCs w:val="24"/>
          <w:lang w:val="bg-BG"/>
        </w:rPr>
      </w:r>
    </w:p>
    <w:p>
      <w:pPr>
        <w:pStyle w:val="Normal"/>
        <w:rPr>
          <w:b/>
          <w:color w:val="FF0000"/>
          <w:szCs w:val="24"/>
          <w:lang w:val="bg-BG"/>
        </w:rPr>
      </w:pPr>
      <w:r>
        <w:rPr>
          <w:b/>
          <w:color w:val="FF0000"/>
          <w:szCs w:val="24"/>
          <w:lang w:val="bg-BG"/>
        </w:rPr>
      </w:r>
    </w:p>
    <w:p>
      <w:pPr>
        <w:pStyle w:val="Normal"/>
        <w:rPr>
          <w:b/>
          <w:color w:val="FF0000"/>
          <w:szCs w:val="24"/>
          <w:lang w:val="bg-BG"/>
        </w:rPr>
      </w:pPr>
      <w:r>
        <w:rPr>
          <w:b/>
          <w:color w:val="FF0000"/>
          <w:szCs w:val="24"/>
          <w:lang w:val="bg-BG"/>
        </w:rPr>
      </w:r>
    </w:p>
    <w:p>
      <w:pPr>
        <w:pStyle w:val="Normal"/>
        <w:rPr>
          <w:b/>
          <w:color w:val="FF0000"/>
          <w:szCs w:val="24"/>
          <w:lang w:val="bg-BG"/>
        </w:rPr>
      </w:pPr>
      <w:r>
        <w:rPr>
          <w:b/>
          <w:color w:val="FF0000"/>
          <w:szCs w:val="24"/>
          <w:lang w:val="bg-BG"/>
        </w:rPr>
      </w:r>
    </w:p>
    <w:p>
      <w:pPr>
        <w:pStyle w:val="Normal"/>
        <w:rPr>
          <w:b/>
          <w:color w:val="FF0000"/>
          <w:szCs w:val="24"/>
          <w:lang w:val="bg-BG"/>
        </w:rPr>
      </w:pPr>
      <w:r>
        <w:rPr>
          <w:b/>
          <w:color w:val="FF0000"/>
          <w:szCs w:val="24"/>
          <w:lang w:val="bg-BG"/>
        </w:rPr>
      </w:r>
    </w:p>
    <w:p>
      <w:pPr>
        <w:pStyle w:val="Normal"/>
        <w:rPr>
          <w:b/>
          <w:color w:val="FF0000"/>
          <w:szCs w:val="24"/>
          <w:lang w:val="bg-BG"/>
        </w:rPr>
      </w:pPr>
      <w:r>
        <w:rPr>
          <w:b/>
          <w:color w:val="FF0000"/>
          <w:szCs w:val="24"/>
          <w:lang w:val="bg-BG"/>
        </w:rPr>
      </w:r>
    </w:p>
    <w:p>
      <w:pPr>
        <w:pStyle w:val="Normal"/>
        <w:rPr>
          <w:b/>
          <w:color w:val="FF0000"/>
          <w:szCs w:val="24"/>
          <w:lang w:val="bg-BG"/>
        </w:rPr>
      </w:pPr>
      <w:r>
        <w:rPr>
          <w:b/>
          <w:color w:val="FF0000"/>
          <w:szCs w:val="24"/>
          <w:lang w:val="bg-BG"/>
        </w:rPr>
      </w:r>
    </w:p>
    <w:p>
      <w:pPr>
        <w:pStyle w:val="Normal"/>
        <w:rPr>
          <w:b/>
          <w:color w:val="FF0000"/>
          <w:szCs w:val="24"/>
          <w:lang w:val="bg-BG"/>
        </w:rPr>
      </w:pPr>
      <w:r>
        <w:rPr>
          <w:b/>
          <w:color w:val="FF0000"/>
          <w:szCs w:val="24"/>
          <w:lang w:val="bg-BG"/>
        </w:rPr>
      </w:r>
    </w:p>
    <w:p>
      <w:pPr>
        <w:pStyle w:val="Normal"/>
        <w:rPr>
          <w:b/>
          <w:color w:val="FF0000"/>
          <w:szCs w:val="24"/>
          <w:lang w:val="bg-BG"/>
        </w:rPr>
      </w:pPr>
      <w:r>
        <w:rPr>
          <w:b/>
          <w:color w:val="FF0000"/>
          <w:szCs w:val="24"/>
          <w:lang w:val="bg-BG"/>
        </w:rPr>
      </w:r>
    </w:p>
    <w:p>
      <w:pPr>
        <w:pStyle w:val="Normal"/>
        <w:tabs>
          <w:tab w:val="clear" w:pos="708"/>
          <w:tab w:val="left" w:pos="1276" w:leader="none"/>
        </w:tabs>
        <w:ind w:end="474"/>
        <w:jc w:val="end"/>
        <w:rPr/>
      </w:pPr>
      <w:r>
        <w:rPr>
          <w:b/>
          <w:szCs w:val="24"/>
        </w:rPr>
        <w:t xml:space="preserve">ФОС </w:t>
      </w:r>
      <w:r>
        <w:rPr>
          <w:b/>
          <w:szCs w:val="24"/>
          <w:lang w:val="bg-BG"/>
        </w:rPr>
        <w:t>05</w:t>
      </w:r>
      <w:r>
        <w:rPr>
          <w:b/>
          <w:szCs w:val="24"/>
        </w:rPr>
        <w:t>-</w:t>
      </w:r>
      <w:r>
        <w:rPr>
          <w:b/>
          <w:szCs w:val="24"/>
          <w:lang w:val="bg-BG"/>
        </w:rPr>
        <w:t>1</w:t>
        <w:tab/>
        <w:tab/>
        <w:tab/>
      </w:r>
    </w:p>
    <w:p>
      <w:pPr>
        <w:pStyle w:val="Heading3"/>
        <w:numPr>
          <w:ilvl w:val="0"/>
          <w:numId w:val="0"/>
        </w:numPr>
        <w:ind w:hanging="0" w:start="0"/>
        <w:jc w:val="start"/>
        <w:rPr>
          <w:rFonts w:ascii="Times New Roman" w:hAnsi="Times New Roman" w:cs="Times New Roman"/>
          <w:b w:val="false"/>
          <w:i w:val="false"/>
          <w:sz w:val="20"/>
          <w:szCs w:val="24"/>
          <w:lang w:val="bg-BG"/>
        </w:rPr>
      </w:pPr>
      <w:r>
        <w:rPr>
          <w:rFonts w:cs="Times New Roman" w:ascii="Times New Roman" w:hAnsi="Times New Roman"/>
          <w:b w:val="false"/>
          <w:i w:val="false"/>
          <w:sz w:val="20"/>
          <w:szCs w:val="24"/>
          <w:lang w:val="bg-BG"/>
        </w:rPr>
      </w:r>
    </w:p>
    <w:p>
      <w:pPr>
        <w:pStyle w:val="Normal"/>
        <w:ind w:firstLine="720" w:start="3600" w:end="0"/>
        <w:rPr>
          <w:szCs w:val="24"/>
          <w:lang w:val="bg-BG"/>
        </w:rPr>
      </w:pPr>
      <w:r>
        <w:rPr>
          <w:szCs w:val="24"/>
          <w:lang w:val="bg-BG"/>
        </w:rPr>
        <w:t>Утвърждавам:</w:t>
      </w:r>
    </w:p>
    <w:p>
      <w:pPr>
        <w:pStyle w:val="Normal"/>
        <w:ind w:firstLine="720" w:start="2880" w:end="423"/>
        <w:jc w:val="center"/>
        <w:rPr>
          <w:szCs w:val="24"/>
          <w:lang w:val="bg-BG"/>
        </w:rPr>
      </w:pPr>
      <w:r>
        <w:rPr>
          <w:szCs w:val="24"/>
          <w:lang w:val="bg-BG"/>
        </w:rPr>
        <w:t>Управител: ДЕЯН МАНДАЛИЕВ</w:t>
      </w:r>
    </w:p>
    <w:p>
      <w:pPr>
        <w:pStyle w:val="Normal"/>
        <w:jc w:val="both"/>
        <w:rPr>
          <w:szCs w:val="24"/>
          <w:lang w:val="bg-BG"/>
        </w:rPr>
      </w:pPr>
      <w:r>
        <w:rPr>
          <w:szCs w:val="24"/>
          <w:lang w:val="bg-BG"/>
        </w:rPr>
        <w:tab/>
        <w:tab/>
        <w:tab/>
        <w:tab/>
        <w:tab/>
        <w:tab/>
        <w:tab/>
        <w:t xml:space="preserve">           </w:t>
      </w:r>
    </w:p>
    <w:p>
      <w:pPr>
        <w:pStyle w:val="Normal"/>
        <w:spacing w:before="0" w:after="100"/>
        <w:ind w:start="-181" w:end="476"/>
        <w:jc w:val="center"/>
        <w:rPr>
          <w:b/>
          <w:szCs w:val="24"/>
          <w:lang w:val="bg-BG"/>
        </w:rPr>
      </w:pPr>
      <w:r>
        <w:rPr>
          <w:b/>
          <w:szCs w:val="24"/>
          <w:lang w:val="bg-BG"/>
        </w:rPr>
        <w:t>СПИСЪК НА ПРЕДСТАВИТЕЛИТЕ НА ЗАИНТЕРЕСОВАНИТЕ СТРАНИ</w:t>
      </w:r>
    </w:p>
    <w:tbl>
      <w:tblPr>
        <w:tblW w:w="10620" w:type="dxa"/>
        <w:jc w:val="start"/>
        <w:tblInd w:w="-61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78"/>
        <w:gridCol w:w="4295"/>
        <w:gridCol w:w="2694"/>
        <w:gridCol w:w="3053"/>
      </w:tblGrid>
      <w:tr>
        <w:trPr/>
        <w:tc>
          <w:tcPr>
            <w:tcW w:w="5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4"/>
                <w:lang w:val="bg-BG"/>
              </w:rPr>
            </w:pPr>
            <w:r>
              <w:rPr>
                <w:b/>
                <w:szCs w:val="24"/>
                <w:lang w:val="bg-BG"/>
              </w:rPr>
              <w:t xml:space="preserve">№ </w:t>
            </w:r>
            <w:r>
              <w:rPr>
                <w:b/>
                <w:szCs w:val="24"/>
                <w:lang w:val="bg-BG"/>
              </w:rPr>
              <w:t>по ред</w:t>
            </w:r>
          </w:p>
        </w:tc>
        <w:tc>
          <w:tcPr>
            <w:tcW w:w="42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ind w:end="474"/>
              <w:jc w:val="center"/>
              <w:rPr>
                <w:b/>
                <w:szCs w:val="24"/>
                <w:lang w:val="bg-BG"/>
              </w:rPr>
            </w:pPr>
            <w:r>
              <w:rPr>
                <w:b/>
                <w:szCs w:val="24"/>
                <w:lang w:val="bg-BG"/>
              </w:rPr>
              <w:t>Заинтересована страна</w:t>
            </w:r>
          </w:p>
        </w:tc>
        <w:tc>
          <w:tcPr>
            <w:tcW w:w="26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2238" w:leader="none"/>
              </w:tabs>
              <w:ind w:end="63"/>
              <w:jc w:val="center"/>
              <w:rPr>
                <w:b/>
                <w:szCs w:val="24"/>
                <w:lang w:val="bg-BG"/>
              </w:rPr>
            </w:pPr>
            <w:r>
              <w:rPr>
                <w:b/>
                <w:szCs w:val="24"/>
                <w:lang w:val="bg-BG"/>
              </w:rPr>
              <w:t>Лице за контакт</w:t>
            </w:r>
          </w:p>
        </w:tc>
        <w:tc>
          <w:tcPr>
            <w:tcW w:w="30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2441" w:leader="none"/>
              </w:tabs>
              <w:jc w:val="center"/>
              <w:rPr>
                <w:b/>
                <w:szCs w:val="24"/>
                <w:lang w:val="bg-BG"/>
              </w:rPr>
            </w:pPr>
            <w:r>
              <w:rPr>
                <w:b/>
                <w:szCs w:val="24"/>
                <w:lang w:val="bg-BG"/>
              </w:rPr>
              <w:t xml:space="preserve">Адрес, телефон; </w:t>
            </w:r>
          </w:p>
          <w:p>
            <w:pPr>
              <w:pStyle w:val="Normal"/>
              <w:tabs>
                <w:tab w:val="clear" w:pos="708"/>
                <w:tab w:val="left" w:pos="2441" w:leader="none"/>
              </w:tabs>
              <w:jc w:val="center"/>
              <w:rPr>
                <w:b/>
                <w:szCs w:val="24"/>
                <w:lang w:val="bg-BG"/>
              </w:rPr>
            </w:pPr>
            <w:r>
              <w:rPr>
                <w:b/>
                <w:szCs w:val="24"/>
                <w:lang w:val="bg-BG"/>
              </w:rPr>
              <w:t>e-mail</w:t>
            </w:r>
          </w:p>
        </w:tc>
      </w:tr>
      <w:tr>
        <w:trPr/>
        <w:tc>
          <w:tcPr>
            <w:tcW w:w="5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b/>
                <w:szCs w:val="24"/>
                <w:lang w:val="bg-BG"/>
              </w:rPr>
            </w:pPr>
            <w:r>
              <w:rPr>
                <w:b/>
                <w:szCs w:val="24"/>
                <w:lang w:val="bg-BG"/>
              </w:rPr>
            </w:r>
          </w:p>
        </w:tc>
        <w:tc>
          <w:tcPr>
            <w:tcW w:w="42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26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30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</w:tr>
      <w:tr>
        <w:trPr/>
        <w:tc>
          <w:tcPr>
            <w:tcW w:w="5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42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26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30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</w:tr>
      <w:tr>
        <w:trPr/>
        <w:tc>
          <w:tcPr>
            <w:tcW w:w="5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42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26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30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</w:tr>
      <w:tr>
        <w:trPr/>
        <w:tc>
          <w:tcPr>
            <w:tcW w:w="5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42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26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30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</w:tr>
      <w:tr>
        <w:trPr/>
        <w:tc>
          <w:tcPr>
            <w:tcW w:w="5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42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26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30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</w:tr>
      <w:tr>
        <w:trPr/>
        <w:tc>
          <w:tcPr>
            <w:tcW w:w="5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42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26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30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</w:tr>
      <w:tr>
        <w:trPr/>
        <w:tc>
          <w:tcPr>
            <w:tcW w:w="5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42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26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30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</w:tr>
      <w:tr>
        <w:trPr/>
        <w:tc>
          <w:tcPr>
            <w:tcW w:w="5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42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26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30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</w:tr>
      <w:tr>
        <w:trPr/>
        <w:tc>
          <w:tcPr>
            <w:tcW w:w="5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42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26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30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</w:tr>
      <w:tr>
        <w:trPr/>
        <w:tc>
          <w:tcPr>
            <w:tcW w:w="5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42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26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30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</w:tr>
      <w:tr>
        <w:trPr/>
        <w:tc>
          <w:tcPr>
            <w:tcW w:w="5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42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26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30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</w:tr>
      <w:tr>
        <w:trPr/>
        <w:tc>
          <w:tcPr>
            <w:tcW w:w="5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42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26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30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</w:tr>
      <w:tr>
        <w:trPr/>
        <w:tc>
          <w:tcPr>
            <w:tcW w:w="5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42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26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30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</w:tr>
    </w:tbl>
    <w:p>
      <w:pPr>
        <w:pStyle w:val="Heading3"/>
        <w:numPr>
          <w:ilvl w:val="0"/>
          <w:numId w:val="0"/>
        </w:numPr>
        <w:ind w:hanging="0" w:start="0"/>
        <w:jc w:val="start"/>
        <w:rPr>
          <w:rFonts w:ascii="Times New Roman" w:hAnsi="Times New Roman" w:cs="Times New Roman"/>
          <w:i w:val="false"/>
          <w:sz w:val="24"/>
          <w:szCs w:val="24"/>
          <w:lang w:val="bg-BG"/>
        </w:rPr>
      </w:pPr>
      <w:r>
        <w:rPr>
          <w:rFonts w:cs="Times New Roman" w:ascii="Times New Roman" w:hAnsi="Times New Roman"/>
          <w:i w:val="false"/>
          <w:sz w:val="24"/>
          <w:szCs w:val="24"/>
          <w:lang w:val="bg-BG"/>
        </w:rPr>
      </w:r>
    </w:p>
    <w:p>
      <w:pPr>
        <w:pStyle w:val="Normal"/>
        <w:rPr>
          <w:rFonts w:ascii="Times New Roman" w:hAnsi="Times New Roman" w:cs="Times New Roman"/>
          <w:i/>
          <w:sz w:val="24"/>
          <w:szCs w:val="24"/>
          <w:lang w:val="bg-BG"/>
        </w:rPr>
      </w:pPr>
      <w:r>
        <w:rPr>
          <w:rFonts w:cs="Times New Roman"/>
          <w:i/>
          <w:sz w:val="24"/>
          <w:szCs w:val="24"/>
          <w:lang w:val="bg-BG"/>
        </w:rPr>
      </w:r>
    </w:p>
    <w:p>
      <w:pPr>
        <w:pStyle w:val="Normal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Header"/>
        <w:rPr>
          <w:b/>
          <w:sz w:val="24"/>
          <w:szCs w:val="24"/>
          <w:lang w:val="bg-BG"/>
        </w:rPr>
      </w:pPr>
      <w:r>
        <w:rPr>
          <w:i/>
          <w:sz w:val="24"/>
          <w:szCs w:val="24"/>
          <w:lang w:val="bg-BG"/>
        </w:rPr>
        <w:tab/>
        <w:tab/>
      </w:r>
      <w:r>
        <w:rPr>
          <w:b/>
          <w:sz w:val="24"/>
          <w:szCs w:val="24"/>
          <w:lang w:val="en-US"/>
        </w:rPr>
        <w:t xml:space="preserve">ФОС </w:t>
      </w:r>
      <w:r>
        <w:rPr>
          <w:b/>
          <w:sz w:val="24"/>
          <w:szCs w:val="24"/>
          <w:lang w:val="bg-BG"/>
        </w:rPr>
        <w:t>05</w:t>
      </w:r>
      <w:r>
        <w:rPr>
          <w:b/>
          <w:sz w:val="24"/>
          <w:szCs w:val="24"/>
          <w:lang w:val="en-US"/>
        </w:rPr>
        <w:t>-</w:t>
      </w:r>
      <w:r>
        <w:rPr>
          <w:b/>
          <w:sz w:val="24"/>
          <w:szCs w:val="24"/>
          <w:lang w:val="bg-BG"/>
        </w:rPr>
        <w:t>2</w:t>
      </w:r>
    </w:p>
    <w:p>
      <w:pPr>
        <w:pStyle w:val="Header"/>
        <w:rPr>
          <w:b/>
          <w:i/>
          <w:sz w:val="24"/>
          <w:szCs w:val="24"/>
          <w:lang w:val="bg-BG"/>
        </w:rPr>
      </w:pPr>
      <w:r>
        <w:rPr>
          <w:b/>
          <w:sz w:val="28"/>
          <w:szCs w:val="28"/>
          <w:lang w:val="bg-BG"/>
        </w:rPr>
        <w:tab/>
      </w:r>
    </w:p>
    <w:p>
      <w:pPr>
        <w:pStyle w:val="Heading3"/>
        <w:numPr>
          <w:ilvl w:val="0"/>
          <w:numId w:val="0"/>
        </w:numPr>
        <w:ind w:hanging="0" w:start="0"/>
        <w:rPr>
          <w:rFonts w:ascii="Times New Roman" w:hAnsi="Times New Roman" w:cs="Times New Roman"/>
          <w:b w:val="false"/>
          <w:i w:val="false"/>
          <w:sz w:val="24"/>
          <w:szCs w:val="24"/>
          <w:lang w:val="bg-BG"/>
        </w:rPr>
      </w:pPr>
      <w:r>
        <w:rPr>
          <w:rFonts w:cs="Times New Roman" w:ascii="Times New Roman" w:hAnsi="Times New Roman"/>
          <w:i w:val="false"/>
          <w:sz w:val="24"/>
          <w:szCs w:val="24"/>
          <w:lang w:val="bg-BG"/>
        </w:rPr>
        <w:t>ФОРМУЛЯР ЗА АНКЕТИРАНЕ НА ПЕРСОНАЛА</w:t>
      </w:r>
    </w:p>
    <w:p>
      <w:pPr>
        <w:pStyle w:val="Normal"/>
        <w:ind w:start="-1026" w:end="0"/>
        <w:jc w:val="both"/>
        <w:rPr>
          <w:szCs w:val="24"/>
          <w:lang w:val="bg-BG"/>
        </w:rPr>
      </w:pPr>
      <w:r>
        <w:rPr>
          <w:szCs w:val="24"/>
          <w:lang w:val="bg-BG"/>
        </w:rPr>
        <w:t>_______________________________________________________________________________________</w:t>
      </w:r>
    </w:p>
    <w:p>
      <w:pPr>
        <w:pStyle w:val="Normal"/>
        <w:ind w:firstLine="436" w:start="1724" w:end="0"/>
        <w:jc w:val="both"/>
        <w:rPr>
          <w:szCs w:val="24"/>
          <w:lang w:val="bg-BG"/>
        </w:rPr>
      </w:pPr>
      <w:r>
        <w:rPr>
          <w:szCs w:val="24"/>
          <w:lang w:val="bg-BG"/>
        </w:rPr>
        <w:t>/име, презиме, фамилия/</w:t>
      </w:r>
    </w:p>
    <w:p>
      <w:pPr>
        <w:pStyle w:val="Normal"/>
        <w:ind w:firstLine="436" w:start="1724" w:end="0"/>
        <w:jc w:val="both"/>
        <w:rPr>
          <w:szCs w:val="24"/>
          <w:lang w:val="ru-RU"/>
        </w:rPr>
      </w:pPr>
      <w:r>
        <w:rPr>
          <w:szCs w:val="24"/>
          <w:lang w:val="ru-RU"/>
        </w:rPr>
      </w:r>
    </w:p>
    <w:p>
      <w:pPr>
        <w:pStyle w:val="Normal"/>
        <w:spacing w:before="0" w:after="20"/>
        <w:ind w:start="-851" w:end="0"/>
        <w:jc w:val="both"/>
        <w:rPr/>
      </w:pPr>
      <w:r>
        <w:rPr>
          <w:szCs w:val="24"/>
          <w:lang w:val="bg-BG"/>
        </w:rPr>
        <w:t>С цел получаване информация за Вашата удовлетвореност от условията за работа, Ви молим</w:t>
      </w:r>
      <w:r>
        <w:rPr/>
        <w:t xml:space="preserve"> да отговорите на следните въпроси:</w:t>
      </w:r>
    </w:p>
    <w:tbl>
      <w:tblPr>
        <w:tblW w:w="10552" w:type="dxa"/>
        <w:jc w:val="start"/>
        <w:tblInd w:w="-739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947"/>
        <w:gridCol w:w="1600"/>
        <w:gridCol w:w="2005"/>
      </w:tblGrid>
      <w:tr>
        <w:trPr/>
        <w:tc>
          <w:tcPr>
            <w:tcW w:w="6947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6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Cs w:val="24"/>
                <w:lang w:val="bg-BG"/>
              </w:rPr>
              <w:t>1. Как оценявате влиянието на дейностите на БРАМАНД  ЕООД   по отношение УОС?</w:t>
            </w:r>
          </w:p>
        </w:tc>
        <w:tc>
          <w:tcPr>
            <w:tcW w:w="3605" w:type="dxa"/>
            <w:gridSpan w:val="2"/>
            <w:tcBorders>
              <w:top w:val="double" w:sz="4" w:space="0" w:color="000000"/>
              <w:start w:val="single" w:sz="6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Normal"/>
              <w:ind w:end="-130"/>
              <w:jc w:val="both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  <w:t>лошо                                     отлично</w:t>
            </w:r>
          </w:p>
          <w:p>
            <w:pPr>
              <w:pStyle w:val="Normal"/>
              <w:jc w:val="both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  <w:t xml:space="preserve">   </w:t>
            </w:r>
            <w:r>
              <w:rPr>
                <w:szCs w:val="24"/>
                <w:lang w:val="bg-BG"/>
              </w:rPr>
              <w:t xml:space="preserve">1       2       3       4       5      6 </w:t>
            </w:r>
          </w:p>
        </w:tc>
      </w:tr>
      <w:tr>
        <w:trPr/>
        <w:tc>
          <w:tcPr>
            <w:tcW w:w="6947" w:type="dxa"/>
            <w:tcBorders>
              <w:top w:val="double" w:sz="4" w:space="0" w:color="000000"/>
              <w:start w:val="doub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Cs w:val="24"/>
                <w:lang w:val="bg-BG"/>
              </w:rPr>
              <w:t>2. Известни ли Ви са неидентифицирани опасности и въздействия от дейности на Организацията върху УОС?</w:t>
            </w:r>
          </w:p>
        </w:tc>
        <w:tc>
          <w:tcPr>
            <w:tcW w:w="1600" w:type="dxa"/>
            <w:tcBorders>
              <w:top w:val="doub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end="-130"/>
              <w:jc w:val="center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  <w:t>не</w:t>
            </w:r>
          </w:p>
        </w:tc>
        <w:tc>
          <w:tcPr>
            <w:tcW w:w="2005" w:type="dxa"/>
            <w:tcBorders>
              <w:top w:val="double" w:sz="4" w:space="0" w:color="000000"/>
              <w:start w:val="single" w:sz="6" w:space="0" w:color="000000"/>
              <w:bottom w:val="single" w:sz="6" w:space="0" w:color="000000"/>
              <w:end w:val="double" w:sz="4" w:space="0" w:color="000000"/>
            </w:tcBorders>
            <w:vAlign w:val="center"/>
          </w:tcPr>
          <w:p>
            <w:pPr>
              <w:pStyle w:val="Normal"/>
              <w:ind w:end="-130"/>
              <w:jc w:val="center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  <w:t>да</w:t>
            </w:r>
          </w:p>
        </w:tc>
      </w:tr>
      <w:tr>
        <w:trPr>
          <w:trHeight w:val="283" w:hRule="atLeast"/>
        </w:trPr>
        <w:tc>
          <w:tcPr>
            <w:tcW w:w="10552" w:type="dxa"/>
            <w:gridSpan w:val="3"/>
            <w:tcBorders>
              <w:top w:val="single" w:sz="6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Normal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  <w:t>Ако отговорът е ДА, опишете какви:</w:t>
            </w:r>
          </w:p>
          <w:p>
            <w:pPr>
              <w:pStyle w:val="Normal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  <w:t>___________________________________________________________________________________</w:t>
            </w:r>
          </w:p>
        </w:tc>
      </w:tr>
      <w:tr>
        <w:trPr/>
        <w:tc>
          <w:tcPr>
            <w:tcW w:w="6947" w:type="dxa"/>
            <w:tcBorders>
              <w:top w:val="double" w:sz="4" w:space="0" w:color="000000"/>
              <w:start w:val="doub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Cs w:val="24"/>
                <w:lang w:val="bg-BG"/>
              </w:rPr>
              <w:t>4. Били ли сте свидетел на извършване на дейности, които оказват рискови?</w:t>
            </w:r>
          </w:p>
        </w:tc>
        <w:tc>
          <w:tcPr>
            <w:tcW w:w="1600" w:type="dxa"/>
            <w:tcBorders>
              <w:top w:val="doub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end="-130"/>
              <w:jc w:val="center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  <w:t>не</w:t>
            </w:r>
          </w:p>
        </w:tc>
        <w:tc>
          <w:tcPr>
            <w:tcW w:w="2005" w:type="dxa"/>
            <w:tcBorders>
              <w:top w:val="double" w:sz="4" w:space="0" w:color="000000"/>
              <w:start w:val="single" w:sz="6" w:space="0" w:color="000000"/>
              <w:bottom w:val="single" w:sz="6" w:space="0" w:color="000000"/>
              <w:end w:val="double" w:sz="4" w:space="0" w:color="000000"/>
            </w:tcBorders>
            <w:vAlign w:val="center"/>
          </w:tcPr>
          <w:p>
            <w:pPr>
              <w:pStyle w:val="Normal"/>
              <w:ind w:end="-130"/>
              <w:jc w:val="center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  <w:t>да</w:t>
            </w:r>
          </w:p>
        </w:tc>
      </w:tr>
      <w:tr>
        <w:trPr/>
        <w:tc>
          <w:tcPr>
            <w:tcW w:w="10552" w:type="dxa"/>
            <w:gridSpan w:val="3"/>
            <w:tcBorders>
              <w:top w:val="single" w:sz="6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Normal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  <w:t>Ако отговорът е ДА, опишете какви:</w:t>
            </w:r>
          </w:p>
          <w:p>
            <w:pPr>
              <w:pStyle w:val="Normal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  <w:t>__________________________________________________________________________________</w:t>
            </w:r>
          </w:p>
        </w:tc>
      </w:tr>
      <w:tr>
        <w:trPr/>
        <w:tc>
          <w:tcPr>
            <w:tcW w:w="6947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6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Cs w:val="24"/>
                <w:lang w:val="bg-BG"/>
              </w:rPr>
              <w:t>5. Какво е според Вас отношението на Вашите колеги към дейността на Организацията и въздействията, които те оказват върху УОС?</w:t>
            </w:r>
          </w:p>
        </w:tc>
        <w:tc>
          <w:tcPr>
            <w:tcW w:w="3605" w:type="dxa"/>
            <w:gridSpan w:val="2"/>
            <w:tcBorders>
              <w:top w:val="double" w:sz="4" w:space="0" w:color="000000"/>
              <w:start w:val="single" w:sz="6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Normal"/>
              <w:ind w:end="-130"/>
              <w:jc w:val="both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  <w:t>лошо                                     отлично</w:t>
            </w:r>
          </w:p>
          <w:p>
            <w:pPr>
              <w:pStyle w:val="Normal"/>
              <w:jc w:val="both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  <w:t xml:space="preserve">   </w:t>
            </w:r>
            <w:r>
              <w:rPr>
                <w:szCs w:val="24"/>
                <w:lang w:val="bg-BG"/>
              </w:rPr>
              <w:t xml:space="preserve">1       2       3       4       5      6 </w:t>
            </w:r>
          </w:p>
        </w:tc>
      </w:tr>
      <w:tr>
        <w:trPr/>
        <w:tc>
          <w:tcPr>
            <w:tcW w:w="6947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6" w:space="0" w:color="000000"/>
            </w:tcBorders>
          </w:tcPr>
          <w:p>
            <w:pPr>
              <w:pStyle w:val="Normal"/>
              <w:jc w:val="both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  <w:t xml:space="preserve">6. Считате ли, че Вашата работа дава добри възможности за развитие на професионалните знания и умения, свързани със УОС? </w:t>
            </w:r>
          </w:p>
        </w:tc>
        <w:tc>
          <w:tcPr>
            <w:tcW w:w="3605" w:type="dxa"/>
            <w:gridSpan w:val="2"/>
            <w:tcBorders>
              <w:top w:val="double" w:sz="4" w:space="0" w:color="000000"/>
              <w:start w:val="single" w:sz="6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Normal"/>
              <w:ind w:end="-130"/>
              <w:jc w:val="both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  <w:t xml:space="preserve">   </w:t>
            </w:r>
            <w:r>
              <w:rPr>
                <w:szCs w:val="24"/>
                <w:lang w:val="bg-BG"/>
              </w:rPr>
              <w:t>не                                            да</w:t>
            </w:r>
          </w:p>
          <w:p>
            <w:pPr>
              <w:pStyle w:val="Normal"/>
              <w:jc w:val="both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  <w:t xml:space="preserve">   </w:t>
            </w:r>
            <w:r>
              <w:rPr>
                <w:szCs w:val="24"/>
                <w:lang w:val="bg-BG"/>
              </w:rPr>
              <w:t xml:space="preserve">1       2       3       4       5      6 </w:t>
            </w:r>
          </w:p>
        </w:tc>
      </w:tr>
      <w:tr>
        <w:trPr/>
        <w:tc>
          <w:tcPr>
            <w:tcW w:w="6947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6" w:space="0" w:color="000000"/>
            </w:tcBorders>
          </w:tcPr>
          <w:p>
            <w:pPr>
              <w:pStyle w:val="Normal"/>
              <w:jc w:val="both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  <w:t>7. Считате ли, че длъжността, която заемате съответства на Вашата квалификация?</w:t>
            </w:r>
          </w:p>
        </w:tc>
        <w:tc>
          <w:tcPr>
            <w:tcW w:w="3605" w:type="dxa"/>
            <w:gridSpan w:val="2"/>
            <w:tcBorders>
              <w:top w:val="double" w:sz="4" w:space="0" w:color="000000"/>
              <w:start w:val="single" w:sz="6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Normal"/>
              <w:ind w:end="-130"/>
              <w:jc w:val="both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  <w:t xml:space="preserve">   </w:t>
            </w:r>
            <w:r>
              <w:rPr>
                <w:szCs w:val="24"/>
                <w:lang w:val="bg-BG"/>
              </w:rPr>
              <w:t>не                                            да</w:t>
            </w:r>
          </w:p>
          <w:p>
            <w:pPr>
              <w:pStyle w:val="Normal"/>
              <w:jc w:val="both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  <w:t xml:space="preserve">   </w:t>
            </w:r>
            <w:r>
              <w:rPr>
                <w:szCs w:val="24"/>
                <w:lang w:val="bg-BG"/>
              </w:rPr>
              <w:t xml:space="preserve">1       2       3       4       5      6 </w:t>
            </w:r>
          </w:p>
        </w:tc>
      </w:tr>
      <w:tr>
        <w:trPr/>
        <w:tc>
          <w:tcPr>
            <w:tcW w:w="6947" w:type="dxa"/>
            <w:tcBorders>
              <w:top w:val="double" w:sz="4" w:space="0" w:color="000000"/>
              <w:start w:val="doub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  <w:t>8. Желаете ли да повишите квалификация?</w:t>
            </w:r>
          </w:p>
        </w:tc>
        <w:tc>
          <w:tcPr>
            <w:tcW w:w="1600" w:type="dxa"/>
            <w:tcBorders>
              <w:top w:val="doub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end="-130"/>
              <w:jc w:val="center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  <w:t>не</w:t>
            </w:r>
          </w:p>
        </w:tc>
        <w:tc>
          <w:tcPr>
            <w:tcW w:w="2005" w:type="dxa"/>
            <w:tcBorders>
              <w:top w:val="double" w:sz="4" w:space="0" w:color="000000"/>
              <w:start w:val="single" w:sz="6" w:space="0" w:color="000000"/>
              <w:bottom w:val="single" w:sz="6" w:space="0" w:color="000000"/>
              <w:end w:val="double" w:sz="4" w:space="0" w:color="000000"/>
            </w:tcBorders>
            <w:vAlign w:val="center"/>
          </w:tcPr>
          <w:p>
            <w:pPr>
              <w:pStyle w:val="Normal"/>
              <w:ind w:end="-130"/>
              <w:jc w:val="center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  <w:t>да</w:t>
            </w:r>
          </w:p>
        </w:tc>
      </w:tr>
      <w:tr>
        <w:trPr/>
        <w:tc>
          <w:tcPr>
            <w:tcW w:w="10552" w:type="dxa"/>
            <w:gridSpan w:val="3"/>
            <w:tcBorders>
              <w:top w:val="single" w:sz="6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Normal"/>
              <w:jc w:val="both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  <w:t>Ако отговорът е ДА, опишете какво обучение желаете да преминете:</w:t>
            </w:r>
          </w:p>
          <w:p>
            <w:pPr>
              <w:pStyle w:val="Normal"/>
              <w:jc w:val="both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  <w:t>___________________________________________________________________________________</w:t>
            </w:r>
          </w:p>
        </w:tc>
      </w:tr>
      <w:tr>
        <w:trPr/>
        <w:tc>
          <w:tcPr>
            <w:tcW w:w="10552" w:type="dxa"/>
            <w:gridSpan w:val="3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Normal"/>
              <w:spacing w:before="0" w:after="60"/>
              <w:jc w:val="both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  <w:t>Благодаря Ви за искреността и доверието!</w:t>
            </w:r>
          </w:p>
          <w:p>
            <w:pPr>
              <w:pStyle w:val="Normal"/>
              <w:jc w:val="both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  <w:t>Управител: _______________</w:t>
            </w:r>
          </w:p>
        </w:tc>
      </w:tr>
    </w:tbl>
    <w:p>
      <w:pPr>
        <w:pStyle w:val="Normal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rPr>
          <w:b/>
          <w:caps/>
          <w:szCs w:val="24"/>
          <w:lang w:val="bg-BG"/>
        </w:rPr>
      </w:pPr>
      <w:r>
        <w:rPr>
          <w:b/>
          <w:caps/>
          <w:szCs w:val="24"/>
          <w:lang w:val="bg-BG"/>
        </w:rPr>
      </w:r>
    </w:p>
    <w:p>
      <w:pPr>
        <w:pStyle w:val="Normal"/>
        <w:rPr>
          <w:b/>
          <w:caps/>
          <w:szCs w:val="24"/>
          <w:lang w:val="bg-BG"/>
        </w:rPr>
      </w:pPr>
      <w:r>
        <w:rPr>
          <w:b/>
          <w:caps/>
          <w:szCs w:val="24"/>
          <w:lang w:val="bg-BG"/>
        </w:rPr>
      </w:r>
    </w:p>
    <w:p>
      <w:pPr>
        <w:pStyle w:val="Normal"/>
        <w:rPr>
          <w:b/>
          <w:caps/>
          <w:szCs w:val="24"/>
          <w:lang w:val="bg-BG"/>
        </w:rPr>
      </w:pPr>
      <w:r>
        <w:rPr>
          <w:b/>
          <w:caps/>
          <w:szCs w:val="24"/>
          <w:lang w:val="bg-BG"/>
        </w:rPr>
      </w:r>
    </w:p>
    <w:p>
      <w:pPr>
        <w:pStyle w:val="Heading3"/>
        <w:numPr>
          <w:ilvl w:val="0"/>
          <w:numId w:val="0"/>
        </w:numPr>
        <w:ind w:hanging="0" w:start="0"/>
        <w:rPr>
          <w:rFonts w:ascii="Times New Roman" w:hAnsi="Times New Roman" w:cs="Times New Roman"/>
          <w:i w:val="false"/>
          <w:sz w:val="24"/>
          <w:szCs w:val="24"/>
          <w:lang w:val="bg-BG"/>
        </w:rPr>
      </w:pPr>
      <w:r>
        <w:rPr>
          <w:b w:val="false"/>
          <w:szCs w:val="24"/>
          <w:lang w:val="bg-BG"/>
        </w:rPr>
        <w:t xml:space="preserve">                                                                                     </w:t>
      </w:r>
      <w:r>
        <w:rPr>
          <w:rFonts w:cs="Times New Roman" w:ascii="Times New Roman" w:hAnsi="Times New Roman"/>
          <w:i w:val="false"/>
          <w:sz w:val="24"/>
          <w:szCs w:val="24"/>
          <w:lang w:val="en-US"/>
        </w:rPr>
        <w:t xml:space="preserve">ФОС </w:t>
      </w:r>
      <w:r>
        <w:rPr>
          <w:rFonts w:cs="Times New Roman" w:ascii="Times New Roman" w:hAnsi="Times New Roman"/>
          <w:i w:val="false"/>
          <w:sz w:val="24"/>
          <w:szCs w:val="24"/>
          <w:lang w:val="bg-BG"/>
        </w:rPr>
        <w:t>05</w:t>
      </w:r>
      <w:r>
        <w:rPr>
          <w:rFonts w:cs="Times New Roman" w:ascii="Times New Roman" w:hAnsi="Times New Roman"/>
          <w:i w:val="false"/>
          <w:sz w:val="24"/>
          <w:szCs w:val="24"/>
          <w:lang w:val="en-US"/>
        </w:rPr>
        <w:t>-</w:t>
      </w:r>
      <w:r>
        <w:rPr>
          <w:rFonts w:cs="Times New Roman" w:ascii="Times New Roman" w:hAnsi="Times New Roman"/>
          <w:i w:val="false"/>
          <w:sz w:val="24"/>
          <w:szCs w:val="24"/>
          <w:lang w:val="bg-BG"/>
        </w:rPr>
        <w:t>3</w:t>
      </w:r>
    </w:p>
    <w:p>
      <w:pPr>
        <w:pStyle w:val="Normal"/>
        <w:ind w:start="-180" w:end="72"/>
        <w:jc w:val="center"/>
        <w:rPr>
          <w:rFonts w:ascii="Times New Roman" w:hAnsi="Times New Roman" w:cs="Times New Roman"/>
          <w:b/>
          <w:i/>
          <w:sz w:val="24"/>
          <w:szCs w:val="24"/>
          <w:lang w:val="bg-BG"/>
        </w:rPr>
      </w:pPr>
      <w:r>
        <w:rPr>
          <w:rFonts w:cs="Times New Roman"/>
          <w:b/>
          <w:i/>
          <w:sz w:val="24"/>
          <w:szCs w:val="24"/>
          <w:lang w:val="bg-BG"/>
        </w:rPr>
      </w:r>
    </w:p>
    <w:p>
      <w:pPr>
        <w:pStyle w:val="Normal"/>
        <w:ind w:start="-180" w:end="72"/>
        <w:jc w:val="center"/>
        <w:rPr>
          <w:b/>
          <w:szCs w:val="24"/>
          <w:lang w:val="bg-BG"/>
        </w:rPr>
      </w:pPr>
      <w:r>
        <w:rPr>
          <w:b/>
          <w:szCs w:val="24"/>
          <w:lang w:val="bg-BG"/>
        </w:rPr>
        <w:t>ДНЕВНИК ЗА ИЗВЪРШЕНИ ДЕЙНОСТИ ОТ УОС</w:t>
      </w:r>
    </w:p>
    <w:p>
      <w:pPr>
        <w:pStyle w:val="Normal"/>
        <w:rPr>
          <w:b/>
          <w:szCs w:val="24"/>
          <w:lang w:val="ru-RU"/>
        </w:rPr>
      </w:pPr>
      <w:r>
        <w:rPr>
          <w:b/>
          <w:szCs w:val="24"/>
          <w:lang w:val="ru-RU"/>
        </w:rPr>
      </w:r>
    </w:p>
    <w:tbl>
      <w:tblPr>
        <w:tblW w:w="10188" w:type="dxa"/>
        <w:jc w:val="start"/>
        <w:tblInd w:w="-47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768"/>
        <w:gridCol w:w="4200"/>
        <w:gridCol w:w="1980"/>
        <w:gridCol w:w="1782"/>
        <w:gridCol w:w="1458"/>
      </w:tblGrid>
      <w:tr>
        <w:trPr>
          <w:trHeight w:val="941" w:hRule="atLeast"/>
        </w:trPr>
        <w:tc>
          <w:tcPr>
            <w:tcW w:w="7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72"/>
              <w:rPr>
                <w:b/>
                <w:szCs w:val="24"/>
              </w:rPr>
            </w:pPr>
            <w:r>
              <w:rPr>
                <w:b/>
                <w:szCs w:val="24"/>
              </w:rPr>
              <w:t xml:space="preserve">№ </w:t>
            </w:r>
            <w:r>
              <w:rPr>
                <w:b/>
                <w:szCs w:val="24"/>
              </w:rPr>
              <w:t>по ред</w:t>
            </w:r>
          </w:p>
          <w:p>
            <w:pPr>
              <w:pStyle w:val="Normal"/>
              <w:ind w:end="72"/>
              <w:rPr>
                <w:b/>
                <w:szCs w:val="24"/>
              </w:rPr>
            </w:pPr>
            <w:r>
              <w:rPr>
                <w:b/>
                <w:szCs w:val="24"/>
              </w:rPr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72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Описание на извършената дейност</w:t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72"/>
              <w:jc w:val="center"/>
              <w:rPr>
                <w:b/>
                <w:szCs w:val="24"/>
                <w:lang w:val="ru-RU"/>
              </w:rPr>
            </w:pPr>
            <w:r>
              <w:rPr>
                <w:b/>
                <w:szCs w:val="24"/>
                <w:lang w:val="ru-RU"/>
              </w:rPr>
              <w:t>Извършена от: /длъжност, фамилия, подпис/</w:t>
            </w:r>
          </w:p>
        </w:tc>
        <w:tc>
          <w:tcPr>
            <w:tcW w:w="17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72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Дата на изпълнение:</w:t>
            </w:r>
          </w:p>
        </w:tc>
        <w:tc>
          <w:tcPr>
            <w:tcW w:w="1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72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Резултат</w:t>
            </w:r>
          </w:p>
        </w:tc>
      </w:tr>
      <w:tr>
        <w:trPr/>
        <w:tc>
          <w:tcPr>
            <w:tcW w:w="7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72"/>
              <w:rPr>
                <w:b/>
                <w:szCs w:val="24"/>
              </w:rPr>
            </w:pPr>
            <w:r>
              <w:rPr>
                <w:b/>
                <w:szCs w:val="24"/>
              </w:rPr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72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72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17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72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1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72"/>
              <w:rPr>
                <w:szCs w:val="24"/>
              </w:rPr>
            </w:pPr>
            <w:r>
              <w:rPr>
                <w:szCs w:val="24"/>
              </w:rPr>
            </w:r>
          </w:p>
        </w:tc>
      </w:tr>
      <w:tr>
        <w:trPr/>
        <w:tc>
          <w:tcPr>
            <w:tcW w:w="7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72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72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72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17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72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1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72"/>
              <w:rPr>
                <w:szCs w:val="24"/>
              </w:rPr>
            </w:pPr>
            <w:r>
              <w:rPr>
                <w:szCs w:val="24"/>
              </w:rPr>
            </w:r>
          </w:p>
        </w:tc>
      </w:tr>
      <w:tr>
        <w:trPr/>
        <w:tc>
          <w:tcPr>
            <w:tcW w:w="7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72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72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72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17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72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1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72"/>
              <w:rPr>
                <w:szCs w:val="24"/>
              </w:rPr>
            </w:pPr>
            <w:r>
              <w:rPr>
                <w:szCs w:val="24"/>
              </w:rPr>
            </w:r>
          </w:p>
        </w:tc>
      </w:tr>
      <w:tr>
        <w:trPr/>
        <w:tc>
          <w:tcPr>
            <w:tcW w:w="7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72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72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72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17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72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1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72"/>
              <w:rPr>
                <w:szCs w:val="24"/>
              </w:rPr>
            </w:pPr>
            <w:r>
              <w:rPr>
                <w:szCs w:val="24"/>
              </w:rPr>
            </w:r>
          </w:p>
        </w:tc>
      </w:tr>
      <w:tr>
        <w:trPr/>
        <w:tc>
          <w:tcPr>
            <w:tcW w:w="7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72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72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72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17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72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1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72"/>
              <w:rPr>
                <w:szCs w:val="24"/>
              </w:rPr>
            </w:pPr>
            <w:r>
              <w:rPr>
                <w:szCs w:val="24"/>
              </w:rPr>
            </w:r>
          </w:p>
        </w:tc>
      </w:tr>
      <w:tr>
        <w:trPr/>
        <w:tc>
          <w:tcPr>
            <w:tcW w:w="7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72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72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72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17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72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1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72"/>
              <w:rPr>
                <w:szCs w:val="24"/>
              </w:rPr>
            </w:pPr>
            <w:r>
              <w:rPr>
                <w:szCs w:val="24"/>
              </w:rPr>
            </w:r>
          </w:p>
        </w:tc>
      </w:tr>
      <w:tr>
        <w:trPr/>
        <w:tc>
          <w:tcPr>
            <w:tcW w:w="7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72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72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72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17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72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1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72"/>
              <w:rPr>
                <w:szCs w:val="24"/>
              </w:rPr>
            </w:pPr>
            <w:r>
              <w:rPr>
                <w:szCs w:val="24"/>
              </w:rPr>
            </w:r>
          </w:p>
        </w:tc>
      </w:tr>
      <w:tr>
        <w:trPr/>
        <w:tc>
          <w:tcPr>
            <w:tcW w:w="7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72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72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72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17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72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1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72"/>
              <w:rPr>
                <w:szCs w:val="24"/>
              </w:rPr>
            </w:pPr>
            <w:r>
              <w:rPr>
                <w:szCs w:val="24"/>
              </w:rPr>
            </w:r>
          </w:p>
        </w:tc>
      </w:tr>
      <w:tr>
        <w:trPr/>
        <w:tc>
          <w:tcPr>
            <w:tcW w:w="7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72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72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72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17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72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1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72"/>
              <w:rPr>
                <w:szCs w:val="24"/>
              </w:rPr>
            </w:pPr>
            <w:r>
              <w:rPr>
                <w:szCs w:val="24"/>
              </w:rPr>
            </w:r>
          </w:p>
        </w:tc>
      </w:tr>
      <w:tr>
        <w:trPr/>
        <w:tc>
          <w:tcPr>
            <w:tcW w:w="7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72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72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72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17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72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1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72"/>
              <w:rPr>
                <w:szCs w:val="24"/>
              </w:rPr>
            </w:pPr>
            <w:r>
              <w:rPr>
                <w:szCs w:val="24"/>
              </w:rPr>
            </w:r>
          </w:p>
        </w:tc>
      </w:tr>
      <w:tr>
        <w:trPr/>
        <w:tc>
          <w:tcPr>
            <w:tcW w:w="7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72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72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72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17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72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1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72"/>
              <w:rPr>
                <w:szCs w:val="24"/>
              </w:rPr>
            </w:pPr>
            <w:r>
              <w:rPr>
                <w:szCs w:val="24"/>
              </w:rPr>
            </w:r>
          </w:p>
        </w:tc>
      </w:tr>
      <w:tr>
        <w:trPr/>
        <w:tc>
          <w:tcPr>
            <w:tcW w:w="7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72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72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72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17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72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1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72"/>
              <w:rPr>
                <w:szCs w:val="24"/>
              </w:rPr>
            </w:pPr>
            <w:r>
              <w:rPr>
                <w:szCs w:val="24"/>
              </w:rPr>
            </w:r>
          </w:p>
        </w:tc>
      </w:tr>
      <w:tr>
        <w:trPr/>
        <w:tc>
          <w:tcPr>
            <w:tcW w:w="7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72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72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72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17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72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1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72"/>
              <w:rPr>
                <w:szCs w:val="24"/>
              </w:rPr>
            </w:pPr>
            <w:r>
              <w:rPr>
                <w:szCs w:val="24"/>
              </w:rPr>
            </w:r>
          </w:p>
        </w:tc>
      </w:tr>
      <w:tr>
        <w:trPr/>
        <w:tc>
          <w:tcPr>
            <w:tcW w:w="7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72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72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72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17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72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1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72"/>
              <w:rPr>
                <w:szCs w:val="24"/>
              </w:rPr>
            </w:pPr>
            <w:r>
              <w:rPr>
                <w:szCs w:val="24"/>
              </w:rPr>
            </w:r>
          </w:p>
        </w:tc>
      </w:tr>
      <w:tr>
        <w:trPr/>
        <w:tc>
          <w:tcPr>
            <w:tcW w:w="7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72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72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72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17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72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1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72"/>
              <w:rPr>
                <w:szCs w:val="24"/>
              </w:rPr>
            </w:pPr>
            <w:r>
              <w:rPr>
                <w:szCs w:val="24"/>
              </w:rPr>
            </w:r>
          </w:p>
        </w:tc>
      </w:tr>
      <w:tr>
        <w:trPr/>
        <w:tc>
          <w:tcPr>
            <w:tcW w:w="7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72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72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72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17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72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1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72"/>
              <w:rPr>
                <w:szCs w:val="24"/>
              </w:rPr>
            </w:pPr>
            <w:r>
              <w:rPr>
                <w:szCs w:val="24"/>
              </w:rPr>
            </w:r>
          </w:p>
        </w:tc>
      </w:tr>
      <w:tr>
        <w:trPr/>
        <w:tc>
          <w:tcPr>
            <w:tcW w:w="7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72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72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72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17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72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1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72"/>
              <w:rPr>
                <w:szCs w:val="24"/>
              </w:rPr>
            </w:pPr>
            <w:r>
              <w:rPr>
                <w:szCs w:val="24"/>
              </w:rPr>
            </w:r>
          </w:p>
        </w:tc>
      </w:tr>
      <w:tr>
        <w:trPr/>
        <w:tc>
          <w:tcPr>
            <w:tcW w:w="7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72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72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72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17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72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1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72"/>
              <w:rPr>
                <w:szCs w:val="24"/>
              </w:rPr>
            </w:pPr>
            <w:r>
              <w:rPr>
                <w:szCs w:val="24"/>
              </w:rPr>
            </w:r>
          </w:p>
        </w:tc>
      </w:tr>
      <w:tr>
        <w:trPr/>
        <w:tc>
          <w:tcPr>
            <w:tcW w:w="7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72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72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72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17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72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1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72"/>
              <w:rPr>
                <w:szCs w:val="24"/>
              </w:rPr>
            </w:pPr>
            <w:r>
              <w:rPr>
                <w:szCs w:val="24"/>
              </w:rPr>
            </w:r>
          </w:p>
        </w:tc>
      </w:tr>
      <w:tr>
        <w:trPr/>
        <w:tc>
          <w:tcPr>
            <w:tcW w:w="7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72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72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72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17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72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1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72"/>
              <w:rPr>
                <w:szCs w:val="24"/>
              </w:rPr>
            </w:pPr>
            <w:r>
              <w:rPr>
                <w:szCs w:val="24"/>
              </w:rPr>
            </w:r>
          </w:p>
        </w:tc>
      </w:tr>
    </w:tbl>
    <w:p>
      <w:pPr>
        <w:pStyle w:val="Normal"/>
        <w:rPr>
          <w:szCs w:val="24"/>
        </w:rPr>
      </w:pPr>
      <w:r>
        <w:rPr>
          <w:szCs w:val="24"/>
        </w:rPr>
      </w:r>
    </w:p>
    <w:p>
      <w:pPr>
        <w:pStyle w:val="Normal"/>
        <w:rPr>
          <w:szCs w:val="24"/>
        </w:rPr>
      </w:pPr>
      <w:r>
        <w:rPr>
          <w:szCs w:val="24"/>
        </w:rPr>
      </w:r>
    </w:p>
    <w:p>
      <w:pPr>
        <w:pStyle w:val="Header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Header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Header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left="1418" w:right="851" w:gutter="0" w:header="709" w:top="1134" w:footer="709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cc" w:characterSet="windows-1251"/>
    <w:family w:val="swiss"/>
    <w:pitch w:val="variable"/>
  </w:font>
  <w:font w:name="CourierCyr">
    <w:altName w:val="Courier New"/>
    <w:charset w:val="00" w:characterSet="windows-1252"/>
    <w:family w:val="modern"/>
    <w:pitch w:val="variable"/>
  </w:font>
  <w:font w:name="Courier New">
    <w:charset w:val="cc" w:characterSet="windows-125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95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843"/>
      <w:gridCol w:w="2567"/>
      <w:gridCol w:w="3192"/>
      <w:gridCol w:w="2093"/>
    </w:tblGrid>
    <w:tr>
      <w:trPr>
        <w:cantSplit/>
      </w:trPr>
      <w:tc>
        <w:tcPr>
          <w:tcW w:w="1843" w:type="dxa"/>
          <w:tcBorders>
            <w:bottom w:val="single" w:sz="4" w:space="0" w:color="000000"/>
          </w:tcBorders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both"/>
            <w:textAlignment w:val="auto"/>
            <w:rPr>
              <w:rFonts w:cs="MS Serif;Times New Roman"/>
              <w:sz w:val="20"/>
              <w:lang w:eastAsia="ar-SA"/>
            </w:rPr>
          </w:pPr>
          <w:r>
            <w:rPr>
              <w:rFonts w:cs="MS Serif;Times New Roman"/>
              <w:sz w:val="20"/>
              <w:lang w:eastAsia="ar-SA"/>
            </w:rPr>
          </w:r>
        </w:p>
      </w:tc>
      <w:tc>
        <w:tcPr>
          <w:tcW w:w="2567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center"/>
            <w:textAlignment w:val="auto"/>
            <w:rPr>
              <w:rFonts w:cs="MS Serif;Times New Roman"/>
              <w:sz w:val="20"/>
              <w:lang w:val="bg-BG" w:eastAsia="ar-SA"/>
            </w:rPr>
          </w:pPr>
          <w:r>
            <w:rPr>
              <w:rFonts w:cs="MS Serif;Times New Roman"/>
              <w:sz w:val="20"/>
              <w:lang w:val="bg-BG" w:eastAsia="ar-SA"/>
            </w:rPr>
            <w:t>Организационно звено</w:t>
          </w:r>
        </w:p>
      </w:tc>
      <w:tc>
        <w:tcPr>
          <w:tcW w:w="3192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center"/>
            <w:textAlignment w:val="auto"/>
            <w:rPr>
              <w:rFonts w:cs="MS Serif;Times New Roman"/>
              <w:sz w:val="20"/>
              <w:lang w:val="bg-BG" w:eastAsia="ar-SA"/>
            </w:rPr>
          </w:pPr>
          <w:r>
            <w:rPr>
              <w:rFonts w:cs="MS Serif;Times New Roman"/>
              <w:sz w:val="20"/>
              <w:lang w:val="bg-BG" w:eastAsia="ar-SA"/>
            </w:rPr>
            <w:t>Име, фамилия</w:t>
          </w:r>
        </w:p>
      </w:tc>
      <w:tc>
        <w:tcPr>
          <w:tcW w:w="20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center"/>
            <w:textAlignment w:val="auto"/>
            <w:rPr>
              <w:rFonts w:cs="MS Serif;Times New Roman"/>
              <w:sz w:val="20"/>
              <w:lang w:val="bg-BG" w:eastAsia="ar-SA"/>
            </w:rPr>
          </w:pPr>
          <w:r>
            <w:rPr>
              <w:rFonts w:cs="MS Serif;Times New Roman"/>
              <w:sz w:val="20"/>
              <w:lang w:val="bg-BG" w:eastAsia="ar-SA"/>
            </w:rPr>
            <w:t>Подпис</w:t>
          </w:r>
        </w:p>
      </w:tc>
    </w:tr>
    <w:tr>
      <w:trPr>
        <w:cantSplit/>
      </w:trPr>
      <w:tc>
        <w:tcPr>
          <w:tcW w:w="1843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both"/>
            <w:textAlignment w:val="auto"/>
            <w:rPr>
              <w:rFonts w:cs="MS Serif;Times New Roman"/>
              <w:sz w:val="20"/>
              <w:lang w:val="bg-BG" w:eastAsia="ar-SA"/>
            </w:rPr>
          </w:pPr>
          <w:r>
            <w:rPr>
              <w:rFonts w:cs="MS Serif;Times New Roman"/>
              <w:sz w:val="20"/>
              <w:lang w:val="bg-BG" w:eastAsia="ar-SA"/>
            </w:rPr>
            <w:t>Съставил:</w:t>
          </w:r>
        </w:p>
      </w:tc>
      <w:tc>
        <w:tcPr>
          <w:tcW w:w="2567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both"/>
            <w:textAlignment w:val="auto"/>
            <w:rPr>
              <w:rFonts w:cs="MS Serif;Times New Roman"/>
              <w:sz w:val="20"/>
              <w:lang w:val="bg-BG" w:eastAsia="ar-SA"/>
            </w:rPr>
          </w:pPr>
          <w:r>
            <w:rPr>
              <w:rFonts w:cs="MS Serif;Times New Roman"/>
              <w:sz w:val="20"/>
              <w:lang w:val="bg-BG" w:eastAsia="ar-SA"/>
            </w:rPr>
            <w:t>УПР</w:t>
          </w:r>
        </w:p>
      </w:tc>
      <w:tc>
        <w:tcPr>
          <w:tcW w:w="3192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both"/>
            <w:textAlignment w:val="auto"/>
            <w:rPr>
              <w:rFonts w:cs="MS Serif;Times New Roman"/>
              <w:sz w:val="20"/>
              <w:highlight w:val="yellow"/>
              <w:lang w:val="bg-BG" w:eastAsia="ar-SA"/>
            </w:rPr>
          </w:pPr>
          <w:r>
            <w:rPr>
              <w:rFonts w:cs="MS Serif;Times New Roman"/>
              <w:sz w:val="20"/>
              <w:highlight w:val="yellow"/>
              <w:lang w:val="bg-BG" w:eastAsia="ar-SA"/>
            </w:rPr>
          </w:r>
        </w:p>
      </w:tc>
      <w:tc>
        <w:tcPr>
          <w:tcW w:w="20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both"/>
            <w:textAlignment w:val="auto"/>
            <w:rPr>
              <w:rFonts w:cs="MS Serif;Times New Roman"/>
              <w:sz w:val="20"/>
              <w:highlight w:val="yellow"/>
              <w:lang w:val="bg-BG" w:eastAsia="ar-SA"/>
            </w:rPr>
          </w:pPr>
          <w:r>
            <w:rPr>
              <w:rFonts w:cs="MS Serif;Times New Roman"/>
              <w:sz w:val="20"/>
              <w:highlight w:val="yellow"/>
              <w:lang w:val="bg-BG" w:eastAsia="ar-SA"/>
            </w:rPr>
          </w:r>
        </w:p>
      </w:tc>
    </w:tr>
    <w:tr>
      <w:trPr>
        <w:cantSplit/>
      </w:trPr>
      <w:tc>
        <w:tcPr>
          <w:tcW w:w="1843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both"/>
            <w:textAlignment w:val="auto"/>
            <w:rPr>
              <w:rFonts w:cs="MS Serif;Times New Roman"/>
              <w:sz w:val="20"/>
              <w:lang w:val="bg-BG" w:eastAsia="ar-SA"/>
            </w:rPr>
          </w:pPr>
          <w:r>
            <w:rPr>
              <w:rFonts w:cs="MS Serif;Times New Roman"/>
              <w:sz w:val="20"/>
              <w:lang w:val="bg-BG" w:eastAsia="ar-SA"/>
            </w:rPr>
            <w:t>Проверил:</w:t>
          </w:r>
        </w:p>
      </w:tc>
      <w:tc>
        <w:tcPr>
          <w:tcW w:w="2567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both"/>
            <w:textAlignment w:val="auto"/>
            <w:rPr>
              <w:rFonts w:cs="MS Serif;Times New Roman"/>
              <w:sz w:val="20"/>
              <w:lang w:val="bg-BG" w:eastAsia="ar-SA"/>
            </w:rPr>
          </w:pPr>
          <w:r>
            <w:rPr>
              <w:rFonts w:cs="MS Serif;Times New Roman"/>
              <w:sz w:val="20"/>
              <w:lang w:val="bg-BG" w:eastAsia="ar-SA"/>
            </w:rPr>
            <w:t>УПР</w:t>
          </w:r>
        </w:p>
      </w:tc>
      <w:tc>
        <w:tcPr>
          <w:tcW w:w="3192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both"/>
            <w:textAlignment w:val="auto"/>
            <w:rPr>
              <w:rFonts w:cs="MS Serif;Times New Roman"/>
              <w:sz w:val="20"/>
              <w:highlight w:val="yellow"/>
              <w:lang w:val="bg-BG" w:eastAsia="ar-SA"/>
            </w:rPr>
          </w:pPr>
          <w:r>
            <w:rPr>
              <w:rFonts w:cs="MS Serif;Times New Roman"/>
              <w:sz w:val="20"/>
              <w:highlight w:val="yellow"/>
              <w:lang w:val="bg-BG" w:eastAsia="ar-SA"/>
            </w:rPr>
          </w:r>
        </w:p>
      </w:tc>
      <w:tc>
        <w:tcPr>
          <w:tcW w:w="20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both"/>
            <w:textAlignment w:val="auto"/>
            <w:rPr>
              <w:rFonts w:cs="MS Serif;Times New Roman"/>
              <w:sz w:val="20"/>
              <w:highlight w:val="yellow"/>
              <w:lang w:val="bg-BG" w:eastAsia="ar-SA"/>
            </w:rPr>
          </w:pPr>
          <w:r>
            <w:rPr>
              <w:rFonts w:cs="MS Serif;Times New Roman"/>
              <w:sz w:val="20"/>
              <w:highlight w:val="yellow"/>
              <w:lang w:val="bg-BG" w:eastAsia="ar-SA"/>
            </w:rPr>
          </w:r>
        </w:p>
      </w:tc>
    </w:tr>
    <w:tr>
      <w:trPr>
        <w:cantSplit/>
      </w:trPr>
      <w:tc>
        <w:tcPr>
          <w:tcW w:w="1843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both"/>
            <w:textAlignment w:val="auto"/>
            <w:rPr>
              <w:rFonts w:cs="MS Serif;Times New Roman"/>
              <w:sz w:val="20"/>
              <w:lang w:val="bg-BG" w:eastAsia="ar-SA"/>
            </w:rPr>
          </w:pPr>
          <w:r>
            <w:rPr>
              <w:rFonts w:cs="MS Serif;Times New Roman"/>
              <w:sz w:val="20"/>
              <w:lang w:val="bg-BG" w:eastAsia="ar-SA"/>
            </w:rPr>
            <w:t>Утвърдил:</w:t>
          </w:r>
        </w:p>
      </w:tc>
      <w:tc>
        <w:tcPr>
          <w:tcW w:w="2567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both"/>
            <w:textAlignment w:val="auto"/>
            <w:rPr>
              <w:rFonts w:cs="MS Serif;Times New Roman"/>
              <w:sz w:val="20"/>
              <w:lang w:val="bg-BG" w:eastAsia="ar-SA"/>
            </w:rPr>
          </w:pPr>
          <w:r>
            <w:rPr>
              <w:rFonts w:cs="MS Serif;Times New Roman"/>
              <w:sz w:val="20"/>
              <w:lang w:val="bg-BG" w:eastAsia="ar-SA"/>
            </w:rPr>
            <w:t>Управител</w:t>
          </w:r>
        </w:p>
      </w:tc>
      <w:tc>
        <w:tcPr>
          <w:tcW w:w="3192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both"/>
            <w:textAlignment w:val="auto"/>
            <w:rPr>
              <w:rFonts w:cs="MS Serif;Times New Roman"/>
              <w:sz w:val="20"/>
              <w:highlight w:val="yellow"/>
              <w:lang w:val="bg-BG" w:eastAsia="ar-SA"/>
            </w:rPr>
          </w:pPr>
          <w:r>
            <w:rPr>
              <w:rFonts w:cs="MS Serif;Times New Roman"/>
              <w:sz w:val="20"/>
              <w:lang w:val="bg-BG" w:eastAsia="ar-SA"/>
            </w:rPr>
            <w:t>ДЕЯН МАНДАЛИЕВ</w:t>
          </w:r>
        </w:p>
      </w:tc>
      <w:tc>
        <w:tcPr>
          <w:tcW w:w="20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both"/>
            <w:textAlignment w:val="auto"/>
            <w:rPr>
              <w:rFonts w:cs="MS Serif;Times New Roman"/>
              <w:sz w:val="20"/>
              <w:highlight w:val="yellow"/>
              <w:lang w:val="bg-BG" w:eastAsia="ar-SA"/>
            </w:rPr>
          </w:pPr>
          <w:r>
            <w:rPr>
              <w:rFonts w:cs="MS Serif;Times New Roman"/>
              <w:sz w:val="20"/>
              <w:highlight w:val="yellow"/>
              <w:lang w:val="bg-BG" w:eastAsia="ar-SA"/>
            </w:rPr>
          </w:r>
        </w:p>
      </w:tc>
    </w:tr>
  </w:tbl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95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843"/>
      <w:gridCol w:w="2567"/>
      <w:gridCol w:w="3192"/>
      <w:gridCol w:w="2093"/>
    </w:tblGrid>
    <w:tr>
      <w:trPr>
        <w:cantSplit/>
      </w:trPr>
      <w:tc>
        <w:tcPr>
          <w:tcW w:w="1843" w:type="dxa"/>
          <w:tcBorders>
            <w:bottom w:val="single" w:sz="4" w:space="0" w:color="000000"/>
          </w:tcBorders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both"/>
            <w:textAlignment w:val="auto"/>
            <w:rPr>
              <w:rFonts w:cs="MS Serif;Times New Roman"/>
              <w:sz w:val="20"/>
              <w:lang w:eastAsia="ar-SA"/>
            </w:rPr>
          </w:pPr>
          <w:r>
            <w:rPr>
              <w:rFonts w:cs="MS Serif;Times New Roman"/>
              <w:sz w:val="20"/>
              <w:lang w:eastAsia="ar-SA"/>
            </w:rPr>
          </w:r>
        </w:p>
      </w:tc>
      <w:tc>
        <w:tcPr>
          <w:tcW w:w="2567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center"/>
            <w:textAlignment w:val="auto"/>
            <w:rPr>
              <w:rFonts w:cs="MS Serif;Times New Roman"/>
              <w:sz w:val="20"/>
              <w:lang w:val="bg-BG" w:eastAsia="ar-SA"/>
            </w:rPr>
          </w:pPr>
          <w:r>
            <w:rPr>
              <w:rFonts w:cs="MS Serif;Times New Roman"/>
              <w:sz w:val="20"/>
              <w:lang w:val="bg-BG" w:eastAsia="ar-SA"/>
            </w:rPr>
            <w:t>Организационно звено</w:t>
          </w:r>
        </w:p>
      </w:tc>
      <w:tc>
        <w:tcPr>
          <w:tcW w:w="3192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center"/>
            <w:textAlignment w:val="auto"/>
            <w:rPr>
              <w:rFonts w:cs="MS Serif;Times New Roman"/>
              <w:sz w:val="20"/>
              <w:lang w:val="bg-BG" w:eastAsia="ar-SA"/>
            </w:rPr>
          </w:pPr>
          <w:r>
            <w:rPr>
              <w:rFonts w:cs="MS Serif;Times New Roman"/>
              <w:sz w:val="20"/>
              <w:lang w:val="bg-BG" w:eastAsia="ar-SA"/>
            </w:rPr>
            <w:t>Име, фамилия</w:t>
          </w:r>
        </w:p>
      </w:tc>
      <w:tc>
        <w:tcPr>
          <w:tcW w:w="20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center"/>
            <w:textAlignment w:val="auto"/>
            <w:rPr>
              <w:rFonts w:cs="MS Serif;Times New Roman"/>
              <w:sz w:val="20"/>
              <w:lang w:val="bg-BG" w:eastAsia="ar-SA"/>
            </w:rPr>
          </w:pPr>
          <w:r>
            <w:rPr>
              <w:rFonts w:cs="MS Serif;Times New Roman"/>
              <w:sz w:val="20"/>
              <w:lang w:val="bg-BG" w:eastAsia="ar-SA"/>
            </w:rPr>
            <w:t>Подпис</w:t>
          </w:r>
        </w:p>
      </w:tc>
    </w:tr>
    <w:tr>
      <w:trPr>
        <w:cantSplit/>
      </w:trPr>
      <w:tc>
        <w:tcPr>
          <w:tcW w:w="1843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both"/>
            <w:textAlignment w:val="auto"/>
            <w:rPr>
              <w:rFonts w:cs="MS Serif;Times New Roman"/>
              <w:sz w:val="20"/>
              <w:lang w:val="bg-BG" w:eastAsia="ar-SA"/>
            </w:rPr>
          </w:pPr>
          <w:r>
            <w:rPr>
              <w:rFonts w:cs="MS Serif;Times New Roman"/>
              <w:sz w:val="20"/>
              <w:lang w:val="bg-BG" w:eastAsia="ar-SA"/>
            </w:rPr>
            <w:t>Съставил:</w:t>
          </w:r>
        </w:p>
      </w:tc>
      <w:tc>
        <w:tcPr>
          <w:tcW w:w="2567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both"/>
            <w:textAlignment w:val="auto"/>
            <w:rPr>
              <w:rFonts w:cs="MS Serif;Times New Roman"/>
              <w:sz w:val="20"/>
              <w:lang w:val="bg-BG" w:eastAsia="ar-SA"/>
            </w:rPr>
          </w:pPr>
          <w:r>
            <w:rPr>
              <w:rFonts w:cs="MS Serif;Times New Roman"/>
              <w:sz w:val="20"/>
              <w:lang w:val="bg-BG" w:eastAsia="ar-SA"/>
            </w:rPr>
            <w:t>УПР</w:t>
          </w:r>
        </w:p>
      </w:tc>
      <w:tc>
        <w:tcPr>
          <w:tcW w:w="3192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both"/>
            <w:textAlignment w:val="auto"/>
            <w:rPr>
              <w:rFonts w:cs="MS Serif;Times New Roman"/>
              <w:sz w:val="20"/>
              <w:highlight w:val="yellow"/>
              <w:lang w:val="bg-BG" w:eastAsia="ar-SA"/>
            </w:rPr>
          </w:pPr>
          <w:r>
            <w:rPr>
              <w:rFonts w:cs="MS Serif;Times New Roman"/>
              <w:sz w:val="20"/>
              <w:highlight w:val="yellow"/>
              <w:lang w:val="bg-BG" w:eastAsia="ar-SA"/>
            </w:rPr>
          </w:r>
        </w:p>
      </w:tc>
      <w:tc>
        <w:tcPr>
          <w:tcW w:w="20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both"/>
            <w:textAlignment w:val="auto"/>
            <w:rPr>
              <w:rFonts w:cs="MS Serif;Times New Roman"/>
              <w:sz w:val="20"/>
              <w:highlight w:val="yellow"/>
              <w:lang w:val="bg-BG" w:eastAsia="ar-SA"/>
            </w:rPr>
          </w:pPr>
          <w:r>
            <w:rPr>
              <w:rFonts w:cs="MS Serif;Times New Roman"/>
              <w:sz w:val="20"/>
              <w:highlight w:val="yellow"/>
              <w:lang w:val="bg-BG" w:eastAsia="ar-SA"/>
            </w:rPr>
          </w:r>
        </w:p>
      </w:tc>
    </w:tr>
    <w:tr>
      <w:trPr>
        <w:cantSplit/>
      </w:trPr>
      <w:tc>
        <w:tcPr>
          <w:tcW w:w="1843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both"/>
            <w:textAlignment w:val="auto"/>
            <w:rPr>
              <w:rFonts w:cs="MS Serif;Times New Roman"/>
              <w:sz w:val="20"/>
              <w:lang w:val="bg-BG" w:eastAsia="ar-SA"/>
            </w:rPr>
          </w:pPr>
          <w:r>
            <w:rPr>
              <w:rFonts w:cs="MS Serif;Times New Roman"/>
              <w:sz w:val="20"/>
              <w:lang w:val="bg-BG" w:eastAsia="ar-SA"/>
            </w:rPr>
            <w:t>Проверил:</w:t>
          </w:r>
        </w:p>
      </w:tc>
      <w:tc>
        <w:tcPr>
          <w:tcW w:w="2567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both"/>
            <w:textAlignment w:val="auto"/>
            <w:rPr>
              <w:rFonts w:cs="MS Serif;Times New Roman"/>
              <w:sz w:val="20"/>
              <w:lang w:val="bg-BG" w:eastAsia="ar-SA"/>
            </w:rPr>
          </w:pPr>
          <w:r>
            <w:rPr>
              <w:rFonts w:cs="MS Serif;Times New Roman"/>
              <w:sz w:val="20"/>
              <w:lang w:val="bg-BG" w:eastAsia="ar-SA"/>
            </w:rPr>
            <w:t>УПР</w:t>
          </w:r>
        </w:p>
      </w:tc>
      <w:tc>
        <w:tcPr>
          <w:tcW w:w="3192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both"/>
            <w:textAlignment w:val="auto"/>
            <w:rPr>
              <w:rFonts w:cs="MS Serif;Times New Roman"/>
              <w:sz w:val="20"/>
              <w:highlight w:val="yellow"/>
              <w:lang w:val="bg-BG" w:eastAsia="ar-SA"/>
            </w:rPr>
          </w:pPr>
          <w:r>
            <w:rPr>
              <w:rFonts w:cs="MS Serif;Times New Roman"/>
              <w:sz w:val="20"/>
              <w:highlight w:val="yellow"/>
              <w:lang w:val="bg-BG" w:eastAsia="ar-SA"/>
            </w:rPr>
          </w:r>
        </w:p>
      </w:tc>
      <w:tc>
        <w:tcPr>
          <w:tcW w:w="20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both"/>
            <w:textAlignment w:val="auto"/>
            <w:rPr>
              <w:rFonts w:cs="MS Serif;Times New Roman"/>
              <w:sz w:val="20"/>
              <w:highlight w:val="yellow"/>
              <w:lang w:val="bg-BG" w:eastAsia="ar-SA"/>
            </w:rPr>
          </w:pPr>
          <w:r>
            <w:rPr>
              <w:rFonts w:cs="MS Serif;Times New Roman"/>
              <w:sz w:val="20"/>
              <w:highlight w:val="yellow"/>
              <w:lang w:val="bg-BG" w:eastAsia="ar-SA"/>
            </w:rPr>
          </w:r>
        </w:p>
      </w:tc>
    </w:tr>
    <w:tr>
      <w:trPr>
        <w:cantSplit/>
      </w:trPr>
      <w:tc>
        <w:tcPr>
          <w:tcW w:w="1843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both"/>
            <w:textAlignment w:val="auto"/>
            <w:rPr>
              <w:rFonts w:cs="MS Serif;Times New Roman"/>
              <w:sz w:val="20"/>
              <w:lang w:val="bg-BG" w:eastAsia="ar-SA"/>
            </w:rPr>
          </w:pPr>
          <w:r>
            <w:rPr>
              <w:rFonts w:cs="MS Serif;Times New Roman"/>
              <w:sz w:val="20"/>
              <w:lang w:val="bg-BG" w:eastAsia="ar-SA"/>
            </w:rPr>
            <w:t>Утвърдил:</w:t>
          </w:r>
        </w:p>
      </w:tc>
      <w:tc>
        <w:tcPr>
          <w:tcW w:w="2567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both"/>
            <w:textAlignment w:val="auto"/>
            <w:rPr>
              <w:rFonts w:cs="MS Serif;Times New Roman"/>
              <w:sz w:val="20"/>
              <w:lang w:val="bg-BG" w:eastAsia="ar-SA"/>
            </w:rPr>
          </w:pPr>
          <w:r>
            <w:rPr>
              <w:rFonts w:cs="MS Serif;Times New Roman"/>
              <w:sz w:val="20"/>
              <w:lang w:val="bg-BG" w:eastAsia="ar-SA"/>
            </w:rPr>
            <w:t>Управител</w:t>
          </w:r>
        </w:p>
      </w:tc>
      <w:tc>
        <w:tcPr>
          <w:tcW w:w="3192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both"/>
            <w:textAlignment w:val="auto"/>
            <w:rPr>
              <w:rFonts w:cs="MS Serif;Times New Roman"/>
              <w:sz w:val="20"/>
              <w:highlight w:val="yellow"/>
              <w:lang w:val="bg-BG" w:eastAsia="ar-SA"/>
            </w:rPr>
          </w:pPr>
          <w:r>
            <w:rPr>
              <w:rFonts w:cs="MS Serif;Times New Roman"/>
              <w:sz w:val="20"/>
              <w:lang w:val="bg-BG" w:eastAsia="ar-SA"/>
            </w:rPr>
            <w:t>ДЕЯН МАНДАЛИЕВ</w:t>
          </w:r>
        </w:p>
      </w:tc>
      <w:tc>
        <w:tcPr>
          <w:tcW w:w="20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both"/>
            <w:textAlignment w:val="auto"/>
            <w:rPr>
              <w:rFonts w:cs="MS Serif;Times New Roman"/>
              <w:sz w:val="20"/>
              <w:highlight w:val="yellow"/>
              <w:lang w:val="bg-BG" w:eastAsia="ar-SA"/>
            </w:rPr>
          </w:pPr>
          <w:r>
            <w:rPr>
              <w:rFonts w:cs="MS Serif;Times New Roman"/>
              <w:sz w:val="20"/>
              <w:highlight w:val="yellow"/>
              <w:lang w:val="bg-BG" w:eastAsia="ar-SA"/>
            </w:rPr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846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4050"/>
      <w:gridCol w:w="4314"/>
      <w:gridCol w:w="1482"/>
    </w:tblGrid>
    <w:tr>
      <w:trPr>
        <w:trHeight w:val="1517" w:hRule="atLeast"/>
        <w:cantSplit/>
      </w:trPr>
      <w:tc>
        <w:tcPr>
          <w:tcW w:w="40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Normal"/>
            <w:suppressAutoHyphens w:val="true"/>
            <w:overflowPunct w:val="true"/>
            <w:autoSpaceDE w:val="true"/>
            <w:snapToGrid w:val="false"/>
            <w:ind w:start="-142" w:end="3156"/>
            <w:jc w:val="end"/>
            <w:textAlignment w:val="auto"/>
            <w:rPr>
              <w:rFonts w:cs="MS Serif;Times New Roman"/>
              <w:sz w:val="20"/>
              <w:highlight w:val="yellow"/>
              <w:lang w:val="bg-BG" w:eastAsia="ar-SA"/>
            </w:rPr>
          </w:pPr>
          <w:r>
            <w:rPr>
              <w:rFonts w:cs="MS Serif;Times New Roman"/>
              <w:sz w:val="20"/>
              <w:highlight w:val="yellow"/>
              <w:lang w:val="bg-BG" w:eastAsia="ar-SA"/>
            </w:rPr>
          </w:r>
        </w:p>
      </w:tc>
      <w:tc>
        <w:tcPr>
          <w:tcW w:w="4314" w:type="dxa"/>
          <w:tcBorders>
            <w:top w:val="single" w:sz="4" w:space="0" w:color="000000"/>
            <w:bottom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spacing w:before="120" w:after="0"/>
            <w:ind w:start="32" w:end="0"/>
            <w:jc w:val="center"/>
            <w:textAlignment w:val="auto"/>
            <w:rPr>
              <w:rFonts w:cs="MS Serif;Times New Roman"/>
              <w:b/>
              <w:sz w:val="28"/>
              <w:highlight w:val="yellow"/>
              <w:lang w:val="bg-BG" w:eastAsia="ar-SA"/>
            </w:rPr>
          </w:pPr>
          <w:r>
            <w:rPr>
              <w:rFonts w:cs="MS Serif;Times New Roman"/>
              <w:b/>
              <w:color w:val="000000"/>
              <w:sz w:val="22"/>
              <w:lang w:val="bg-BG" w:eastAsia="ar-SA"/>
            </w:rPr>
            <w:t>БРАМАНД  ЕООД</w:t>
          </w:r>
        </w:p>
      </w:tc>
      <w:tc>
        <w:tcPr>
          <w:tcW w:w="1482" w:type="dxa"/>
          <w:tcBorders>
            <w:top w:val="single" w:sz="4" w:space="0" w:color="000000"/>
            <w:start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spacing w:before="120" w:after="0"/>
            <w:jc w:val="center"/>
            <w:textAlignment w:val="auto"/>
            <w:rPr>
              <w:rFonts w:cs="MS Serif;Times New Roman"/>
              <w:b/>
              <w:sz w:val="20"/>
              <w:lang w:val="bg-BG" w:eastAsia="ar-SA"/>
            </w:rPr>
          </w:pPr>
          <w:r>
            <w:rPr>
              <w:rFonts w:cs="MS Serif;Times New Roman"/>
              <w:b/>
              <w:sz w:val="20"/>
              <w:lang w:val="bg-BG" w:eastAsia="ar-SA"/>
            </w:rPr>
            <w:t>ПОС 05</w:t>
          </w:r>
        </w:p>
      </w:tc>
    </w:tr>
    <w:tr>
      <w:trPr>
        <w:trHeight w:val="285" w:hRule="atLeast"/>
        <w:cantSplit/>
      </w:trPr>
      <w:tc>
        <w:tcPr>
          <w:tcW w:w="40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textAlignment w:val="auto"/>
            <w:rPr>
              <w:rFonts w:cs="MS Serif;Times New Roman"/>
              <w:b/>
              <w:sz w:val="20"/>
              <w:lang w:val="bg-BG" w:eastAsia="ar-SA"/>
            </w:rPr>
          </w:pPr>
          <w:r>
            <w:rPr>
              <w:rFonts w:cs="MS Serif;Times New Roman"/>
              <w:b/>
              <w:sz w:val="20"/>
              <w:lang w:val="bg-BG" w:eastAsia="ar-SA"/>
            </w:rPr>
            <w:t>Раздел:</w:t>
          </w:r>
        </w:p>
      </w:tc>
      <w:tc>
        <w:tcPr>
          <w:tcW w:w="5796" w:type="dxa"/>
          <w:gridSpan w:val="2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both"/>
            <w:textAlignment w:val="auto"/>
            <w:rPr>
              <w:rFonts w:cs="MS Serif;Times New Roman"/>
              <w:sz w:val="20"/>
              <w:lang w:val="bg-BG" w:eastAsia="ar-SA"/>
            </w:rPr>
          </w:pPr>
          <w:r>
            <w:rPr>
              <w:rFonts w:cs="MS Serif;Times New Roman"/>
              <w:sz w:val="20"/>
              <w:lang w:val="bg-BG" w:eastAsia="ar-SA"/>
            </w:rPr>
            <w:t>Система за управление на околната среда</w:t>
          </w:r>
        </w:p>
      </w:tc>
    </w:tr>
    <w:tr>
      <w:trPr>
        <w:trHeight w:val="300" w:hRule="atLeast"/>
        <w:cantSplit/>
      </w:trPr>
      <w:tc>
        <w:tcPr>
          <w:tcW w:w="40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textAlignment w:val="auto"/>
            <w:rPr>
              <w:rFonts w:cs="MS Serif;Times New Roman"/>
              <w:b/>
              <w:sz w:val="20"/>
              <w:lang w:val="bg-BG" w:eastAsia="ar-SA"/>
            </w:rPr>
          </w:pPr>
          <w:r>
            <w:rPr>
              <w:rFonts w:cs="MS Serif;Times New Roman"/>
              <w:b/>
              <w:sz w:val="20"/>
              <w:lang w:val="bg-BG" w:eastAsia="ar-SA"/>
            </w:rPr>
            <w:t>Наименование на документа:</w:t>
          </w:r>
        </w:p>
      </w:tc>
      <w:tc>
        <w:tcPr>
          <w:tcW w:w="5796" w:type="dxa"/>
          <w:gridSpan w:val="2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both"/>
            <w:textAlignment w:val="auto"/>
            <w:rPr>
              <w:rFonts w:cs="MS Serif;Times New Roman"/>
              <w:sz w:val="20"/>
              <w:lang w:val="bg-BG" w:eastAsia="ar-SA"/>
            </w:rPr>
          </w:pPr>
          <w:r>
            <w:rPr>
              <w:rFonts w:cs="MS Serif;Times New Roman"/>
              <w:sz w:val="20"/>
              <w:lang w:val="bg-BG" w:eastAsia="ar-SA"/>
            </w:rPr>
            <w:t>Обмен на информация по околна среда, участие и консултиране</w:t>
          </w:r>
        </w:p>
      </w:tc>
    </w:tr>
    <w:tr>
      <w:trPr>
        <w:trHeight w:val="330" w:hRule="atLeast"/>
        <w:cantSplit/>
      </w:trPr>
      <w:tc>
        <w:tcPr>
          <w:tcW w:w="40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both"/>
            <w:textAlignment w:val="auto"/>
            <w:rPr>
              <w:rFonts w:cs="MS Serif;Times New Roman"/>
              <w:b/>
              <w:sz w:val="20"/>
              <w:lang w:val="bg-BG" w:eastAsia="ar-SA"/>
            </w:rPr>
          </w:pPr>
          <w:r>
            <w:rPr>
              <w:rFonts w:cs="MS Serif;Times New Roman"/>
              <w:b/>
              <w:sz w:val="20"/>
              <w:lang w:val="bg-BG" w:eastAsia="ar-SA"/>
            </w:rPr>
            <w:t xml:space="preserve">Дата на утвърждаване:  </w:t>
          </w:r>
          <w:r>
            <w:rPr>
              <w:rFonts w:cs="MS Serif;Times New Roman"/>
              <w:sz w:val="22"/>
              <w:lang w:val="bg-BG" w:eastAsia="ar-SA"/>
            </w:rPr>
            <w:t>01.03.2021</w:t>
          </w:r>
        </w:p>
      </w:tc>
      <w:tc>
        <w:tcPr>
          <w:tcW w:w="4314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both"/>
            <w:textAlignment w:val="auto"/>
            <w:rPr>
              <w:rFonts w:cs="MS Serif;Times New Roman"/>
              <w:sz w:val="20"/>
              <w:lang w:val="bg-BG" w:eastAsia="ar-SA"/>
            </w:rPr>
          </w:pPr>
          <w:r>
            <w:rPr>
              <w:rFonts w:cs="MS Serif;Times New Roman"/>
              <w:sz w:val="20"/>
              <w:lang w:val="bg-BG" w:eastAsia="ar-SA"/>
            </w:rPr>
            <w:t>Версия 01</w:t>
          </w:r>
        </w:p>
      </w:tc>
      <w:tc>
        <w:tcPr>
          <w:tcW w:w="1482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center"/>
            <w:textAlignment w:val="auto"/>
            <w:rPr>
              <w:rFonts w:cs="MS Serif;Times New Roman"/>
              <w:sz w:val="20"/>
              <w:lang w:val="bg-BG" w:eastAsia="ar-SA"/>
            </w:rPr>
          </w:pPr>
          <w:r>
            <w:rPr>
              <w:rFonts w:cs="MS Serif;Times New Roman"/>
              <w:sz w:val="20"/>
              <w:lang w:val="bg-BG" w:eastAsia="ar-SA"/>
            </w:rPr>
          </w:r>
        </w:p>
      </w:tc>
    </w:tr>
    <w:tr>
      <w:trPr>
        <w:trHeight w:val="300" w:hRule="atLeast"/>
        <w:cantSplit/>
      </w:trPr>
      <w:tc>
        <w:tcPr>
          <w:tcW w:w="40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both"/>
            <w:textAlignment w:val="auto"/>
            <w:rPr>
              <w:rFonts w:cs="MS Serif;Times New Roman"/>
              <w:b/>
              <w:sz w:val="20"/>
              <w:lang w:val="bg-BG" w:eastAsia="ar-SA"/>
            </w:rPr>
          </w:pPr>
          <w:r>
            <w:rPr>
              <w:rFonts w:cs="MS Serif;Times New Roman"/>
              <w:b/>
              <w:sz w:val="20"/>
              <w:lang w:val="bg-BG" w:eastAsia="ar-SA"/>
            </w:rPr>
            <w:t xml:space="preserve">Дата на влизане в сила: </w:t>
          </w:r>
          <w:r>
            <w:rPr>
              <w:rFonts w:cs="MS Serif;Times New Roman"/>
              <w:sz w:val="22"/>
              <w:lang w:val="bg-BG" w:eastAsia="ar-SA"/>
            </w:rPr>
            <w:t>01.03.2021</w:t>
          </w:r>
        </w:p>
      </w:tc>
      <w:tc>
        <w:tcPr>
          <w:tcW w:w="4314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both"/>
            <w:textAlignment w:val="auto"/>
            <w:rPr>
              <w:rFonts w:cs="MS Serif;Times New Roman"/>
              <w:b/>
              <w:sz w:val="20"/>
              <w:lang w:val="bg-BG" w:eastAsia="ar-SA"/>
            </w:rPr>
          </w:pPr>
          <w:r>
            <w:rPr>
              <w:rFonts w:cs="MS Serif;Times New Roman"/>
              <w:b/>
              <w:sz w:val="20"/>
              <w:lang w:val="bg-BG" w:eastAsia="ar-SA"/>
            </w:rPr>
          </w:r>
        </w:p>
      </w:tc>
      <w:tc>
        <w:tcPr>
          <w:tcW w:w="1482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center"/>
            <w:textAlignment w:val="auto"/>
            <w:rPr>
              <w:rFonts w:cs="MS Serif;Times New Roman"/>
              <w:sz w:val="20"/>
              <w:lang w:val="bg-BG" w:eastAsia="ar-SA"/>
            </w:rPr>
          </w:pPr>
          <w:r>
            <w:rPr>
              <w:rFonts w:cs="MS Serif;Times New Roman"/>
              <w:sz w:val="20"/>
              <w:lang w:val="bg-BG" w:eastAsia="ar-SA"/>
            </w:rPr>
          </w:r>
        </w:p>
      </w:tc>
    </w:tr>
    <w:tr>
      <w:trPr>
        <w:trHeight w:val="75" w:hRule="atLeast"/>
        <w:cantSplit/>
      </w:trPr>
      <w:tc>
        <w:tcPr>
          <w:tcW w:w="40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both"/>
            <w:textAlignment w:val="auto"/>
            <w:rPr>
              <w:rFonts w:cs="MS Serif;Times New Roman"/>
              <w:b/>
              <w:sz w:val="20"/>
              <w:lang w:val="bg-BG" w:eastAsia="ar-SA"/>
            </w:rPr>
          </w:pPr>
          <w:r>
            <w:rPr>
              <w:rFonts w:cs="MS Serif;Times New Roman"/>
              <w:b/>
              <w:sz w:val="20"/>
              <w:lang w:val="bg-BG" w:eastAsia="ar-SA"/>
            </w:rPr>
            <w:t>Контролирано копие</w:t>
          </w:r>
        </w:p>
      </w:tc>
      <w:tc>
        <w:tcPr>
          <w:tcW w:w="4314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both"/>
            <w:textAlignment w:val="auto"/>
            <w:rPr>
              <w:rFonts w:cs="MS Serif;Times New Roman"/>
              <w:b/>
              <w:sz w:val="20"/>
              <w:lang w:val="bg-BG" w:eastAsia="ar-SA"/>
            </w:rPr>
          </w:pPr>
          <w:r>
            <w:rPr>
              <w:rFonts w:cs="MS Serif;Times New Roman"/>
              <w:b/>
              <w:sz w:val="20"/>
              <w:lang w:val="bg-BG" w:eastAsia="ar-SA"/>
            </w:rPr>
          </w:r>
        </w:p>
      </w:tc>
      <w:tc>
        <w:tcPr>
          <w:tcW w:w="1482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center"/>
            <w:textAlignment w:val="auto"/>
            <w:rPr>
              <w:rFonts w:ascii="Wingdings" w:hAnsi="Wingdings" w:eastAsia="Wingdings" w:cs="Wingdings"/>
              <w:sz w:val="20"/>
              <w:lang w:val="bg-BG" w:eastAsia="ar-SA"/>
            </w:rPr>
          </w:pPr>
          <w:r>
            <w:rPr>
              <w:rFonts w:eastAsia="Wingdings" w:cs="Wingdings" w:ascii="Wingdings" w:hAnsi="Wingdings"/>
              <w:sz w:val="20"/>
              <w:lang w:val="bg-BG" w:eastAsia="ar-SA"/>
            </w:rPr>
            <w:sym w:font="Wingdings" w:char="f0fe"/>
          </w:r>
        </w:p>
      </w:tc>
    </w:tr>
    <w:tr>
      <w:trPr>
        <w:trHeight w:val="84" w:hRule="atLeast"/>
        <w:cantSplit/>
      </w:trPr>
      <w:tc>
        <w:tcPr>
          <w:tcW w:w="40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both"/>
            <w:textAlignment w:val="auto"/>
            <w:rPr>
              <w:rFonts w:cs="MS Serif;Times New Roman"/>
              <w:b/>
              <w:sz w:val="20"/>
              <w:lang w:val="bg-BG" w:eastAsia="ar-SA"/>
            </w:rPr>
          </w:pPr>
          <w:r>
            <w:rPr>
              <w:rFonts w:cs="MS Serif;Times New Roman"/>
              <w:b/>
              <w:sz w:val="20"/>
              <w:lang w:val="bg-BG" w:eastAsia="ar-SA"/>
            </w:rPr>
            <w:t>Неконтролирано копие</w:t>
          </w:r>
        </w:p>
      </w:tc>
      <w:tc>
        <w:tcPr>
          <w:tcW w:w="4314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both"/>
            <w:textAlignment w:val="auto"/>
            <w:rPr>
              <w:rFonts w:cs="MS Serif;Times New Roman"/>
              <w:b/>
              <w:sz w:val="20"/>
              <w:lang w:val="bg-BG" w:eastAsia="ar-SA"/>
            </w:rPr>
          </w:pPr>
          <w:r>
            <w:rPr>
              <w:rFonts w:cs="MS Serif;Times New Roman"/>
              <w:b/>
              <w:sz w:val="20"/>
              <w:lang w:val="bg-BG" w:eastAsia="ar-SA"/>
            </w:rPr>
          </w:r>
        </w:p>
      </w:tc>
      <w:tc>
        <w:tcPr>
          <w:tcW w:w="1482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center"/>
            <w:textAlignment w:val="auto"/>
            <w:rPr>
              <w:rFonts w:cs="MS Serif;Times New Roman"/>
              <w:sz w:val="20"/>
              <w:lang w:val="bg-BG" w:eastAsia="ar-SA"/>
            </w:rPr>
          </w:pPr>
          <w:r>
            <w:rPr>
              <w:rFonts w:cs="MS Serif;Times New Roman"/>
              <w:sz w:val="20"/>
              <w:lang w:val="bg-BG" w:eastAsia="ar-SA"/>
            </w:rPr>
          </w:r>
        </w:p>
      </w:tc>
    </w:tr>
  </w:tbl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846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4050"/>
      <w:gridCol w:w="4314"/>
      <w:gridCol w:w="1482"/>
    </w:tblGrid>
    <w:tr>
      <w:trPr>
        <w:trHeight w:val="1517" w:hRule="atLeast"/>
        <w:cantSplit/>
      </w:trPr>
      <w:tc>
        <w:tcPr>
          <w:tcW w:w="40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Normal"/>
            <w:suppressAutoHyphens w:val="true"/>
            <w:overflowPunct w:val="true"/>
            <w:autoSpaceDE w:val="true"/>
            <w:snapToGrid w:val="false"/>
            <w:ind w:start="-142" w:end="3156"/>
            <w:jc w:val="end"/>
            <w:textAlignment w:val="auto"/>
            <w:rPr>
              <w:rFonts w:cs="MS Serif;Times New Roman"/>
              <w:sz w:val="20"/>
              <w:highlight w:val="yellow"/>
              <w:lang w:val="bg-BG" w:eastAsia="ar-SA"/>
            </w:rPr>
          </w:pPr>
          <w:r>
            <w:rPr>
              <w:rFonts w:cs="MS Serif;Times New Roman"/>
              <w:sz w:val="20"/>
              <w:highlight w:val="yellow"/>
              <w:lang w:val="bg-BG" w:eastAsia="ar-SA"/>
            </w:rPr>
          </w:r>
        </w:p>
      </w:tc>
      <w:tc>
        <w:tcPr>
          <w:tcW w:w="4314" w:type="dxa"/>
          <w:tcBorders>
            <w:top w:val="single" w:sz="4" w:space="0" w:color="000000"/>
            <w:bottom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spacing w:before="120" w:after="0"/>
            <w:ind w:start="32" w:end="0"/>
            <w:jc w:val="center"/>
            <w:textAlignment w:val="auto"/>
            <w:rPr>
              <w:rFonts w:cs="MS Serif;Times New Roman"/>
              <w:b/>
              <w:sz w:val="28"/>
              <w:highlight w:val="yellow"/>
              <w:lang w:val="bg-BG" w:eastAsia="ar-SA"/>
            </w:rPr>
          </w:pPr>
          <w:r>
            <w:rPr>
              <w:rFonts w:cs="MS Serif;Times New Roman"/>
              <w:b/>
              <w:color w:val="000000"/>
              <w:sz w:val="22"/>
              <w:lang w:val="bg-BG" w:eastAsia="ar-SA"/>
            </w:rPr>
            <w:t>БРАМАНД  ЕООД</w:t>
          </w:r>
        </w:p>
      </w:tc>
      <w:tc>
        <w:tcPr>
          <w:tcW w:w="1482" w:type="dxa"/>
          <w:tcBorders>
            <w:top w:val="single" w:sz="4" w:space="0" w:color="000000"/>
            <w:start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spacing w:before="120" w:after="0"/>
            <w:jc w:val="center"/>
            <w:textAlignment w:val="auto"/>
            <w:rPr>
              <w:rFonts w:cs="MS Serif;Times New Roman"/>
              <w:b/>
              <w:sz w:val="20"/>
              <w:lang w:val="bg-BG" w:eastAsia="ar-SA"/>
            </w:rPr>
          </w:pPr>
          <w:r>
            <w:rPr>
              <w:rFonts w:cs="MS Serif;Times New Roman"/>
              <w:b/>
              <w:sz w:val="20"/>
              <w:lang w:val="bg-BG" w:eastAsia="ar-SA"/>
            </w:rPr>
            <w:t>ПОС 05</w:t>
          </w:r>
        </w:p>
      </w:tc>
    </w:tr>
    <w:tr>
      <w:trPr>
        <w:trHeight w:val="285" w:hRule="atLeast"/>
        <w:cantSplit/>
      </w:trPr>
      <w:tc>
        <w:tcPr>
          <w:tcW w:w="40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textAlignment w:val="auto"/>
            <w:rPr>
              <w:rFonts w:cs="MS Serif;Times New Roman"/>
              <w:b/>
              <w:sz w:val="20"/>
              <w:lang w:val="bg-BG" w:eastAsia="ar-SA"/>
            </w:rPr>
          </w:pPr>
          <w:r>
            <w:rPr>
              <w:rFonts w:cs="MS Serif;Times New Roman"/>
              <w:b/>
              <w:sz w:val="20"/>
              <w:lang w:val="bg-BG" w:eastAsia="ar-SA"/>
            </w:rPr>
            <w:t>Раздел:</w:t>
          </w:r>
        </w:p>
      </w:tc>
      <w:tc>
        <w:tcPr>
          <w:tcW w:w="5796" w:type="dxa"/>
          <w:gridSpan w:val="2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both"/>
            <w:textAlignment w:val="auto"/>
            <w:rPr>
              <w:rFonts w:cs="MS Serif;Times New Roman"/>
              <w:sz w:val="20"/>
              <w:lang w:val="bg-BG" w:eastAsia="ar-SA"/>
            </w:rPr>
          </w:pPr>
          <w:r>
            <w:rPr>
              <w:rFonts w:cs="MS Serif;Times New Roman"/>
              <w:sz w:val="20"/>
              <w:lang w:val="bg-BG" w:eastAsia="ar-SA"/>
            </w:rPr>
            <w:t>Система за управление на околната среда</w:t>
          </w:r>
        </w:p>
      </w:tc>
    </w:tr>
    <w:tr>
      <w:trPr>
        <w:trHeight w:val="300" w:hRule="atLeast"/>
        <w:cantSplit/>
      </w:trPr>
      <w:tc>
        <w:tcPr>
          <w:tcW w:w="40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textAlignment w:val="auto"/>
            <w:rPr>
              <w:rFonts w:cs="MS Serif;Times New Roman"/>
              <w:b/>
              <w:sz w:val="20"/>
              <w:lang w:val="bg-BG" w:eastAsia="ar-SA"/>
            </w:rPr>
          </w:pPr>
          <w:r>
            <w:rPr>
              <w:rFonts w:cs="MS Serif;Times New Roman"/>
              <w:b/>
              <w:sz w:val="20"/>
              <w:lang w:val="bg-BG" w:eastAsia="ar-SA"/>
            </w:rPr>
            <w:t>Наименование на документа:</w:t>
          </w:r>
        </w:p>
      </w:tc>
      <w:tc>
        <w:tcPr>
          <w:tcW w:w="5796" w:type="dxa"/>
          <w:gridSpan w:val="2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both"/>
            <w:textAlignment w:val="auto"/>
            <w:rPr>
              <w:rFonts w:cs="MS Serif;Times New Roman"/>
              <w:sz w:val="20"/>
              <w:lang w:val="bg-BG" w:eastAsia="ar-SA"/>
            </w:rPr>
          </w:pPr>
          <w:r>
            <w:rPr>
              <w:rFonts w:cs="MS Serif;Times New Roman"/>
              <w:sz w:val="20"/>
              <w:lang w:val="bg-BG" w:eastAsia="ar-SA"/>
            </w:rPr>
            <w:t>Обмен на информация по околна среда, участие и консултиране</w:t>
          </w:r>
        </w:p>
      </w:tc>
    </w:tr>
    <w:tr>
      <w:trPr>
        <w:trHeight w:val="330" w:hRule="atLeast"/>
        <w:cantSplit/>
      </w:trPr>
      <w:tc>
        <w:tcPr>
          <w:tcW w:w="40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both"/>
            <w:textAlignment w:val="auto"/>
            <w:rPr>
              <w:rFonts w:cs="MS Serif;Times New Roman"/>
              <w:b/>
              <w:sz w:val="20"/>
              <w:lang w:val="bg-BG" w:eastAsia="ar-SA"/>
            </w:rPr>
          </w:pPr>
          <w:r>
            <w:rPr>
              <w:rFonts w:cs="MS Serif;Times New Roman"/>
              <w:b/>
              <w:sz w:val="20"/>
              <w:lang w:val="bg-BG" w:eastAsia="ar-SA"/>
            </w:rPr>
            <w:t xml:space="preserve">Дата на утвърждаване:  </w:t>
          </w:r>
          <w:r>
            <w:rPr>
              <w:rFonts w:cs="MS Serif;Times New Roman"/>
              <w:sz w:val="22"/>
              <w:lang w:val="bg-BG" w:eastAsia="ar-SA"/>
            </w:rPr>
            <w:t>01.03.2021</w:t>
          </w:r>
        </w:p>
      </w:tc>
      <w:tc>
        <w:tcPr>
          <w:tcW w:w="4314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both"/>
            <w:textAlignment w:val="auto"/>
            <w:rPr>
              <w:rFonts w:cs="MS Serif;Times New Roman"/>
              <w:sz w:val="20"/>
              <w:lang w:val="bg-BG" w:eastAsia="ar-SA"/>
            </w:rPr>
          </w:pPr>
          <w:r>
            <w:rPr>
              <w:rFonts w:cs="MS Serif;Times New Roman"/>
              <w:sz w:val="20"/>
              <w:lang w:val="bg-BG" w:eastAsia="ar-SA"/>
            </w:rPr>
            <w:t>Версия 01</w:t>
          </w:r>
        </w:p>
      </w:tc>
      <w:tc>
        <w:tcPr>
          <w:tcW w:w="1482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center"/>
            <w:textAlignment w:val="auto"/>
            <w:rPr>
              <w:rFonts w:cs="MS Serif;Times New Roman"/>
              <w:sz w:val="20"/>
              <w:lang w:val="bg-BG" w:eastAsia="ar-SA"/>
            </w:rPr>
          </w:pPr>
          <w:r>
            <w:rPr>
              <w:rFonts w:cs="MS Serif;Times New Roman"/>
              <w:sz w:val="20"/>
              <w:lang w:val="bg-BG" w:eastAsia="ar-SA"/>
            </w:rPr>
          </w:r>
        </w:p>
      </w:tc>
    </w:tr>
    <w:tr>
      <w:trPr>
        <w:trHeight w:val="300" w:hRule="atLeast"/>
        <w:cantSplit/>
      </w:trPr>
      <w:tc>
        <w:tcPr>
          <w:tcW w:w="40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both"/>
            <w:textAlignment w:val="auto"/>
            <w:rPr>
              <w:rFonts w:cs="MS Serif;Times New Roman"/>
              <w:b/>
              <w:sz w:val="20"/>
              <w:lang w:val="bg-BG" w:eastAsia="ar-SA"/>
            </w:rPr>
          </w:pPr>
          <w:r>
            <w:rPr>
              <w:rFonts w:cs="MS Serif;Times New Roman"/>
              <w:b/>
              <w:sz w:val="20"/>
              <w:lang w:val="bg-BG" w:eastAsia="ar-SA"/>
            </w:rPr>
            <w:t xml:space="preserve">Дата на влизане в сила: </w:t>
          </w:r>
          <w:r>
            <w:rPr>
              <w:rFonts w:cs="MS Serif;Times New Roman"/>
              <w:sz w:val="22"/>
              <w:lang w:val="bg-BG" w:eastAsia="ar-SA"/>
            </w:rPr>
            <w:t>01.03.2021</w:t>
          </w:r>
        </w:p>
      </w:tc>
      <w:tc>
        <w:tcPr>
          <w:tcW w:w="4314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both"/>
            <w:textAlignment w:val="auto"/>
            <w:rPr>
              <w:rFonts w:cs="MS Serif;Times New Roman"/>
              <w:b/>
              <w:sz w:val="20"/>
              <w:lang w:val="bg-BG" w:eastAsia="ar-SA"/>
            </w:rPr>
          </w:pPr>
          <w:r>
            <w:rPr>
              <w:rFonts w:cs="MS Serif;Times New Roman"/>
              <w:b/>
              <w:sz w:val="20"/>
              <w:lang w:val="bg-BG" w:eastAsia="ar-SA"/>
            </w:rPr>
          </w:r>
        </w:p>
      </w:tc>
      <w:tc>
        <w:tcPr>
          <w:tcW w:w="1482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center"/>
            <w:textAlignment w:val="auto"/>
            <w:rPr>
              <w:rFonts w:cs="MS Serif;Times New Roman"/>
              <w:sz w:val="20"/>
              <w:lang w:val="bg-BG" w:eastAsia="ar-SA"/>
            </w:rPr>
          </w:pPr>
          <w:r>
            <w:rPr>
              <w:rFonts w:cs="MS Serif;Times New Roman"/>
              <w:sz w:val="20"/>
              <w:lang w:val="bg-BG" w:eastAsia="ar-SA"/>
            </w:rPr>
          </w:r>
        </w:p>
      </w:tc>
    </w:tr>
    <w:tr>
      <w:trPr>
        <w:trHeight w:val="75" w:hRule="atLeast"/>
        <w:cantSplit/>
      </w:trPr>
      <w:tc>
        <w:tcPr>
          <w:tcW w:w="40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both"/>
            <w:textAlignment w:val="auto"/>
            <w:rPr>
              <w:rFonts w:cs="MS Serif;Times New Roman"/>
              <w:b/>
              <w:sz w:val="20"/>
              <w:lang w:val="bg-BG" w:eastAsia="ar-SA"/>
            </w:rPr>
          </w:pPr>
          <w:r>
            <w:rPr>
              <w:rFonts w:cs="MS Serif;Times New Roman"/>
              <w:b/>
              <w:sz w:val="20"/>
              <w:lang w:val="bg-BG" w:eastAsia="ar-SA"/>
            </w:rPr>
            <w:t>Контролирано копие</w:t>
          </w:r>
        </w:p>
      </w:tc>
      <w:tc>
        <w:tcPr>
          <w:tcW w:w="4314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both"/>
            <w:textAlignment w:val="auto"/>
            <w:rPr>
              <w:rFonts w:cs="MS Serif;Times New Roman"/>
              <w:b/>
              <w:sz w:val="20"/>
              <w:lang w:val="bg-BG" w:eastAsia="ar-SA"/>
            </w:rPr>
          </w:pPr>
          <w:r>
            <w:rPr>
              <w:rFonts w:cs="MS Serif;Times New Roman"/>
              <w:b/>
              <w:sz w:val="20"/>
              <w:lang w:val="bg-BG" w:eastAsia="ar-SA"/>
            </w:rPr>
          </w:r>
        </w:p>
      </w:tc>
      <w:tc>
        <w:tcPr>
          <w:tcW w:w="1482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center"/>
            <w:textAlignment w:val="auto"/>
            <w:rPr>
              <w:rFonts w:ascii="Wingdings" w:hAnsi="Wingdings" w:eastAsia="Wingdings" w:cs="Wingdings"/>
              <w:sz w:val="20"/>
              <w:lang w:val="bg-BG" w:eastAsia="ar-SA"/>
            </w:rPr>
          </w:pPr>
          <w:r>
            <w:rPr>
              <w:rFonts w:eastAsia="Wingdings" w:cs="Wingdings" w:ascii="Wingdings" w:hAnsi="Wingdings"/>
              <w:sz w:val="20"/>
              <w:lang w:val="bg-BG" w:eastAsia="ar-SA"/>
            </w:rPr>
            <w:sym w:font="Wingdings" w:char="f0fe"/>
          </w:r>
        </w:p>
      </w:tc>
    </w:tr>
    <w:tr>
      <w:trPr>
        <w:trHeight w:val="84" w:hRule="atLeast"/>
        <w:cantSplit/>
      </w:trPr>
      <w:tc>
        <w:tcPr>
          <w:tcW w:w="40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both"/>
            <w:textAlignment w:val="auto"/>
            <w:rPr>
              <w:rFonts w:cs="MS Serif;Times New Roman"/>
              <w:b/>
              <w:sz w:val="20"/>
              <w:lang w:val="bg-BG" w:eastAsia="ar-SA"/>
            </w:rPr>
          </w:pPr>
          <w:r>
            <w:rPr>
              <w:rFonts w:cs="MS Serif;Times New Roman"/>
              <w:b/>
              <w:sz w:val="20"/>
              <w:lang w:val="bg-BG" w:eastAsia="ar-SA"/>
            </w:rPr>
            <w:t>Неконтролирано копие</w:t>
          </w:r>
        </w:p>
      </w:tc>
      <w:tc>
        <w:tcPr>
          <w:tcW w:w="4314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both"/>
            <w:textAlignment w:val="auto"/>
            <w:rPr>
              <w:rFonts w:cs="MS Serif;Times New Roman"/>
              <w:b/>
              <w:sz w:val="20"/>
              <w:lang w:val="bg-BG" w:eastAsia="ar-SA"/>
            </w:rPr>
          </w:pPr>
          <w:r>
            <w:rPr>
              <w:rFonts w:cs="MS Serif;Times New Roman"/>
              <w:b/>
              <w:sz w:val="20"/>
              <w:lang w:val="bg-BG" w:eastAsia="ar-SA"/>
            </w:rPr>
          </w:r>
        </w:p>
      </w:tc>
      <w:tc>
        <w:tcPr>
          <w:tcW w:w="1482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center"/>
            <w:textAlignment w:val="auto"/>
            <w:rPr>
              <w:rFonts w:cs="MS Serif;Times New Roman"/>
              <w:sz w:val="20"/>
              <w:lang w:val="bg-BG" w:eastAsia="ar-SA"/>
            </w:rPr>
          </w:pPr>
          <w:r>
            <w:rPr>
              <w:rFonts w:cs="MS Serif;Times New Roman"/>
              <w:sz w:val="20"/>
              <w:lang w:val="bg-BG" w:eastAsia="ar-SA"/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lvlText w:val="%1"/>
      <w:lvlJc w:val="start"/>
      <w:pPr>
        <w:tabs>
          <w:tab w:val="num" w:pos="432"/>
        </w:tabs>
        <w:ind w:start="432" w:hanging="432"/>
      </w:pPr>
    </w:lvl>
    <w:lvl w:ilvl="1">
      <w:start w:val="1"/>
      <w:numFmt w:val="decimal"/>
      <w:pStyle w:val="Heading2"/>
      <w:lvlText w:val="%1.%2"/>
      <w:lvlJc w:val="start"/>
      <w:pPr>
        <w:tabs>
          <w:tab w:val="num" w:pos="576"/>
        </w:tabs>
        <w:ind w:start="576" w:hanging="576"/>
      </w:pPr>
    </w:lvl>
    <w:lvl w:ilvl="2">
      <w:start w:val="1"/>
      <w:numFmt w:val="decimal"/>
      <w:pStyle w:val="Heading3"/>
      <w:lvlText w:val="%1.%2.%3"/>
      <w:lvlJc w:val="start"/>
      <w:pPr>
        <w:tabs>
          <w:tab w:val="num" w:pos="720"/>
        </w:tabs>
        <w:ind w:start="720" w:hanging="720"/>
      </w:pPr>
    </w:lvl>
    <w:lvl w:ilvl="3">
      <w:start w:val="1"/>
      <w:numFmt w:val="decimal"/>
      <w:pStyle w:val="Heading4"/>
      <w:lvlText w:val="%1.%2.%3.%4"/>
      <w:lvlJc w:val="start"/>
      <w:pPr>
        <w:tabs>
          <w:tab w:val="num" w:pos="864"/>
        </w:tabs>
        <w:ind w:start="1584" w:hanging="864"/>
      </w:pPr>
    </w:lvl>
    <w:lvl w:ilvl="4">
      <w:start w:val="1"/>
      <w:numFmt w:val="decimal"/>
      <w:pStyle w:val="Heading5"/>
      <w:lvlText w:val="%1.%2.%3.%4.%5"/>
      <w:lvlJc w:val="start"/>
      <w:pPr>
        <w:tabs>
          <w:tab w:val="num" w:pos="1008"/>
        </w:tabs>
        <w:ind w:start="1008" w:hanging="1008"/>
      </w:pPr>
    </w:lvl>
    <w:lvl w:ilvl="5">
      <w:start w:val="1"/>
      <w:numFmt w:val="decimal"/>
      <w:pStyle w:val="Heading6"/>
      <w:lvlText w:val="%1.%2.%3.%4.%5.%6"/>
      <w:lvlJc w:val="start"/>
      <w:pPr>
        <w:tabs>
          <w:tab w:val="num" w:pos="1152"/>
        </w:tabs>
        <w:ind w:start="1152" w:hanging="1152"/>
      </w:pPr>
    </w:lvl>
    <w:lvl w:ilvl="6">
      <w:start w:val="1"/>
      <w:numFmt w:val="decimal"/>
      <w:pStyle w:val="Heading7"/>
      <w:lvlText w:val="%1.%2.%3.%4.%5.%6.%7"/>
      <w:lvlJc w:val="start"/>
      <w:pPr>
        <w:tabs>
          <w:tab w:val="num" w:pos="1296"/>
        </w:tabs>
        <w:ind w:start="1296" w:hanging="1296"/>
      </w:pPr>
    </w:lvl>
    <w:lvl w:ilvl="7">
      <w:start w:val="1"/>
      <w:numFmt w:val="decimal"/>
      <w:pStyle w:val="Heading8"/>
      <w:lvlText w:val="%1.%2.%3.%4.%5.%6.%7.%8"/>
      <w:lvlJc w:val="start"/>
      <w:pPr>
        <w:tabs>
          <w:tab w:val="num" w:pos="1440"/>
        </w:tabs>
        <w:ind w:start="1440" w:hanging="1440"/>
      </w:pPr>
    </w:lvl>
    <w:lvl w:ilvl="8">
      <w:start w:val="1"/>
      <w:numFmt w:val="decimal"/>
      <w:pStyle w:val="Heading9"/>
      <w:lvlText w:val="%1.%2.%3.%4.%5.%6.%7.%8.%9"/>
      <w:lvlJc w:val="start"/>
      <w:pPr>
        <w:tabs>
          <w:tab w:val="num" w:pos="1584"/>
        </w:tabs>
        <w:ind w:start="1584" w:hanging="1584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lowerLetter"/>
      <w:lvlText w:val="%1."/>
      <w:lvlJc w:val="start"/>
      <w:pPr>
        <w:tabs>
          <w:tab w:val="num" w:pos="357"/>
        </w:tabs>
        <w:ind w:start="357" w:firstLine="3"/>
      </w:pPr>
      <w:rPr/>
    </w:lvl>
    <w:lvl w:ilvl="1">
      <w:start w:val="1"/>
      <w:numFmt w:val="lowerLetter"/>
      <w:lvlText w:val="%2."/>
      <w:lvlJc w:val="start"/>
      <w:pPr>
        <w:tabs>
          <w:tab w:val="num" w:pos="1440"/>
        </w:tabs>
        <w:ind w:start="1440" w:hanging="360"/>
      </w:pPr>
    </w:lvl>
    <w:lvl w:ilvl="2">
      <w:start w:val="1"/>
      <w:numFmt w:val="lowerLetter"/>
      <w:lvlText w:val="%3."/>
      <w:lvlJc w:val="start"/>
      <w:pPr>
        <w:tabs>
          <w:tab w:val="num" w:pos="2340"/>
        </w:tabs>
        <w:ind w:start="2340" w:hanging="360"/>
      </w:pPr>
      <w:rPr>
        <w:sz w:val="20"/>
        <w:szCs w:val="20"/>
      </w:r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lowerLetter"/>
      <w:lvlText w:val="%1."/>
      <w:lvlJc w:val="start"/>
      <w:pPr>
        <w:tabs>
          <w:tab w:val="num" w:pos="2508"/>
        </w:tabs>
        <w:ind w:start="2508" w:hanging="360"/>
      </w:pPr>
      <w:rPr>
        <w:sz w:val="24"/>
        <w:szCs w:val="24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"/>
      <w:lvlJc w:val="start"/>
      <w:pPr>
        <w:tabs>
          <w:tab w:val="num" w:pos="72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lowerLetter"/>
      <w:lvlText w:val="%2."/>
      <w:lvlJc w:val="start"/>
      <w:pPr>
        <w:tabs>
          <w:tab w:val="num" w:pos="1440"/>
        </w:tabs>
        <w:ind w:start="1440" w:hanging="360"/>
      </w:pPr>
      <w:rPr>
        <w:sz w:val="20"/>
        <w:szCs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lowerLetter"/>
      <w:lvlText w:val="%1."/>
      <w:lvlJc w:val="start"/>
      <w:pPr>
        <w:tabs>
          <w:tab w:val="num" w:pos="2145"/>
        </w:tabs>
        <w:ind w:start="2145" w:firstLine="3"/>
      </w:pPr>
      <w:rPr>
        <w:b w:val="false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357"/>
        </w:tabs>
        <w:ind w:start="357" w:firstLine="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14">
    <w:lvl w:ilvl="0">
      <w:start w:val="1"/>
      <w:numFmt w:val="lowerLetter"/>
      <w:lvlText w:val="%1."/>
      <w:lvlJc w:val="start"/>
      <w:pPr>
        <w:tabs>
          <w:tab w:val="num" w:pos="0"/>
        </w:tabs>
        <w:ind w:start="720" w:hanging="360"/>
      </w:pPr>
      <w:rPr/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4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overflowPunct w:val="false"/>
      <w:autoSpaceDE w:val="false"/>
      <w:bidi w:val="0"/>
      <w:textAlignment w:val="baseline"/>
    </w:pPr>
    <w:rPr>
      <w:rFonts w:ascii="Times New Roman" w:hAnsi="Times New Roman" w:eastAsia="Times New Roman" w:cs="Times New Roman"/>
      <w:color w:val="auto"/>
      <w:sz w:val="24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08"/>
        <w:tab w:val="left" w:pos="432" w:leader="none"/>
      </w:tabs>
      <w:jc w:val="center"/>
      <w:outlineLvl w:val="0"/>
    </w:pPr>
    <w:rPr>
      <w:b/>
      <w:lang w:val="bg-BG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tabs>
        <w:tab w:val="clear" w:pos="708"/>
        <w:tab w:val="left" w:pos="576" w:leader="none"/>
      </w:tabs>
      <w:jc w:val="end"/>
      <w:outlineLvl w:val="1"/>
    </w:pPr>
    <w:rPr>
      <w:b/>
      <w:lang w:val="bg-BG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tabs>
        <w:tab w:val="clear" w:pos="708"/>
        <w:tab w:val="left" w:pos="720" w:leader="none"/>
      </w:tabs>
      <w:jc w:val="center"/>
      <w:outlineLvl w:val="2"/>
    </w:pPr>
    <w:rPr>
      <w:rFonts w:ascii="Arial" w:hAnsi="Arial" w:cs="Arial"/>
      <w:b/>
      <w:i/>
      <w:color w:val="000000"/>
      <w:sz w:val="32"/>
      <w:lang w:val="en-AU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tabs>
        <w:tab w:val="clear" w:pos="708"/>
        <w:tab w:val="left" w:pos="864" w:leader="none"/>
      </w:tabs>
      <w:jc w:val="center"/>
      <w:outlineLvl w:val="3"/>
    </w:pPr>
    <w:rPr>
      <w:sz w:val="20"/>
      <w:u w:val="single"/>
      <w:lang w:val="bg-BG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tabs>
        <w:tab w:val="clear" w:pos="708"/>
        <w:tab w:val="left" w:pos="1008" w:leader="none"/>
      </w:tabs>
      <w:jc w:val="center"/>
      <w:outlineLvl w:val="4"/>
    </w:pPr>
    <w:rPr>
      <w:b/>
      <w:sz w:val="20"/>
      <w:lang w:val="bg-BG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tabs>
        <w:tab w:val="clear" w:pos="708"/>
        <w:tab w:val="left" w:pos="1152" w:leader="none"/>
      </w:tabs>
      <w:jc w:val="center"/>
      <w:outlineLvl w:val="5"/>
    </w:pPr>
    <w:rPr>
      <w:b/>
      <w:sz w:val="30"/>
      <w:lang w:val="bg-BG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tabs>
        <w:tab w:val="clear" w:pos="708"/>
        <w:tab w:val="left" w:pos="1296" w:leader="none"/>
      </w:tabs>
      <w:jc w:val="center"/>
      <w:outlineLvl w:val="6"/>
    </w:pPr>
    <w:rPr>
      <w:b/>
      <w:sz w:val="28"/>
      <w:lang w:val="bg-BG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tabs>
        <w:tab w:val="clear" w:pos="708"/>
        <w:tab w:val="left" w:pos="1440" w:leader="none"/>
      </w:tabs>
      <w:outlineLvl w:val="7"/>
    </w:pPr>
    <w:rPr>
      <w:b/>
      <w:sz w:val="20"/>
      <w:lang w:val="bg-BG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tabs>
        <w:tab w:val="clear" w:pos="708"/>
        <w:tab w:val="left" w:pos="1584" w:leader="none"/>
      </w:tabs>
      <w:jc w:val="center"/>
      <w:outlineLvl w:val="8"/>
    </w:pPr>
    <w:rPr>
      <w:sz w:val="32"/>
      <w:lang w:val="bg-BG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/>
  </w:style>
  <w:style w:type="character" w:styleId="WW8Num3z2">
    <w:name w:val="WW8Num3z2"/>
    <w:qFormat/>
    <w:rPr>
      <w:sz w:val="20"/>
      <w:szCs w:val="20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sz w:val="24"/>
      <w:szCs w:val="24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9z0">
    <w:name w:val="WW8Num9z0"/>
    <w:qFormat/>
    <w:rPr>
      <w:rFonts w:ascii="Symbol" w:hAnsi="Symbol" w:cs="Symbol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1z0">
    <w:name w:val="WW8Num11z0"/>
    <w:qFormat/>
    <w:rPr>
      <w:rFonts w:ascii="Wingdings" w:hAnsi="Wingdings" w:cs="Wingdings"/>
    </w:rPr>
  </w:style>
  <w:style w:type="character" w:styleId="WW8Num11z1">
    <w:name w:val="WW8Num11z1"/>
    <w:qFormat/>
    <w:rPr>
      <w:sz w:val="20"/>
      <w:szCs w:val="20"/>
    </w:rPr>
  </w:style>
  <w:style w:type="character" w:styleId="WW8Num11z3">
    <w:name w:val="WW8Num11z3"/>
    <w:qFormat/>
    <w:rPr>
      <w:rFonts w:ascii="Symbol" w:hAnsi="Symbol" w:cs="Symbol"/>
    </w:rPr>
  </w:style>
  <w:style w:type="character" w:styleId="WW8Num11z4">
    <w:name w:val="WW8Num11z4"/>
    <w:qFormat/>
    <w:rPr>
      <w:rFonts w:ascii="Courier New" w:hAnsi="Courier New" w:cs="Courier New"/>
    </w:rPr>
  </w:style>
  <w:style w:type="character" w:styleId="WW8Num12z0">
    <w:name w:val="WW8Num12z0"/>
    <w:qFormat/>
    <w:rPr>
      <w:b w:val="false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3z0">
    <w:name w:val="WW8Num13z0"/>
    <w:qFormat/>
    <w:rPr>
      <w:rFonts w:ascii="Symbol" w:hAnsi="Symbol" w:cs="Symbol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4z0">
    <w:name w:val="WW8Num14z0"/>
    <w:qFormat/>
    <w:rPr>
      <w:rFonts w:ascii="Symbol" w:hAnsi="Symbol" w:cs="Symbol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5z0">
    <w:name w:val="WW8Num15z0"/>
    <w:qFormat/>
    <w:rPr/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2">
    <w:name w:val="WW8Num15z2"/>
    <w:qFormat/>
    <w:rPr>
      <w:rFonts w:ascii="Wingdings" w:hAnsi="Wingdings" w:cs="Wingdings"/>
    </w:rPr>
  </w:style>
  <w:style w:type="character" w:styleId="WW8Num15z3">
    <w:name w:val="WW8Num15z3"/>
    <w:qFormat/>
    <w:rPr>
      <w:rFonts w:ascii="Symbol" w:hAnsi="Symbol" w:cs="Symbol"/>
    </w:rPr>
  </w:style>
  <w:style w:type="character" w:styleId="WW8Num16z0">
    <w:name w:val="WW8Num16z0"/>
    <w:qFormat/>
    <w:rPr>
      <w:rFonts w:ascii="Symbol" w:hAnsi="Symbol" w:cs="Symbol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6z2">
    <w:name w:val="WW8Num16z2"/>
    <w:qFormat/>
    <w:rPr>
      <w:rFonts w:ascii="Wingdings" w:hAnsi="Wingdings" w:cs="Wingdings"/>
    </w:rPr>
  </w:style>
  <w:style w:type="character" w:styleId="WW8Num17z0">
    <w:name w:val="WW8Num17z0"/>
    <w:qFormat/>
    <w:rPr>
      <w:rFonts w:ascii="Symbol" w:hAnsi="Symbol" w:cs="Symbol"/>
    </w:rPr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7z2">
    <w:name w:val="WW8Num17z2"/>
    <w:qFormat/>
    <w:rPr>
      <w:rFonts w:ascii="Wingdings" w:hAnsi="Wingdings" w:cs="Wingdings"/>
    </w:rPr>
  </w:style>
  <w:style w:type="character" w:styleId="WW8Num18z0">
    <w:name w:val="WW8Num18z0"/>
    <w:qFormat/>
    <w:rPr>
      <w:rFonts w:ascii="Symbol" w:hAnsi="Symbol" w:cs="Symbol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2">
    <w:name w:val="WW8Num18z2"/>
    <w:qFormat/>
    <w:rPr>
      <w:rFonts w:ascii="Wingdings" w:hAnsi="Wingdings" w:cs="Wingdings"/>
    </w:rPr>
  </w:style>
  <w:style w:type="character" w:styleId="WW8Num19z0">
    <w:name w:val="WW8Num19z0"/>
    <w:qFormat/>
    <w:rPr>
      <w:rFonts w:ascii="Symbol" w:hAnsi="Symbol" w:cs="Symbol"/>
      <w:sz w:val="24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2">
    <w:name w:val="WW8Num19z2"/>
    <w:qFormat/>
    <w:rPr>
      <w:rFonts w:ascii="Wingdings" w:hAnsi="Wingdings" w:cs="Wingdings"/>
    </w:rPr>
  </w:style>
  <w:style w:type="character" w:styleId="WW8Num19z3">
    <w:name w:val="WW8Num19z3"/>
    <w:qFormat/>
    <w:rPr>
      <w:rFonts w:ascii="Symbol" w:hAnsi="Symbol" w:cs="Symbol"/>
    </w:rPr>
  </w:style>
  <w:style w:type="character" w:styleId="Style5">
    <w:name w:val="Шрифт на абзаца по подразбиране"/>
    <w:qFormat/>
    <w:rPr/>
  </w:style>
  <w:style w:type="character" w:styleId="PageNumber">
    <w:name w:val="page number"/>
    <w:basedOn w:val="Style5"/>
    <w:rPr/>
  </w:style>
  <w:style w:type="character" w:styleId="Style6">
    <w:name w:val="Горен колонтитул Знак"/>
    <w:qFormat/>
    <w:rPr>
      <w:lang w:val="en-AU" w:bidi="ar-SA"/>
    </w:rPr>
  </w:style>
  <w:style w:type="character" w:styleId="Style7">
    <w:name w:val="Основен текст Знак"/>
    <w:qFormat/>
    <w:rPr>
      <w:sz w:val="24"/>
      <w:lang w:bidi="ar-SA"/>
    </w:rPr>
  </w:style>
  <w:style w:type="paragraph" w:styleId="Style8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jc w:val="both"/>
    </w:pPr>
    <w:rPr>
      <w:lang w:val="bg-BG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9">
    <w:name w:val="Указател"/>
    <w:basedOn w:val="Normal"/>
    <w:qFormat/>
    <w:pPr>
      <w:suppressLineNumbers/>
    </w:pPr>
    <w:rPr>
      <w:rFonts w:cs="Arial"/>
    </w:rPr>
  </w:style>
  <w:style w:type="paragraph" w:styleId="Style10">
    <w:name w:val="Колонтитули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153" w:leader="none"/>
        <w:tab w:val="right" w:pos="8306" w:leader="none"/>
      </w:tabs>
    </w:pPr>
    <w:rPr>
      <w:sz w:val="20"/>
      <w:lang w:val="en-AU"/>
    </w:rPr>
  </w:style>
  <w:style w:type="paragraph" w:styleId="3">
    <w:name w:val="Основен текст 3"/>
    <w:basedOn w:val="Normal"/>
    <w:qFormat/>
    <w:pPr>
      <w:jc w:val="both"/>
    </w:pPr>
    <w:rPr>
      <w:i/>
      <w:lang w:val="bg-BG"/>
    </w:rPr>
  </w:style>
  <w:style w:type="paragraph" w:styleId="BodyTextIndent">
    <w:name w:val="Body Text Indent"/>
    <w:basedOn w:val="Normal"/>
    <w:pPr>
      <w:overflowPunct w:val="true"/>
      <w:autoSpaceDE w:val="true"/>
      <w:jc w:val="both"/>
      <w:textAlignment w:val="auto"/>
    </w:pPr>
    <w:rPr>
      <w:i/>
      <w:lang w:val="bg-BG"/>
    </w:rPr>
  </w:style>
  <w:style w:type="paragraph" w:styleId="Style11">
    <w:name w:val="Блоков текст"/>
    <w:basedOn w:val="Normal"/>
    <w:qFormat/>
    <w:pPr>
      <w:tabs>
        <w:tab w:val="clear" w:pos="708"/>
        <w:tab w:val="left" w:pos="1276" w:leader="none"/>
      </w:tabs>
      <w:ind w:hanging="0" w:start="-284" w:end="474"/>
      <w:jc w:val="both"/>
    </w:pPr>
    <w:rPr>
      <w:lang w:val="bg-BG"/>
    </w:rPr>
  </w:style>
  <w:style w:type="paragraph" w:styleId="TC">
    <w:name w:val="TC"/>
    <w:qFormat/>
    <w:pPr>
      <w:keepNext w:val="true"/>
      <w:keepLines/>
      <w:widowControl/>
      <w:bidi w:val="0"/>
      <w:jc w:val="center"/>
    </w:pPr>
    <w:rPr>
      <w:rFonts w:ascii="CourierCyr;Courier New" w:hAnsi="CourierCyr;Courier New" w:eastAsia="Times New Roman" w:cs="CourierCyr;Courier New"/>
      <w:color w:val="auto"/>
      <w:sz w:val="24"/>
      <w:szCs w:val="20"/>
      <w:lang w:val="en-GB" w:bidi="ar-SA" w:eastAsia="zh-CN"/>
    </w:rPr>
  </w:style>
  <w:style w:type="paragraph" w:styleId="Style12">
    <w:name w:val="Нормален (уеб)"/>
    <w:basedOn w:val="Normal"/>
    <w:qFormat/>
    <w:pPr>
      <w:overflowPunct w:val="true"/>
      <w:autoSpaceDE w:val="true"/>
      <w:spacing w:before="280" w:after="280"/>
      <w:textAlignment w:val="auto"/>
    </w:pPr>
    <w:rPr>
      <w:szCs w:val="24"/>
      <w:lang w:val="bg-BG"/>
    </w:rPr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-">
    <w:name w:val="Рамка - съдържание"/>
    <w:basedOn w:val="Normal"/>
    <w:qFormat/>
    <w:pPr/>
    <w:rPr/>
  </w:style>
  <w:style w:type="paragraph" w:styleId="-1">
    <w:name w:val="Таблица - съдържание"/>
    <w:basedOn w:val="Normal"/>
    <w:qFormat/>
    <w:pPr>
      <w:widowControl w:val="false"/>
      <w:suppressLineNumbers/>
    </w:pPr>
    <w:rPr/>
  </w:style>
  <w:style w:type="paragraph" w:styleId="-2">
    <w:name w:val="Таблица - заглавие"/>
    <w:basedOn w:val="-1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2015-06-09T12:10:00Z</dcterms:created>
  <dc:creator>user</dc:creator>
  <dc:description/>
  <cp:keywords/>
  <dc:language>bg-BG</dc:language>
  <cp:lastModifiedBy>user</cp:lastModifiedBy>
  <dcterms:modified xsi:type="dcterms:W3CDTF">2021-03-22T13:11:00Z</dcterms:modified>
  <cp:revision>36</cp:revision>
  <dc:subject/>
  <dc:title>ИНТЕГРИРАНА СИСТЕМА ЗА УПРАВЛЕНИЕ</dc:title>
</cp:coreProperties>
</file>