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er"/>
        <w:ind w:start="-284" w:end="0"/>
        <w:jc w:val="both"/>
        <w:rPr/>
      </w:pPr>
      <w:r>
        <w:rPr>
          <w:b/>
          <w:sz w:val="24"/>
          <w:szCs w:val="24"/>
          <w:lang w:val="bg-BG"/>
        </w:rPr>
        <w:t>1.</w:t>
      </w:r>
      <w:r>
        <w:rPr>
          <w:b/>
          <w:sz w:val="24"/>
          <w:szCs w:val="24"/>
          <w:lang w:val="ru-RU"/>
        </w:rPr>
        <w:t>ЦЕЛ</w:t>
      </w:r>
    </w:p>
    <w:p>
      <w:pPr>
        <w:pStyle w:val="BodyText"/>
        <w:spacing w:lineRule="auto" w:line="264" w:before="0" w:after="100"/>
        <w:ind w:start="-284" w:end="49"/>
        <w:rPr/>
      </w:pPr>
      <w:r>
        <w:rPr>
          <w:szCs w:val="24"/>
        </w:rPr>
        <w:t>Настоящата процедура има за цел да определи реда за оценяване на съответствието на резултатностността на внедрената система за управление на околната среда с приложимите нормативни документи и изисквания на международно, държавно и регионално ниво, както и с вътрешните правила и инструкции. Процедурата съответства на т.</w:t>
      </w:r>
      <w:r>
        <w:rPr/>
        <w:t xml:space="preserve"> </w:t>
      </w:r>
      <w:r>
        <w:rPr>
          <w:szCs w:val="24"/>
        </w:rPr>
        <w:t>9.1.2 на ISO 14001:2015.</w:t>
      </w:r>
    </w:p>
    <w:p>
      <w:pPr>
        <w:pStyle w:val="BodyText"/>
        <w:spacing w:lineRule="auto" w:line="264" w:before="0" w:after="100"/>
        <w:ind w:start="-284" w:end="284"/>
        <w:rPr>
          <w:b/>
          <w:szCs w:val="24"/>
        </w:rPr>
      </w:pPr>
      <w:r>
        <w:rPr>
          <w:b/>
          <w:szCs w:val="24"/>
        </w:rPr>
        <w:t>2. ОБЛАСТ НА ПРИЛОЖЕНИЕ</w:t>
      </w:r>
    </w:p>
    <w:p>
      <w:pPr>
        <w:pStyle w:val="BodyText"/>
        <w:spacing w:lineRule="auto" w:line="264" w:before="0" w:after="100"/>
        <w:ind w:start="-284" w:end="49"/>
        <w:rPr/>
      </w:pPr>
      <w:r>
        <w:rPr>
          <w:szCs w:val="24"/>
        </w:rPr>
        <w:t xml:space="preserve">Процедурата е предназначена за изпълнение от </w:t>
      </w:r>
      <w:r>
        <w:rPr>
          <w:szCs w:val="24"/>
          <w:lang w:val="en-US"/>
        </w:rPr>
        <w:t>отговорниците на ИСУ</w:t>
      </w:r>
      <w:r>
        <w:rPr>
          <w:szCs w:val="24"/>
        </w:rPr>
        <w:t xml:space="preserve"> в организацията.</w:t>
      </w:r>
    </w:p>
    <w:p>
      <w:pPr>
        <w:pStyle w:val="BodyText"/>
        <w:spacing w:lineRule="auto" w:line="264" w:before="0" w:after="100"/>
        <w:ind w:start="-284" w:end="284"/>
        <w:rPr>
          <w:b/>
          <w:szCs w:val="24"/>
        </w:rPr>
      </w:pPr>
      <w:r>
        <w:rPr>
          <w:b/>
          <w:szCs w:val="24"/>
        </w:rPr>
        <w:t>3. ТЕРМИНИ И ОПРЕДЕЛЕНИЯ</w:t>
      </w:r>
    </w:p>
    <w:p>
      <w:pPr>
        <w:pStyle w:val="BodyText"/>
        <w:spacing w:lineRule="auto" w:line="264" w:before="0" w:after="100"/>
        <w:ind w:start="-284" w:end="49"/>
        <w:rPr/>
      </w:pPr>
      <w:r>
        <w:rPr>
          <w:b/>
          <w:szCs w:val="24"/>
        </w:rPr>
        <w:t xml:space="preserve">Резултатност на системата за управление – </w:t>
      </w:r>
      <w:r>
        <w:rPr>
          <w:szCs w:val="24"/>
        </w:rPr>
        <w:t>измеримите показатели и резултати от прилагането на СУОС;</w:t>
      </w:r>
    </w:p>
    <w:p>
      <w:pPr>
        <w:pStyle w:val="BodyText"/>
        <w:spacing w:lineRule="auto" w:line="264" w:before="0" w:after="100"/>
        <w:ind w:start="-284" w:end="49"/>
        <w:rPr/>
      </w:pPr>
      <w:r>
        <w:rPr>
          <w:b/>
          <w:szCs w:val="24"/>
        </w:rPr>
        <w:t>Приложими изисквания –</w:t>
      </w:r>
      <w:r>
        <w:rPr>
          <w:szCs w:val="24"/>
        </w:rPr>
        <w:t xml:space="preserve"> всички изисквания на нормативни документи, кодекси за добра практика, инструкции</w:t>
      </w:r>
      <w:r>
        <w:rPr>
          <w:b/>
          <w:szCs w:val="24"/>
        </w:rPr>
        <w:t xml:space="preserve"> </w:t>
      </w:r>
      <w:r>
        <w:rPr>
          <w:szCs w:val="24"/>
        </w:rPr>
        <w:t>и правила по отношение на осигуряване на ООС, отнесени към определените значими аспекти на околната среда и определените рискове при работа на персонала и др. заинтересовани страни</w:t>
      </w:r>
    </w:p>
    <w:p>
      <w:pPr>
        <w:pStyle w:val="BodyText"/>
        <w:spacing w:lineRule="auto" w:line="264" w:before="0" w:after="100"/>
        <w:ind w:start="-284" w:end="49"/>
        <w:rPr>
          <w:szCs w:val="24"/>
        </w:rPr>
      </w:pPr>
      <w:r>
        <w:rPr>
          <w:b/>
          <w:szCs w:val="24"/>
        </w:rPr>
        <w:t xml:space="preserve">Система за управление </w:t>
      </w:r>
      <w:r>
        <w:rPr>
          <w:szCs w:val="24"/>
        </w:rPr>
        <w:t xml:space="preserve">- Документите на Системата по управление на </w:t>
      </w:r>
      <w:r>
        <w:rPr>
          <w:szCs w:val="24"/>
          <w:lang w:val="en-US"/>
        </w:rPr>
        <w:t>БРАМАНД  ЕООД</w:t>
      </w:r>
      <w:r>
        <w:rPr>
          <w:szCs w:val="24"/>
        </w:rPr>
        <w:t>, разработени съгласно изискванията на ISO 14001:2015.</w:t>
      </w:r>
    </w:p>
    <w:p>
      <w:pPr>
        <w:pStyle w:val="BodyText"/>
        <w:spacing w:lineRule="auto" w:line="264" w:before="0" w:after="100"/>
        <w:ind w:start="-284" w:end="49"/>
        <w:rPr/>
      </w:pPr>
      <w:r>
        <w:rPr>
          <w:b/>
          <w:szCs w:val="24"/>
        </w:rPr>
        <w:t xml:space="preserve">Въздействие върху околната среда </w:t>
      </w:r>
      <w:r>
        <w:rPr>
          <w:szCs w:val="24"/>
        </w:rPr>
        <w:t>– всяка промяна на околната среда, благоприятна или неблагоприятна, напълно или частично произтичаща от дейности, продукти или услуги на дадена Организация;</w:t>
      </w:r>
    </w:p>
    <w:p>
      <w:pPr>
        <w:pStyle w:val="BodyText"/>
        <w:spacing w:lineRule="auto" w:line="264" w:before="0" w:after="100"/>
        <w:ind w:start="-284" w:end="49"/>
        <w:rPr/>
      </w:pPr>
      <w:r>
        <w:rPr>
          <w:b/>
          <w:szCs w:val="24"/>
        </w:rPr>
        <w:t xml:space="preserve">Аспект на околната среда </w:t>
      </w:r>
      <w:r>
        <w:rPr>
          <w:szCs w:val="24"/>
        </w:rPr>
        <w:t xml:space="preserve">– елемент от дейностите, продуктите или услугите на </w:t>
      </w:r>
      <w:r>
        <w:rPr>
          <w:szCs w:val="24"/>
          <w:lang w:val="en-US"/>
        </w:rPr>
        <w:t>БРАМАНД  ЕООД</w:t>
      </w:r>
      <w:r>
        <w:rPr>
          <w:szCs w:val="24"/>
        </w:rPr>
        <w:t>, които могат да окажат въздействие върху околната среда;</w:t>
      </w:r>
    </w:p>
    <w:p>
      <w:pPr>
        <w:pStyle w:val="BodyText"/>
        <w:spacing w:lineRule="auto" w:line="264" w:before="0" w:after="100"/>
        <w:ind w:start="-284" w:end="49"/>
        <w:rPr/>
      </w:pPr>
      <w:r>
        <w:rPr>
          <w:b/>
          <w:szCs w:val="24"/>
        </w:rPr>
        <w:t xml:space="preserve">Сила на въздействието (значимост) </w:t>
      </w:r>
      <w:r>
        <w:rPr>
          <w:szCs w:val="24"/>
        </w:rPr>
        <w:t>– степента и същността на всяка промяна на околната среда, независимо дали е благоприятна или неблагоприятна;</w:t>
      </w:r>
    </w:p>
    <w:p>
      <w:pPr>
        <w:pStyle w:val="BodyText"/>
        <w:spacing w:lineRule="auto" w:line="264" w:before="0" w:after="100"/>
        <w:ind w:start="-284" w:end="49"/>
        <w:rPr/>
      </w:pPr>
      <w:r>
        <w:rPr>
          <w:b/>
          <w:spacing w:val="-2"/>
          <w:szCs w:val="24"/>
        </w:rPr>
        <w:t xml:space="preserve">Опасност </w:t>
      </w:r>
      <w:r>
        <w:rPr>
          <w:szCs w:val="24"/>
        </w:rPr>
        <w:t>– източник или ситуация, които могат да наранят, увредят, нанесат щети на собствеността, на околната среда, на работното място или комбинация от тези елементи.</w:t>
      </w:r>
    </w:p>
    <w:p>
      <w:pPr>
        <w:pStyle w:val="BodyText"/>
        <w:spacing w:lineRule="auto" w:line="264" w:before="0" w:after="100"/>
        <w:ind w:start="-284" w:end="49"/>
        <w:rPr/>
      </w:pPr>
      <w:r>
        <w:rPr>
          <w:b/>
          <w:spacing w:val="-2"/>
          <w:szCs w:val="24"/>
        </w:rPr>
        <w:t>Идентификация на опасността</w:t>
      </w:r>
      <w:r>
        <w:rPr>
          <w:szCs w:val="24"/>
        </w:rPr>
        <w:t xml:space="preserve"> – процес на разпознаване наличието на опасност и на определяне на нейните характеристики.</w:t>
      </w:r>
    </w:p>
    <w:p>
      <w:pPr>
        <w:pStyle w:val="BodyText"/>
        <w:spacing w:lineRule="auto" w:line="264" w:before="0" w:after="100"/>
        <w:ind w:start="-284" w:end="49"/>
        <w:rPr/>
      </w:pPr>
      <w:r>
        <w:rPr>
          <w:b/>
          <w:spacing w:val="-2"/>
          <w:szCs w:val="24"/>
        </w:rPr>
        <w:t>Риск</w:t>
      </w:r>
      <w:r>
        <w:rPr>
          <w:szCs w:val="24"/>
        </w:rPr>
        <w:t xml:space="preserve"> – комбинация от вероятностите и обстоятелствата за появата на определено опасно събитие.</w:t>
      </w:r>
    </w:p>
    <w:p>
      <w:pPr>
        <w:pStyle w:val="BodyText"/>
        <w:spacing w:lineRule="auto" w:line="264" w:before="0" w:after="100"/>
        <w:ind w:start="-284" w:end="49"/>
        <w:rPr>
          <w:szCs w:val="24"/>
        </w:rPr>
      </w:pPr>
      <w:r>
        <w:rPr>
          <w:b/>
          <w:szCs w:val="24"/>
        </w:rPr>
        <w:t>Безопасност</w:t>
      </w:r>
      <w:r>
        <w:rPr>
          <w:szCs w:val="24"/>
        </w:rPr>
        <w:t xml:space="preserve"> – липсата на риск от неприемливи увреждания.</w:t>
      </w:r>
    </w:p>
    <w:p>
      <w:pPr>
        <w:pStyle w:val="BodyText"/>
        <w:spacing w:lineRule="auto" w:line="264" w:before="0" w:after="100"/>
        <w:ind w:start="-284" w:end="49"/>
        <w:rPr>
          <w:b/>
          <w:szCs w:val="24"/>
        </w:rPr>
      </w:pPr>
      <w:r>
        <w:rPr>
          <w:b/>
          <w:szCs w:val="24"/>
        </w:rPr>
        <w:t>4. СЪЩНОСТ НА ПРОЦЕДУРАТА</w:t>
      </w:r>
    </w:p>
    <w:p>
      <w:pPr>
        <w:pStyle w:val="BodyText"/>
        <w:spacing w:lineRule="auto" w:line="264" w:before="0" w:after="100"/>
        <w:ind w:start="-284" w:end="49"/>
        <w:rPr>
          <w:b/>
          <w:szCs w:val="24"/>
        </w:rPr>
      </w:pPr>
      <w:r>
        <w:rPr>
          <w:b/>
          <w:bCs/>
          <w:szCs w:val="24"/>
        </w:rPr>
        <w:t>4.1</w:t>
      </w:r>
      <w:r>
        <w:rPr>
          <w:bCs/>
          <w:szCs w:val="24"/>
        </w:rPr>
        <w:t xml:space="preserve"> </w:t>
      </w:r>
      <w:r>
        <w:rPr>
          <w:b/>
          <w:bCs/>
          <w:szCs w:val="24"/>
        </w:rPr>
        <w:t>Оценка на съответствието с нормативните изисквания</w:t>
      </w:r>
    </w:p>
    <w:p>
      <w:pPr>
        <w:pStyle w:val="Style12"/>
        <w:spacing w:lineRule="auto" w:line="252" w:before="0" w:after="100"/>
        <w:ind w:start="0" w:end="49"/>
        <w:rPr/>
      </w:pPr>
      <w:r>
        <w:rPr>
          <w:szCs w:val="24"/>
        </w:rPr>
        <w:t>В Организацията оценка на съответствието с нормативните изисквания относно управлението на околната среда се извършва периодично или в следните случаи:</w:t>
      </w:r>
    </w:p>
    <w:p>
      <w:pPr>
        <w:pStyle w:val="Style12"/>
        <w:numPr>
          <w:ilvl w:val="0"/>
          <w:numId w:val="16"/>
        </w:numPr>
        <w:tabs>
          <w:tab w:val="clear" w:pos="1276"/>
        </w:tabs>
        <w:overflowPunct w:val="true"/>
        <w:autoSpaceDE w:val="true"/>
        <w:spacing w:lineRule="auto" w:line="252" w:before="0" w:after="60"/>
        <w:ind w:hanging="360" w:start="720" w:end="49"/>
        <w:textAlignment w:val="auto"/>
        <w:rPr>
          <w:szCs w:val="24"/>
        </w:rPr>
      </w:pPr>
      <w:r>
        <w:rPr>
          <w:szCs w:val="24"/>
        </w:rPr>
        <w:t>при възникване на изменение в нормативните изисквания, определени в съответните документи;</w:t>
      </w:r>
    </w:p>
    <w:p>
      <w:pPr>
        <w:pStyle w:val="Style12"/>
        <w:numPr>
          <w:ilvl w:val="0"/>
          <w:numId w:val="16"/>
        </w:numPr>
        <w:tabs>
          <w:tab w:val="clear" w:pos="1276"/>
        </w:tabs>
        <w:overflowPunct w:val="true"/>
        <w:autoSpaceDE w:val="true"/>
        <w:spacing w:lineRule="auto" w:line="252" w:before="0" w:after="60"/>
        <w:ind w:hanging="360" w:start="720" w:end="49"/>
        <w:textAlignment w:val="auto"/>
        <w:rPr>
          <w:szCs w:val="24"/>
        </w:rPr>
      </w:pPr>
      <w:r>
        <w:rPr>
          <w:szCs w:val="24"/>
        </w:rPr>
        <w:t xml:space="preserve">при получаване на нови резултати при мониторинга на ключовите параметри на околната среда от: </w:t>
      </w:r>
    </w:p>
    <w:p>
      <w:pPr>
        <w:pStyle w:val="Style12"/>
        <w:numPr>
          <w:ilvl w:val="1"/>
          <w:numId w:val="9"/>
        </w:numPr>
        <w:tabs>
          <w:tab w:val="clear" w:pos="1276"/>
        </w:tabs>
        <w:overflowPunct w:val="true"/>
        <w:autoSpaceDE w:val="true"/>
        <w:spacing w:lineRule="auto" w:line="252" w:before="0" w:after="60"/>
        <w:ind w:hanging="180" w:start="1402" w:end="49"/>
        <w:textAlignment w:val="auto"/>
        <w:rPr>
          <w:szCs w:val="24"/>
        </w:rPr>
      </w:pPr>
      <w:r>
        <w:rPr>
          <w:szCs w:val="24"/>
        </w:rPr>
        <w:t xml:space="preserve">оценки на въздействията върху околната среда, съгласно </w:t>
      </w:r>
      <w:r>
        <w:rPr>
          <w:b/>
        </w:rPr>
        <w:t>Управление на аспектите на околната среда</w:t>
      </w:r>
      <w:r>
        <w:rPr>
          <w:szCs w:val="24"/>
        </w:rPr>
        <w:t>;</w:t>
      </w:r>
    </w:p>
    <w:p>
      <w:pPr>
        <w:pStyle w:val="Style12"/>
        <w:numPr>
          <w:ilvl w:val="1"/>
          <w:numId w:val="9"/>
        </w:numPr>
        <w:tabs>
          <w:tab w:val="clear" w:pos="1276"/>
        </w:tabs>
        <w:overflowPunct w:val="true"/>
        <w:autoSpaceDE w:val="true"/>
        <w:spacing w:lineRule="auto" w:line="252" w:before="0" w:after="60"/>
        <w:ind w:hanging="180" w:start="1402" w:end="49"/>
        <w:textAlignment w:val="auto"/>
        <w:rPr>
          <w:szCs w:val="24"/>
        </w:rPr>
      </w:pPr>
      <w:r>
        <w:rPr>
          <w:szCs w:val="24"/>
        </w:rPr>
        <w:t xml:space="preserve">контрола на операциите относно управлението на околната среда, съгласно </w:t>
      </w:r>
      <w:r>
        <w:rPr>
          <w:b/>
        </w:rPr>
        <w:t>Оперативно управление на УОС;</w:t>
      </w:r>
    </w:p>
    <w:p>
      <w:pPr>
        <w:pStyle w:val="Style12"/>
        <w:numPr>
          <w:ilvl w:val="1"/>
          <w:numId w:val="9"/>
        </w:numPr>
        <w:tabs>
          <w:tab w:val="clear" w:pos="1276"/>
        </w:tabs>
        <w:overflowPunct w:val="true"/>
        <w:autoSpaceDE w:val="true"/>
        <w:spacing w:lineRule="auto" w:line="252" w:before="0" w:after="60"/>
        <w:ind w:hanging="180" w:start="1402" w:end="49"/>
        <w:textAlignment w:val="auto"/>
        <w:rPr>
          <w:szCs w:val="24"/>
        </w:rPr>
      </w:pPr>
      <w:r>
        <w:rPr>
          <w:szCs w:val="24"/>
        </w:rPr>
        <w:t>мониторинга на състоянието на околната среда.</w:t>
      </w:r>
    </w:p>
    <w:p>
      <w:pPr>
        <w:pStyle w:val="Style12"/>
        <w:spacing w:lineRule="auto" w:line="252" w:before="0" w:after="100"/>
        <w:ind w:start="142" w:end="49"/>
        <w:rPr/>
      </w:pPr>
      <w:r>
        <w:rPr>
          <w:b/>
          <w:szCs w:val="24"/>
        </w:rPr>
        <w:t>Нормативните изисквания</w:t>
      </w:r>
      <w:r>
        <w:rPr>
          <w:szCs w:val="24"/>
        </w:rPr>
        <w:t xml:space="preserve"> по отношение опазването на околната среда са определени в:</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Закон за опазване на околната среда;</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 xml:space="preserve">Закон за опазване на почвата от замърсяване; </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Закон за водите;</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Закон за управление на отпадъците;</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Закон за защита от шума в околната среда;</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Закон за чистотата на атмосферния въздух;</w:t>
      </w:r>
    </w:p>
    <w:p>
      <w:pPr>
        <w:pStyle w:val="Style12"/>
        <w:numPr>
          <w:ilvl w:val="0"/>
          <w:numId w:val="8"/>
        </w:numPr>
        <w:tabs>
          <w:tab w:val="clear" w:pos="1276"/>
        </w:tabs>
        <w:overflowPunct w:val="true"/>
        <w:autoSpaceDE w:val="true"/>
        <w:spacing w:lineRule="auto" w:line="252" w:before="0" w:after="60"/>
        <w:ind w:hanging="360" w:start="1211" w:end="49"/>
        <w:textAlignment w:val="auto"/>
        <w:rPr>
          <w:szCs w:val="24"/>
        </w:rPr>
      </w:pPr>
      <w:r>
        <w:rPr>
          <w:szCs w:val="24"/>
        </w:rPr>
        <w:t>други законови и подзаконови актове, свързани с горепосочените документи</w:t>
      </w:r>
    </w:p>
    <w:p>
      <w:pPr>
        <w:pStyle w:val="Normal"/>
        <w:ind w:end="49"/>
        <w:jc w:val="both"/>
        <w:rPr>
          <w:szCs w:val="24"/>
          <w:lang w:val="ru-RU"/>
        </w:rPr>
      </w:pPr>
      <w:r>
        <w:rPr>
          <w:szCs w:val="24"/>
          <w:lang w:val="ru-RU"/>
        </w:rPr>
        <w:t>Установените нормативни изисквания, приложими към дейността на Организацията, се документират във</w:t>
      </w:r>
      <w:r>
        <w:rPr>
          <w:b/>
          <w:szCs w:val="24"/>
          <w:lang w:val="bg-BG"/>
        </w:rPr>
        <w:t xml:space="preserve"> </w:t>
      </w:r>
      <w:r>
        <w:rPr>
          <w:b/>
          <w:szCs w:val="24"/>
        </w:rPr>
        <w:t xml:space="preserve">ФОС </w:t>
      </w:r>
      <w:r>
        <w:rPr>
          <w:b/>
          <w:szCs w:val="24"/>
          <w:lang w:val="bg-BG"/>
        </w:rPr>
        <w:t>09</w:t>
      </w:r>
      <w:r>
        <w:rPr>
          <w:b/>
          <w:szCs w:val="24"/>
        </w:rPr>
        <w:t>-1</w:t>
      </w:r>
      <w:r>
        <w:rPr>
          <w:b/>
          <w:szCs w:val="24"/>
          <w:lang w:val="bg-BG"/>
        </w:rPr>
        <w:t xml:space="preserve"> - Оценка на съответствието.</w:t>
      </w:r>
    </w:p>
    <w:p>
      <w:pPr>
        <w:pStyle w:val="ListParagraph1"/>
        <w:ind w:start="0" w:end="0"/>
        <w:jc w:val="both"/>
        <w:rPr>
          <w:szCs w:val="24"/>
          <w:lang w:val="bg-BG"/>
        </w:rPr>
      </w:pPr>
      <w:r>
        <w:rPr>
          <w:szCs w:val="24"/>
          <w:lang w:val="bg-BG"/>
        </w:rPr>
      </w:r>
    </w:p>
    <w:p>
      <w:pPr>
        <w:pStyle w:val="Style12"/>
        <w:spacing w:lineRule="auto" w:line="252" w:before="0" w:after="60"/>
        <w:ind w:start="142" w:end="0"/>
        <w:rPr/>
      </w:pPr>
      <w:r>
        <w:rPr>
          <w:szCs w:val="24"/>
        </w:rPr>
        <w:t xml:space="preserve">-Оценката на съответствието при възникване на </w:t>
      </w:r>
      <w:r>
        <w:rPr>
          <w:b/>
          <w:szCs w:val="24"/>
        </w:rPr>
        <w:t>промени в нормативните изисквания на УОС</w:t>
      </w:r>
      <w:r>
        <w:rPr>
          <w:szCs w:val="24"/>
        </w:rPr>
        <w:t>, се извършва от Отговорници УОС в следния ред:</w:t>
      </w:r>
    </w:p>
    <w:p>
      <w:pPr>
        <w:pStyle w:val="Style12"/>
        <w:numPr>
          <w:ilvl w:val="0"/>
          <w:numId w:val="17"/>
        </w:numPr>
        <w:tabs>
          <w:tab w:val="clear" w:pos="1276"/>
        </w:tabs>
        <w:overflowPunct w:val="true"/>
        <w:autoSpaceDE w:val="true"/>
        <w:spacing w:lineRule="auto" w:line="252" w:before="0" w:after="60"/>
        <w:ind w:hanging="360" w:start="720" w:end="0"/>
        <w:textAlignment w:val="auto"/>
        <w:rPr>
          <w:szCs w:val="24"/>
        </w:rPr>
      </w:pPr>
      <w:r>
        <w:rPr>
          <w:szCs w:val="24"/>
        </w:rPr>
        <w:t xml:space="preserve">преглед на промените в изискванията, определени в нормативните документи, </w:t>
      </w:r>
      <w:r>
        <w:rPr>
          <w:color w:val="000000"/>
          <w:szCs w:val="24"/>
        </w:rPr>
        <w:t xml:space="preserve">съгласно </w:t>
      </w:r>
      <w:r>
        <w:rPr>
          <w:b/>
          <w:color w:val="000000"/>
          <w:szCs w:val="24"/>
        </w:rPr>
        <w:t>Управление на документираната информация</w:t>
      </w:r>
    </w:p>
    <w:p>
      <w:pPr>
        <w:pStyle w:val="Style12"/>
        <w:numPr>
          <w:ilvl w:val="0"/>
          <w:numId w:val="17"/>
        </w:numPr>
        <w:tabs>
          <w:tab w:val="clear" w:pos="1276"/>
        </w:tabs>
        <w:overflowPunct w:val="true"/>
        <w:autoSpaceDE w:val="true"/>
        <w:spacing w:lineRule="auto" w:line="252" w:before="0" w:after="60"/>
        <w:ind w:hanging="360" w:start="720" w:end="0"/>
        <w:textAlignment w:val="auto"/>
        <w:rPr>
          <w:szCs w:val="24"/>
        </w:rPr>
      </w:pPr>
      <w:r>
        <w:rPr>
          <w:szCs w:val="24"/>
        </w:rPr>
        <w:t xml:space="preserve">оценка на съответствието с нормативните изисквания. Тази оценка се основава на извършени проверки, наблюдения и замервания (при необходимост). </w:t>
      </w:r>
    </w:p>
    <w:p>
      <w:pPr>
        <w:pStyle w:val="Style12"/>
        <w:spacing w:lineRule="auto" w:line="252" w:before="0" w:after="100"/>
        <w:ind w:start="0" w:end="0"/>
        <w:rPr>
          <w:szCs w:val="24"/>
        </w:rPr>
      </w:pPr>
      <w:r>
        <w:rPr>
          <w:szCs w:val="24"/>
        </w:rPr>
        <w:t>-Оценката на съответствието при получаване на нови резултати от мониторинга на ключовите параметри и оперативния контрол на ОС, се извършва в следния ред:</w:t>
      </w:r>
    </w:p>
    <w:p>
      <w:pPr>
        <w:pStyle w:val="Style12"/>
        <w:numPr>
          <w:ilvl w:val="0"/>
          <w:numId w:val="11"/>
        </w:numPr>
        <w:tabs>
          <w:tab w:val="clear" w:pos="1276"/>
          <w:tab w:val="left" w:pos="851" w:leader="none"/>
        </w:tabs>
        <w:overflowPunct w:val="true"/>
        <w:autoSpaceDE w:val="true"/>
        <w:spacing w:lineRule="auto" w:line="252" w:before="0" w:after="100"/>
        <w:ind w:hanging="360" w:start="360" w:end="0"/>
        <w:textAlignment w:val="auto"/>
        <w:rPr>
          <w:szCs w:val="24"/>
        </w:rPr>
      </w:pPr>
      <w:r>
        <w:rPr>
          <w:szCs w:val="24"/>
        </w:rPr>
        <w:t xml:space="preserve">Отговорник УОС прави преглед относно съответствието с нормативните изисквания на резултатите, получени от: </w:t>
      </w:r>
    </w:p>
    <w:p>
      <w:pPr>
        <w:pStyle w:val="Style12"/>
        <w:numPr>
          <w:ilvl w:val="1"/>
          <w:numId w:val="3"/>
        </w:numPr>
        <w:overflowPunct w:val="true"/>
        <w:autoSpaceDE w:val="true"/>
        <w:spacing w:lineRule="auto" w:line="252" w:before="0" w:after="100"/>
        <w:ind w:hanging="180" w:start="1260" w:end="0"/>
        <w:textAlignment w:val="auto"/>
        <w:rPr>
          <w:szCs w:val="24"/>
        </w:rPr>
      </w:pPr>
      <w:r>
        <w:rPr>
          <w:szCs w:val="24"/>
        </w:rPr>
        <w:t>оценки на въздействията върху околната среда;</w:t>
      </w:r>
    </w:p>
    <w:p>
      <w:pPr>
        <w:pStyle w:val="Style12"/>
        <w:numPr>
          <w:ilvl w:val="1"/>
          <w:numId w:val="3"/>
        </w:numPr>
        <w:overflowPunct w:val="true"/>
        <w:autoSpaceDE w:val="true"/>
        <w:spacing w:lineRule="auto" w:line="252" w:before="0" w:after="100"/>
        <w:ind w:hanging="180" w:start="1260" w:end="0"/>
        <w:textAlignment w:val="auto"/>
        <w:rPr>
          <w:szCs w:val="24"/>
        </w:rPr>
      </w:pPr>
      <w:r>
        <w:rPr>
          <w:szCs w:val="24"/>
        </w:rPr>
        <w:t xml:space="preserve">контрола на операциите, свързани с управлението на околната среда, съгл. </w:t>
      </w:r>
      <w:r>
        <w:rPr>
          <w:b/>
        </w:rPr>
        <w:t>Оперативно управление на ОС</w:t>
      </w:r>
    </w:p>
    <w:p>
      <w:pPr>
        <w:pStyle w:val="Style12"/>
        <w:numPr>
          <w:ilvl w:val="1"/>
          <w:numId w:val="3"/>
        </w:numPr>
        <w:overflowPunct w:val="true"/>
        <w:autoSpaceDE w:val="true"/>
        <w:spacing w:lineRule="auto" w:line="252" w:before="0" w:after="100"/>
        <w:ind w:hanging="180" w:start="1260" w:end="0"/>
        <w:textAlignment w:val="auto"/>
        <w:rPr>
          <w:szCs w:val="24"/>
        </w:rPr>
      </w:pPr>
      <w:r>
        <w:rPr>
          <w:szCs w:val="24"/>
        </w:rPr>
        <w:t>мониторинга (включително данни от измервания на ключови параметри на околната среда, извършвани от държавни институции и акредитирани лаборатории).</w:t>
      </w:r>
    </w:p>
    <w:p>
      <w:pPr>
        <w:pStyle w:val="Style12"/>
        <w:numPr>
          <w:ilvl w:val="0"/>
          <w:numId w:val="15"/>
        </w:numPr>
        <w:tabs>
          <w:tab w:val="clear" w:pos="1276"/>
          <w:tab w:val="left" w:pos="851" w:leader="none"/>
        </w:tabs>
        <w:overflowPunct w:val="true"/>
        <w:autoSpaceDE w:val="true"/>
        <w:spacing w:lineRule="auto" w:line="252" w:before="0" w:after="100"/>
        <w:ind w:hanging="360" w:start="360" w:end="0"/>
        <w:textAlignment w:val="auto"/>
        <w:rPr>
          <w:szCs w:val="24"/>
        </w:rPr>
      </w:pPr>
      <w:r>
        <w:rPr>
          <w:szCs w:val="24"/>
        </w:rPr>
        <w:t>Резултатът от прегледа се отразява във</w:t>
      </w:r>
      <w:r>
        <w:rPr>
          <w:b/>
          <w:szCs w:val="24"/>
        </w:rPr>
        <w:t xml:space="preserve"> </w:t>
      </w:r>
      <w:r>
        <w:rPr>
          <w:b/>
          <w:szCs w:val="24"/>
          <w:lang w:val="en-US"/>
        </w:rPr>
        <w:t xml:space="preserve">ФОС </w:t>
      </w:r>
      <w:r>
        <w:rPr>
          <w:b/>
          <w:szCs w:val="24"/>
        </w:rPr>
        <w:t>09</w:t>
      </w:r>
      <w:r>
        <w:rPr>
          <w:b/>
          <w:szCs w:val="24"/>
          <w:lang w:val="en-US"/>
        </w:rPr>
        <w:t>-1</w:t>
      </w:r>
      <w:r>
        <w:rPr>
          <w:b/>
          <w:szCs w:val="24"/>
        </w:rPr>
        <w:t xml:space="preserve"> - Оценка на съответствието.</w:t>
      </w:r>
    </w:p>
    <w:p>
      <w:pPr>
        <w:pStyle w:val="Style12"/>
        <w:numPr>
          <w:ilvl w:val="0"/>
          <w:numId w:val="15"/>
        </w:numPr>
        <w:tabs>
          <w:tab w:val="clear" w:pos="1276"/>
          <w:tab w:val="left" w:pos="851" w:leader="none"/>
        </w:tabs>
        <w:overflowPunct w:val="true"/>
        <w:autoSpaceDE w:val="true"/>
        <w:spacing w:lineRule="auto" w:line="252" w:before="0" w:after="100"/>
        <w:ind w:hanging="360" w:start="360" w:end="0"/>
        <w:textAlignment w:val="auto"/>
        <w:rPr>
          <w:szCs w:val="24"/>
        </w:rPr>
      </w:pPr>
      <w:r>
        <w:rPr>
          <w:szCs w:val="24"/>
        </w:rPr>
        <w:t>Отговорник УОС докладва резултатите от прегледа на съответствието на заседание на Комитета по УОС, където се прави анализ на проблемите и се предлагат необходимите коригиращи и превантивни действия.</w:t>
      </w:r>
    </w:p>
    <w:p>
      <w:pPr>
        <w:pStyle w:val="Heading2Arial"/>
        <w:spacing w:lineRule="auto" w:line="252"/>
        <w:rPr>
          <w:rFonts w:ascii="Times New Roman" w:hAnsi="Times New Roman" w:cs="Times New Roman"/>
          <w:bCs w:val="false"/>
          <w:sz w:val="24"/>
          <w:szCs w:val="24"/>
        </w:rPr>
      </w:pPr>
      <w:r>
        <w:rPr>
          <w:rFonts w:cs="Times New Roman" w:ascii="Times New Roman" w:hAnsi="Times New Roman"/>
          <w:bCs w:val="false"/>
          <w:sz w:val="24"/>
          <w:szCs w:val="24"/>
        </w:rPr>
        <w:t>4.2 Оценка на съответствието с други изисквания</w:t>
      </w:r>
    </w:p>
    <w:p>
      <w:pPr>
        <w:pStyle w:val="Style12"/>
        <w:spacing w:lineRule="auto" w:line="264" w:before="0" w:after="100"/>
        <w:ind w:start="142" w:end="0"/>
        <w:rPr>
          <w:szCs w:val="24"/>
        </w:rPr>
      </w:pPr>
      <w:r>
        <w:rPr>
          <w:szCs w:val="24"/>
          <w:lang w:val="en-US"/>
        </w:rPr>
        <w:t>БРАМАНД  ЕООД</w:t>
      </w:r>
      <w:r>
        <w:rPr>
          <w:szCs w:val="24"/>
        </w:rPr>
        <w:t xml:space="preserve"> може да поеме изпълнението на допълнителни (извън нормативно определените) изисквания относно УОС, които могат да бъдат документирани и определени в:</w:t>
      </w:r>
    </w:p>
    <w:p>
      <w:pPr>
        <w:pStyle w:val="BodyText"/>
        <w:numPr>
          <w:ilvl w:val="0"/>
          <w:numId w:val="12"/>
        </w:numPr>
        <w:spacing w:lineRule="auto" w:line="264" w:before="20" w:after="20"/>
        <w:ind w:hanging="360" w:start="851" w:end="-34"/>
        <w:jc w:val="start"/>
        <w:rPr>
          <w:szCs w:val="24"/>
        </w:rPr>
      </w:pPr>
      <w:r>
        <w:rPr>
          <w:szCs w:val="24"/>
        </w:rPr>
        <w:t>Политиката по управление;</w:t>
      </w:r>
    </w:p>
    <w:p>
      <w:pPr>
        <w:pStyle w:val="BodyText"/>
        <w:numPr>
          <w:ilvl w:val="0"/>
          <w:numId w:val="12"/>
        </w:numPr>
        <w:spacing w:lineRule="auto" w:line="264" w:before="20" w:after="20"/>
        <w:ind w:hanging="360" w:start="851" w:end="-34"/>
        <w:jc w:val="start"/>
        <w:rPr>
          <w:szCs w:val="24"/>
        </w:rPr>
      </w:pPr>
      <w:r>
        <w:rPr>
          <w:szCs w:val="24"/>
        </w:rPr>
        <w:t>Целите по управление;</w:t>
      </w:r>
    </w:p>
    <w:p>
      <w:pPr>
        <w:pStyle w:val="BodyText"/>
        <w:numPr>
          <w:ilvl w:val="0"/>
          <w:numId w:val="12"/>
        </w:numPr>
        <w:spacing w:lineRule="auto" w:line="264" w:before="20" w:after="20"/>
        <w:ind w:hanging="360" w:start="851" w:end="-34"/>
        <w:jc w:val="start"/>
        <w:rPr>
          <w:szCs w:val="24"/>
        </w:rPr>
      </w:pPr>
      <w:r>
        <w:rPr>
          <w:szCs w:val="24"/>
        </w:rPr>
        <w:t>Договори и други общи документи с други организации.</w:t>
      </w:r>
    </w:p>
    <w:p>
      <w:pPr>
        <w:pStyle w:val="Style12"/>
        <w:spacing w:lineRule="auto" w:line="252" w:before="0" w:after="100"/>
        <w:ind w:start="0" w:end="0"/>
        <w:rPr/>
      </w:pPr>
      <w:r>
        <w:rPr>
          <w:szCs w:val="24"/>
        </w:rPr>
        <w:t>Необходимост от оценка на съответствието с горепосочените изисквания относно аспектите на околната среда и значимите рискове, свързани с УОС се извършва в следните случаи:</w:t>
      </w:r>
    </w:p>
    <w:p>
      <w:pPr>
        <w:pStyle w:val="BodyText"/>
        <w:numPr>
          <w:ilvl w:val="0"/>
          <w:numId w:val="4"/>
        </w:numPr>
        <w:spacing w:lineRule="auto" w:line="264" w:before="20" w:after="20"/>
        <w:ind w:hanging="360" w:start="851" w:end="-34"/>
        <w:rPr>
          <w:szCs w:val="24"/>
        </w:rPr>
      </w:pPr>
      <w:r>
        <w:rPr>
          <w:szCs w:val="24"/>
        </w:rPr>
        <w:t>при възникване на изменение в изискванията, определени в съответните документи;</w:t>
      </w:r>
    </w:p>
    <w:p>
      <w:pPr>
        <w:pStyle w:val="BodyText"/>
        <w:numPr>
          <w:ilvl w:val="0"/>
          <w:numId w:val="4"/>
        </w:numPr>
        <w:spacing w:lineRule="auto" w:line="264" w:before="20" w:after="20"/>
        <w:ind w:hanging="360" w:start="851" w:end="-34"/>
        <w:rPr>
          <w:szCs w:val="24"/>
        </w:rPr>
      </w:pPr>
      <w:r>
        <w:rPr>
          <w:szCs w:val="24"/>
        </w:rPr>
        <w:t xml:space="preserve">при получаване на нови резултати при мониторинга на ключовите параметри на околната среда и  значимите рискове, свързани със ЗБУТ от: </w:t>
      </w:r>
    </w:p>
    <w:p>
      <w:pPr>
        <w:pStyle w:val="Style12"/>
        <w:numPr>
          <w:ilvl w:val="0"/>
          <w:numId w:val="5"/>
        </w:numPr>
        <w:tabs>
          <w:tab w:val="clear" w:pos="1276"/>
        </w:tabs>
        <w:overflowPunct w:val="true"/>
        <w:autoSpaceDE w:val="true"/>
        <w:spacing w:lineRule="auto" w:line="252" w:before="0" w:after="60"/>
        <w:ind w:hanging="360" w:start="851" w:end="0"/>
        <w:textAlignment w:val="auto"/>
        <w:rPr>
          <w:szCs w:val="24"/>
        </w:rPr>
      </w:pPr>
      <w:r>
        <w:rPr>
          <w:szCs w:val="24"/>
        </w:rPr>
        <w:t xml:space="preserve">оценки на въздействията върху околната среда, съгласно </w:t>
      </w:r>
      <w:r>
        <w:rPr>
          <w:b/>
        </w:rPr>
        <w:t>Управление на аспектите на околната среда</w:t>
      </w:r>
      <w:r>
        <w:rPr>
          <w:szCs w:val="24"/>
        </w:rPr>
        <w:t>;</w:t>
      </w:r>
    </w:p>
    <w:p>
      <w:pPr>
        <w:pStyle w:val="Style12"/>
        <w:widowControl w:val="false"/>
        <w:numPr>
          <w:ilvl w:val="0"/>
          <w:numId w:val="5"/>
        </w:numPr>
        <w:shd w:fill="FFFFFF" w:val="clear"/>
        <w:tabs>
          <w:tab w:val="clear" w:pos="1276"/>
        </w:tabs>
        <w:overflowPunct w:val="true"/>
        <w:spacing w:lineRule="auto" w:line="252" w:before="0" w:after="60"/>
        <w:ind w:hanging="360" w:start="851" w:end="14"/>
        <w:textAlignment w:val="auto"/>
        <w:rPr>
          <w:bCs/>
          <w:szCs w:val="24"/>
        </w:rPr>
      </w:pPr>
      <w:r>
        <w:rPr>
          <w:szCs w:val="24"/>
        </w:rPr>
        <w:t xml:space="preserve">контрола на операциите, свързани с идентифицирани опасности съгл. </w:t>
      </w:r>
      <w:r>
        <w:rPr>
          <w:b/>
        </w:rPr>
        <w:t>Оперативно управление на УОС</w:t>
      </w:r>
      <w:r>
        <w:rPr>
          <w:szCs w:val="24"/>
        </w:rPr>
        <w:t xml:space="preserve"> и </w:t>
      </w:r>
      <w:r>
        <w:rPr>
          <w:bCs/>
          <w:szCs w:val="24"/>
        </w:rPr>
        <w:t>на ефективността на мерките за контрол (по отношение и на здравето, и на безопасността)</w:t>
      </w:r>
    </w:p>
    <w:p>
      <w:pPr>
        <w:pStyle w:val="Style12"/>
        <w:numPr>
          <w:ilvl w:val="0"/>
          <w:numId w:val="5"/>
        </w:numPr>
        <w:tabs>
          <w:tab w:val="clear" w:pos="1276"/>
        </w:tabs>
        <w:overflowPunct w:val="true"/>
        <w:autoSpaceDE w:val="true"/>
        <w:spacing w:lineRule="auto" w:line="252" w:before="0" w:after="60"/>
        <w:ind w:hanging="360" w:start="851" w:end="0"/>
        <w:textAlignment w:val="auto"/>
        <w:rPr>
          <w:szCs w:val="24"/>
        </w:rPr>
      </w:pPr>
      <w:r>
        <w:rPr>
          <w:szCs w:val="24"/>
        </w:rPr>
        <w:t xml:space="preserve">контрола на операциите, свързани с управлението на околната среда, съгл. </w:t>
      </w:r>
      <w:r>
        <w:rPr>
          <w:b/>
        </w:rPr>
        <w:t>Оперативно управление на УОС</w:t>
      </w:r>
      <w:r>
        <w:rPr>
          <w:szCs w:val="24"/>
        </w:rPr>
        <w:t>;</w:t>
      </w:r>
    </w:p>
    <w:p>
      <w:pPr>
        <w:pStyle w:val="Normal"/>
        <w:widowControl w:val="false"/>
        <w:numPr>
          <w:ilvl w:val="0"/>
          <w:numId w:val="5"/>
        </w:numPr>
        <w:shd w:fill="FFFFFF" w:val="clear"/>
        <w:overflowPunct w:val="true"/>
        <w:ind w:hanging="360" w:start="851" w:end="14"/>
        <w:jc w:val="both"/>
        <w:textAlignment w:val="auto"/>
        <w:rPr>
          <w:bCs/>
          <w:szCs w:val="24"/>
          <w:lang w:val="ru-RU"/>
        </w:rPr>
      </w:pPr>
      <w:r>
        <w:rPr>
          <w:bCs/>
          <w:szCs w:val="24"/>
          <w:lang w:val="ru-RU"/>
        </w:rPr>
        <w:t xml:space="preserve">Мониторинг на степента, до която са постигнати целите </w:t>
      </w:r>
      <w:r>
        <w:rPr>
          <w:bCs/>
          <w:szCs w:val="24"/>
          <w:lang w:val="bg-BG"/>
        </w:rPr>
        <w:t>и м</w:t>
      </w:r>
      <w:r>
        <w:rPr>
          <w:bCs/>
          <w:szCs w:val="24"/>
          <w:lang w:val="ru-RU"/>
        </w:rPr>
        <w:t>ониторинг на ефективността на мерките за контрол (по отношение и на здравето, и на безопасността)</w:t>
      </w:r>
    </w:p>
    <w:p>
      <w:pPr>
        <w:pStyle w:val="Style12"/>
        <w:numPr>
          <w:ilvl w:val="0"/>
          <w:numId w:val="5"/>
        </w:numPr>
        <w:tabs>
          <w:tab w:val="clear" w:pos="1276"/>
        </w:tabs>
        <w:overflowPunct w:val="true"/>
        <w:autoSpaceDE w:val="true"/>
        <w:spacing w:lineRule="auto" w:line="252" w:before="0" w:after="60"/>
        <w:ind w:hanging="360" w:start="851" w:end="0"/>
        <w:textAlignment w:val="auto"/>
        <w:rPr>
          <w:szCs w:val="24"/>
        </w:rPr>
      </w:pPr>
      <w:r>
        <w:rPr>
          <w:szCs w:val="24"/>
        </w:rPr>
        <w:t>данни от измервания на ключови параметри на околната среда, извършвани от държавни институции и акредитирани лаборатории.</w:t>
      </w:r>
    </w:p>
    <w:p>
      <w:pPr>
        <w:pStyle w:val="Normal"/>
        <w:numPr>
          <w:ilvl w:val="0"/>
          <w:numId w:val="5"/>
        </w:numPr>
        <w:overflowPunct w:val="true"/>
        <w:autoSpaceDE w:val="true"/>
        <w:jc w:val="both"/>
        <w:textAlignment w:val="auto"/>
        <w:rPr>
          <w:szCs w:val="24"/>
          <w:lang w:val="ru-RU"/>
        </w:rPr>
      </w:pPr>
      <w:r>
        <w:rPr>
          <w:szCs w:val="24"/>
          <w:lang w:val="bg-BG"/>
        </w:rPr>
        <w:t xml:space="preserve">Управлението на външните процеси - изпълнение на отделни видове строителни работи от подизпълнители. </w:t>
      </w:r>
    </w:p>
    <w:p>
      <w:pPr>
        <w:pStyle w:val="Style12"/>
        <w:spacing w:lineRule="auto" w:line="252" w:before="120" w:after="100"/>
        <w:ind w:start="142" w:end="0"/>
        <w:rPr>
          <w:szCs w:val="24"/>
        </w:rPr>
      </w:pPr>
      <w:r>
        <w:rPr>
          <w:szCs w:val="24"/>
        </w:rPr>
        <w:t>Изискванията се документират.</w:t>
      </w:r>
    </w:p>
    <w:p>
      <w:pPr>
        <w:pStyle w:val="Style12"/>
        <w:spacing w:lineRule="auto" w:line="252" w:before="0" w:after="60"/>
        <w:ind w:start="142" w:end="0"/>
        <w:rPr>
          <w:szCs w:val="24"/>
        </w:rPr>
      </w:pPr>
      <w:r>
        <w:rPr>
          <w:szCs w:val="24"/>
        </w:rPr>
        <w:t>Оценката на съответствието при възникване на изменение в изискванията, се извършва в следния ред:</w:t>
      </w:r>
    </w:p>
    <w:p>
      <w:pPr>
        <w:pStyle w:val="BodyText"/>
        <w:numPr>
          <w:ilvl w:val="0"/>
          <w:numId w:val="10"/>
        </w:numPr>
        <w:spacing w:lineRule="auto" w:line="264" w:before="20" w:after="20"/>
        <w:ind w:hanging="360" w:start="851" w:end="-34"/>
        <w:rPr>
          <w:szCs w:val="24"/>
        </w:rPr>
      </w:pPr>
      <w:r>
        <w:rPr>
          <w:szCs w:val="24"/>
        </w:rPr>
        <w:t>Отговорниците по УОС извършват преглед на промените в горепосочените изисквания.</w:t>
      </w:r>
    </w:p>
    <w:p>
      <w:pPr>
        <w:pStyle w:val="BodyText"/>
        <w:numPr>
          <w:ilvl w:val="0"/>
          <w:numId w:val="10"/>
        </w:numPr>
        <w:spacing w:lineRule="auto" w:line="264" w:before="20" w:after="20"/>
        <w:ind w:hanging="360" w:start="851" w:end="-34"/>
        <w:rPr>
          <w:szCs w:val="24"/>
        </w:rPr>
      </w:pPr>
      <w:r>
        <w:rPr>
          <w:szCs w:val="24"/>
        </w:rPr>
        <w:t>При промяна на изискванията, определена чрез договор, по който Организацията е страна, те извършват оценка на съответствието с определените допълнителни изисквания. Тази оценка се основава на проверки, наблюдения и замервания (при необходимост).</w:t>
      </w:r>
    </w:p>
    <w:p>
      <w:pPr>
        <w:pStyle w:val="Style12"/>
        <w:spacing w:lineRule="auto" w:line="252" w:before="0" w:after="100"/>
        <w:ind w:start="0" w:end="0"/>
        <w:rPr>
          <w:szCs w:val="24"/>
        </w:rPr>
      </w:pPr>
      <w:r>
        <w:rPr>
          <w:szCs w:val="24"/>
        </w:rPr>
        <w:t>Оценката на съответствието при получаване на нови резултати от мониторинга и оперативния контрол се извършва в следния ред:</w:t>
      </w:r>
    </w:p>
    <w:p>
      <w:pPr>
        <w:pStyle w:val="BodyText"/>
        <w:numPr>
          <w:ilvl w:val="0"/>
          <w:numId w:val="19"/>
        </w:numPr>
        <w:tabs>
          <w:tab w:val="clear" w:pos="708"/>
          <w:tab w:val="left" w:pos="851" w:leader="none"/>
        </w:tabs>
        <w:spacing w:lineRule="auto" w:line="264" w:before="20" w:after="20"/>
        <w:ind w:hanging="360" w:start="720" w:end="-34"/>
        <w:rPr>
          <w:szCs w:val="24"/>
        </w:rPr>
      </w:pPr>
      <w:r>
        <w:rPr>
          <w:szCs w:val="24"/>
        </w:rPr>
        <w:t xml:space="preserve">Отговорниците по УОС правят преглед относно съответствието на резултатите, получени от: </w:t>
      </w:r>
    </w:p>
    <w:p>
      <w:pPr>
        <w:pStyle w:val="Style12"/>
        <w:numPr>
          <w:ilvl w:val="1"/>
          <w:numId w:val="2"/>
        </w:numPr>
        <w:overflowPunct w:val="true"/>
        <w:autoSpaceDE w:val="true"/>
        <w:spacing w:lineRule="auto" w:line="252" w:before="0" w:after="100"/>
        <w:ind w:hanging="180" w:start="1260" w:end="0"/>
        <w:textAlignment w:val="auto"/>
        <w:rPr>
          <w:szCs w:val="24"/>
        </w:rPr>
      </w:pPr>
      <w:r>
        <w:rPr>
          <w:szCs w:val="24"/>
        </w:rPr>
        <w:t>оценки на въздействията върху околната среда;</w:t>
      </w:r>
    </w:p>
    <w:p>
      <w:pPr>
        <w:pStyle w:val="Style12"/>
        <w:numPr>
          <w:ilvl w:val="1"/>
          <w:numId w:val="2"/>
        </w:numPr>
        <w:overflowPunct w:val="true"/>
        <w:autoSpaceDE w:val="true"/>
        <w:spacing w:lineRule="auto" w:line="252" w:before="0" w:after="100"/>
        <w:ind w:hanging="180" w:start="1260" w:end="0"/>
        <w:textAlignment w:val="auto"/>
        <w:rPr>
          <w:szCs w:val="24"/>
        </w:rPr>
      </w:pPr>
      <w:r>
        <w:rPr>
          <w:szCs w:val="24"/>
        </w:rPr>
        <w:t>оценки на значими рискове</w:t>
      </w:r>
    </w:p>
    <w:p>
      <w:pPr>
        <w:pStyle w:val="Style12"/>
        <w:numPr>
          <w:ilvl w:val="1"/>
          <w:numId w:val="2"/>
        </w:numPr>
        <w:overflowPunct w:val="true"/>
        <w:autoSpaceDE w:val="true"/>
        <w:spacing w:lineRule="auto" w:line="252" w:before="0" w:after="100"/>
        <w:ind w:hanging="180" w:start="1260" w:end="0"/>
        <w:textAlignment w:val="auto"/>
        <w:rPr>
          <w:szCs w:val="24"/>
        </w:rPr>
      </w:pPr>
      <w:r>
        <w:rPr>
          <w:szCs w:val="24"/>
        </w:rPr>
        <w:t xml:space="preserve">контрола на операциите, свързани с управлението на околната среда и такива свързани с идентифицирани опасности, съгл. </w:t>
      </w:r>
      <w:r>
        <w:rPr>
          <w:b/>
        </w:rPr>
        <w:t xml:space="preserve">Оперативно управление на УОС </w:t>
      </w:r>
    </w:p>
    <w:p>
      <w:pPr>
        <w:pStyle w:val="Style12"/>
        <w:numPr>
          <w:ilvl w:val="1"/>
          <w:numId w:val="2"/>
        </w:numPr>
        <w:overflowPunct w:val="true"/>
        <w:autoSpaceDE w:val="true"/>
        <w:spacing w:lineRule="auto" w:line="252" w:before="0" w:after="100"/>
        <w:ind w:hanging="180" w:start="1260" w:end="0"/>
        <w:textAlignment w:val="auto"/>
        <w:rPr>
          <w:szCs w:val="24"/>
        </w:rPr>
      </w:pPr>
      <w:r>
        <w:rPr>
          <w:szCs w:val="24"/>
        </w:rPr>
        <w:t>мониторингът (включително данни от измервания на ключови параметри на околната среда, извършвани от държавни институции и акредитирани лаборатории).</w:t>
      </w:r>
    </w:p>
    <w:p>
      <w:pPr>
        <w:pStyle w:val="Style12"/>
        <w:numPr>
          <w:ilvl w:val="0"/>
          <w:numId w:val="6"/>
        </w:numPr>
        <w:tabs>
          <w:tab w:val="clear" w:pos="1276"/>
        </w:tabs>
        <w:overflowPunct w:val="true"/>
        <w:autoSpaceDE w:val="true"/>
        <w:spacing w:lineRule="auto" w:line="252" w:before="0" w:after="100"/>
        <w:ind w:hanging="360" w:start="720" w:end="0"/>
        <w:textAlignment w:val="auto"/>
        <w:rPr>
          <w:szCs w:val="24"/>
        </w:rPr>
      </w:pPr>
      <w:r>
        <w:rPr>
          <w:szCs w:val="24"/>
        </w:rPr>
        <w:t>Резултатът от прегледа се документира.</w:t>
      </w:r>
    </w:p>
    <w:p>
      <w:pPr>
        <w:pStyle w:val="Style12"/>
        <w:numPr>
          <w:ilvl w:val="0"/>
          <w:numId w:val="6"/>
        </w:numPr>
        <w:tabs>
          <w:tab w:val="clear" w:pos="1276"/>
        </w:tabs>
        <w:overflowPunct w:val="true"/>
        <w:autoSpaceDE w:val="true"/>
        <w:spacing w:lineRule="auto" w:line="264" w:before="0" w:after="100"/>
        <w:ind w:hanging="360" w:start="720" w:end="0"/>
        <w:textAlignment w:val="auto"/>
        <w:rPr>
          <w:szCs w:val="24"/>
        </w:rPr>
      </w:pPr>
      <w:r>
        <w:rPr>
          <w:szCs w:val="24"/>
        </w:rPr>
        <w:t>Резултатите от прегледа на съответствието се докладват на заседание на Комитета по УОС, където се прави анализ на проблемите и се предлагат необходимите коригиращи действия.</w:t>
      </w:r>
    </w:p>
    <w:p>
      <w:pPr>
        <w:pStyle w:val="Style12"/>
        <w:spacing w:lineRule="auto" w:line="264" w:before="0" w:after="100"/>
        <w:ind w:start="0" w:end="0"/>
        <w:rPr>
          <w:szCs w:val="24"/>
        </w:rPr>
      </w:pPr>
      <w:r>
        <w:rPr>
          <w:b/>
          <w:szCs w:val="24"/>
        </w:rPr>
        <w:t>4.3 Методика за оценяване на съответствието</w:t>
      </w:r>
    </w:p>
    <w:p>
      <w:pPr>
        <w:pStyle w:val="Normal"/>
        <w:tabs>
          <w:tab w:val="clear" w:pos="708"/>
          <w:tab w:val="left" w:pos="2109" w:leader="none"/>
        </w:tabs>
        <w:jc w:val="both"/>
        <w:rPr>
          <w:szCs w:val="24"/>
          <w:lang w:val="bg-BG"/>
        </w:rPr>
      </w:pPr>
      <w:r>
        <w:rPr>
          <w:szCs w:val="24"/>
          <w:lang w:val="bg-BG"/>
        </w:rPr>
        <w:t>Оценяването на съответствието се извършва чрез:</w:t>
      </w:r>
    </w:p>
    <w:p>
      <w:pPr>
        <w:pStyle w:val="Normal"/>
        <w:jc w:val="both"/>
        <w:rPr/>
      </w:pPr>
      <w:r>
        <w:rPr>
          <w:szCs w:val="24"/>
          <w:lang w:val="bg-BG"/>
        </w:rPr>
        <w:t>Преглед на натрупаните записи при оперативното действие на ИСУ. Извършва се на всеки шест</w:t>
      </w:r>
      <w:r>
        <w:rPr>
          <w:color w:val="FF0000"/>
          <w:szCs w:val="24"/>
          <w:lang w:val="bg-BG"/>
        </w:rPr>
        <w:t xml:space="preserve"> </w:t>
      </w:r>
      <w:r>
        <w:rPr>
          <w:szCs w:val="24"/>
          <w:lang w:val="bg-BG"/>
        </w:rPr>
        <w:t xml:space="preserve">месеца от КУОС. Действията на комитетите се записват в </w:t>
      </w:r>
      <w:r>
        <w:rPr>
          <w:b/>
          <w:szCs w:val="24"/>
        </w:rPr>
        <w:t xml:space="preserve">ФОС </w:t>
      </w:r>
      <w:r>
        <w:rPr>
          <w:b/>
          <w:szCs w:val="24"/>
          <w:lang w:val="bg-BG"/>
        </w:rPr>
        <w:t>08</w:t>
      </w:r>
      <w:r>
        <w:rPr>
          <w:b/>
          <w:szCs w:val="24"/>
        </w:rPr>
        <w:t>-</w:t>
      </w:r>
      <w:r>
        <w:rPr>
          <w:b/>
          <w:szCs w:val="24"/>
          <w:lang w:val="bg-BG"/>
        </w:rPr>
        <w:t xml:space="preserve">3 - Дневник за извършени дейности от КУОС. </w:t>
      </w:r>
      <w:r>
        <w:rPr>
          <w:szCs w:val="24"/>
          <w:lang w:val="bg-BG"/>
        </w:rPr>
        <w:t>Резултатите от прегледа се протоколират.</w:t>
      </w:r>
    </w:p>
    <w:p>
      <w:pPr>
        <w:pStyle w:val="Normal"/>
        <w:numPr>
          <w:ilvl w:val="0"/>
          <w:numId w:val="14"/>
        </w:numPr>
        <w:tabs>
          <w:tab w:val="clear" w:pos="708"/>
          <w:tab w:val="left" w:pos="2109" w:leader="none"/>
        </w:tabs>
        <w:overflowPunct w:val="true"/>
        <w:autoSpaceDE w:val="true"/>
        <w:jc w:val="both"/>
        <w:textAlignment w:val="auto"/>
        <w:rPr>
          <w:szCs w:val="24"/>
          <w:lang w:val="bg-BG"/>
        </w:rPr>
      </w:pPr>
      <w:r>
        <w:rPr>
          <w:szCs w:val="24"/>
          <w:lang w:val="bg-BG"/>
        </w:rPr>
        <w:t xml:space="preserve">Вътрешните одити – спазва се определения в </w:t>
      </w:r>
      <w:r>
        <w:rPr>
          <w:b/>
          <w:szCs w:val="24"/>
          <w:lang w:val="bg-BG"/>
        </w:rPr>
        <w:t>Вътрешни одити</w:t>
      </w:r>
      <w:r>
        <w:rPr>
          <w:szCs w:val="24"/>
          <w:lang w:val="bg-BG"/>
        </w:rPr>
        <w:t xml:space="preserve">  </w:t>
      </w:r>
      <w:r>
        <w:rPr>
          <w:b/>
          <w:szCs w:val="24"/>
          <w:lang w:val="bg-BG"/>
        </w:rPr>
        <w:t>на СУОС</w:t>
      </w:r>
      <w:r>
        <w:rPr>
          <w:szCs w:val="24"/>
          <w:lang w:val="bg-BG"/>
        </w:rPr>
        <w:t xml:space="preserve"> ред ;</w:t>
      </w:r>
    </w:p>
    <w:p>
      <w:pPr>
        <w:pStyle w:val="Normal"/>
        <w:numPr>
          <w:ilvl w:val="0"/>
          <w:numId w:val="14"/>
        </w:numPr>
        <w:tabs>
          <w:tab w:val="clear" w:pos="708"/>
          <w:tab w:val="left" w:pos="2109" w:leader="none"/>
        </w:tabs>
        <w:overflowPunct w:val="true"/>
        <w:autoSpaceDE w:val="true"/>
        <w:jc w:val="both"/>
        <w:textAlignment w:val="auto"/>
        <w:rPr>
          <w:szCs w:val="24"/>
          <w:lang w:val="bg-BG"/>
        </w:rPr>
      </w:pPr>
      <w:r>
        <w:rPr>
          <w:szCs w:val="24"/>
          <w:lang w:val="bg-BG"/>
        </w:rPr>
        <w:t xml:space="preserve">Инспекции на работни площадки и съоръжения - спазва се регламентираният във </w:t>
      </w:r>
      <w:r>
        <w:rPr>
          <w:b/>
          <w:szCs w:val="24"/>
          <w:lang w:val="bg-BG"/>
        </w:rPr>
        <w:t>Вътрешни одити</w:t>
      </w:r>
      <w:r>
        <w:rPr>
          <w:szCs w:val="24"/>
          <w:lang w:val="bg-BG"/>
        </w:rPr>
        <w:t xml:space="preserve"> </w:t>
      </w:r>
      <w:r>
        <w:rPr>
          <w:b/>
          <w:szCs w:val="24"/>
          <w:lang w:val="bg-BG"/>
        </w:rPr>
        <w:t xml:space="preserve">на СУОС </w:t>
      </w:r>
      <w:r>
        <w:rPr>
          <w:szCs w:val="24"/>
          <w:lang w:val="bg-BG"/>
        </w:rPr>
        <w:t>ред;</w:t>
      </w:r>
    </w:p>
    <w:p>
      <w:pPr>
        <w:pStyle w:val="Normal"/>
        <w:jc w:val="both"/>
        <w:rPr>
          <w:b/>
          <w:szCs w:val="24"/>
          <w:lang w:val="bg-BG"/>
        </w:rPr>
      </w:pPr>
      <w:r>
        <w:rPr>
          <w:szCs w:val="24"/>
          <w:lang w:val="bg-BG"/>
        </w:rPr>
        <w:t>Управлението на външните процеси /изпълнение на отделни видове строителни работи от подизпълнители/ чрез проверка на лиценза на:</w:t>
      </w:r>
    </w:p>
    <w:p>
      <w:pPr>
        <w:pStyle w:val="Normal"/>
        <w:jc w:val="both"/>
        <w:rPr>
          <w:b/>
          <w:szCs w:val="24"/>
          <w:lang w:val="bg-BG"/>
        </w:rPr>
      </w:pPr>
      <w:r>
        <w:rPr>
          <w:b/>
          <w:szCs w:val="24"/>
          <w:lang w:val="bg-BG"/>
        </w:rPr>
      </w:r>
    </w:p>
    <w:p>
      <w:pPr>
        <w:pStyle w:val="Normal"/>
        <w:numPr>
          <w:ilvl w:val="0"/>
          <w:numId w:val="14"/>
        </w:numPr>
        <w:tabs>
          <w:tab w:val="clear" w:pos="708"/>
          <w:tab w:val="left" w:pos="2109" w:leader="none"/>
        </w:tabs>
        <w:overflowPunct w:val="true"/>
        <w:autoSpaceDE w:val="true"/>
        <w:jc w:val="both"/>
        <w:textAlignment w:val="auto"/>
        <w:rPr>
          <w:szCs w:val="24"/>
          <w:lang w:val="bg-BG"/>
        </w:rPr>
      </w:pPr>
      <w:r>
        <w:rPr>
          <w:szCs w:val="24"/>
          <w:lang w:val="bg-BG"/>
        </w:rPr>
        <w:t>подизпълнителите на дейността и изискване за спазване на изискванията по ООС и за осигуряване на ООС.</w:t>
      </w:r>
    </w:p>
    <w:p>
      <w:pPr>
        <w:pStyle w:val="Normal"/>
        <w:numPr>
          <w:ilvl w:val="0"/>
          <w:numId w:val="14"/>
        </w:numPr>
        <w:tabs>
          <w:tab w:val="clear" w:pos="708"/>
          <w:tab w:val="left" w:pos="2109" w:leader="none"/>
        </w:tabs>
        <w:overflowPunct w:val="true"/>
        <w:autoSpaceDE w:val="true"/>
        <w:jc w:val="both"/>
        <w:textAlignment w:val="auto"/>
        <w:rPr>
          <w:szCs w:val="24"/>
          <w:lang w:val="bg-BG"/>
        </w:rPr>
      </w:pPr>
      <w:r>
        <w:rPr>
          <w:szCs w:val="24"/>
          <w:lang w:val="bg-BG"/>
        </w:rPr>
        <w:t>Преглед на постъпили оплаквания от РИОСВ или представителни обществени организации и части от населението и др. Извършва се от КУОС и се протоколира и завежда.</w:t>
      </w:r>
    </w:p>
    <w:p>
      <w:pPr>
        <w:pStyle w:val="Normal"/>
        <w:numPr>
          <w:ilvl w:val="0"/>
          <w:numId w:val="14"/>
        </w:numPr>
        <w:tabs>
          <w:tab w:val="clear" w:pos="708"/>
          <w:tab w:val="left" w:pos="2109" w:leader="none"/>
        </w:tabs>
        <w:overflowPunct w:val="true"/>
        <w:autoSpaceDE w:val="true"/>
        <w:jc w:val="both"/>
        <w:textAlignment w:val="auto"/>
        <w:rPr>
          <w:szCs w:val="24"/>
          <w:lang w:val="bg-BG"/>
        </w:rPr>
      </w:pPr>
      <w:r>
        <w:rPr>
          <w:szCs w:val="24"/>
          <w:lang w:val="bg-BG"/>
        </w:rPr>
        <w:t xml:space="preserve">Преглед на нормативните изисквания за адекватност и актуалност – по описания в </w:t>
      </w:r>
      <w:r>
        <w:rPr>
          <w:b/>
          <w:szCs w:val="24"/>
          <w:lang w:val="bg-BG"/>
        </w:rPr>
        <w:t>Управление на документираната информация</w:t>
      </w:r>
      <w:r>
        <w:rPr>
          <w:szCs w:val="24"/>
          <w:lang w:val="bg-BG"/>
        </w:rPr>
        <w:t xml:space="preserve"> регламентиран ред.</w:t>
      </w:r>
    </w:p>
    <w:p>
      <w:pPr>
        <w:pStyle w:val="Header"/>
        <w:jc w:val="both"/>
        <w:rPr>
          <w:sz w:val="24"/>
          <w:szCs w:val="24"/>
          <w:lang w:val="bg-BG"/>
        </w:rPr>
      </w:pPr>
      <w:r>
        <w:rPr>
          <w:sz w:val="24"/>
          <w:szCs w:val="24"/>
          <w:lang w:val="bg-BG"/>
        </w:rPr>
        <w:t xml:space="preserve">Преглед на оценката на значимите аспекти на околната среда и постигнатите показатели за резултатност, както и  евентуално настъпили промени и необходимост от извършване на преоценка по регламентирания в </w:t>
      </w:r>
      <w:r>
        <w:rPr>
          <w:b/>
          <w:sz w:val="24"/>
          <w:szCs w:val="24"/>
          <w:lang w:val="ru-RU"/>
        </w:rPr>
        <w:t>Управление на аспектите на околната среда</w:t>
      </w:r>
      <w:r>
        <w:rPr>
          <w:sz w:val="28"/>
          <w:szCs w:val="28"/>
          <w:lang w:val="bg-BG"/>
        </w:rPr>
        <w:t xml:space="preserve"> </w:t>
      </w:r>
      <w:r>
        <w:rPr>
          <w:sz w:val="24"/>
          <w:szCs w:val="24"/>
          <w:lang w:val="bg-BG"/>
        </w:rPr>
        <w:t>ред.</w:t>
      </w:r>
    </w:p>
    <w:p>
      <w:pPr>
        <w:pStyle w:val="Header"/>
        <w:jc w:val="both"/>
        <w:rPr>
          <w:i/>
          <w:sz w:val="6"/>
          <w:szCs w:val="24"/>
          <w:lang w:val="bg-BG"/>
        </w:rPr>
      </w:pPr>
      <w:r>
        <w:rPr>
          <w:i/>
          <w:sz w:val="6"/>
          <w:szCs w:val="24"/>
          <w:lang w:val="bg-BG"/>
        </w:rPr>
      </w:r>
    </w:p>
    <w:p>
      <w:pPr>
        <w:pStyle w:val="Normal"/>
        <w:tabs>
          <w:tab w:val="clear" w:pos="708"/>
          <w:tab w:val="left" w:pos="2109" w:leader="none"/>
        </w:tabs>
        <w:jc w:val="both"/>
        <w:rPr>
          <w:b/>
          <w:szCs w:val="24"/>
          <w:lang w:val="bg-BG"/>
        </w:rPr>
      </w:pPr>
      <w:r>
        <w:rPr>
          <w:b/>
          <w:szCs w:val="24"/>
          <w:lang w:val="bg-BG"/>
        </w:rPr>
        <w:t>4.4.Потвърждаване на процеса</w:t>
      </w:r>
    </w:p>
    <w:p>
      <w:pPr>
        <w:pStyle w:val="Normal"/>
        <w:tabs>
          <w:tab w:val="clear" w:pos="708"/>
          <w:tab w:val="left" w:pos="2109" w:leader="none"/>
        </w:tabs>
        <w:jc w:val="both"/>
        <w:rPr>
          <w:szCs w:val="24"/>
          <w:lang w:val="bg-BG"/>
        </w:rPr>
      </w:pPr>
      <w:r>
        <w:rPr>
          <w:szCs w:val="24"/>
          <w:lang w:val="bg-BG"/>
        </w:rPr>
        <w:t xml:space="preserve">Извършената оценка за съответствие се документира в </w:t>
      </w:r>
      <w:r>
        <w:rPr>
          <w:b/>
          <w:szCs w:val="24"/>
        </w:rPr>
        <w:t xml:space="preserve">ФОС </w:t>
      </w:r>
      <w:r>
        <w:rPr>
          <w:b/>
          <w:szCs w:val="24"/>
          <w:lang w:val="bg-BG"/>
        </w:rPr>
        <w:t>09</w:t>
      </w:r>
      <w:r>
        <w:rPr>
          <w:b/>
          <w:szCs w:val="24"/>
        </w:rPr>
        <w:t>-1</w:t>
      </w:r>
      <w:r>
        <w:rPr>
          <w:b/>
          <w:szCs w:val="24"/>
          <w:lang w:val="bg-BG"/>
        </w:rPr>
        <w:t xml:space="preserve"> -</w:t>
      </w:r>
      <w:r>
        <w:rPr>
          <w:szCs w:val="24"/>
          <w:lang w:val="bg-BG"/>
        </w:rPr>
        <w:t xml:space="preserve"> </w:t>
      </w:r>
      <w:r>
        <w:rPr>
          <w:b/>
          <w:szCs w:val="24"/>
          <w:lang w:val="bg-BG"/>
        </w:rPr>
        <w:t xml:space="preserve">Оценка на съответствието </w:t>
      </w:r>
      <w:r>
        <w:rPr>
          <w:szCs w:val="24"/>
          <w:lang w:val="bg-BG"/>
        </w:rPr>
        <w:t>от КУОС.</w:t>
      </w:r>
    </w:p>
    <w:p>
      <w:pPr>
        <w:pStyle w:val="Normal"/>
        <w:tabs>
          <w:tab w:val="clear" w:pos="708"/>
          <w:tab w:val="left" w:pos="2109" w:leader="none"/>
        </w:tabs>
        <w:jc w:val="both"/>
        <w:rPr>
          <w:szCs w:val="24"/>
          <w:lang w:val="bg-BG"/>
        </w:rPr>
      </w:pPr>
      <w:r>
        <w:rPr>
          <w:szCs w:val="24"/>
          <w:lang w:val="bg-BG"/>
        </w:rPr>
        <w:t>На ежегодните прегледи от ръководството КУОС предоставят натрупаните данни за оценка на съответствието с приложимите изисквания и докладват необходимостта от преоценка на рисковете при работа и достигнатите показатели на значимите аспекти на околната среда. Ръководството на Организацията предписва действия за подобряване на СУОС, в частност за по-чести прегледи за съответствие с приложимите изисквания.</w:t>
      </w:r>
    </w:p>
    <w:p>
      <w:pPr>
        <w:pStyle w:val="Normal"/>
        <w:jc w:val="both"/>
        <w:rPr/>
      </w:pPr>
      <w:r>
        <w:rPr>
          <w:szCs w:val="24"/>
          <w:lang w:val="bg-BG"/>
        </w:rPr>
        <w:t xml:space="preserve">При невъзможност да се намалят (постигнат трайно показателите за резултатност) на значимите аспекти на ОС, поради характера на извършваната дейност, се предприемат действия за компенсиране на засегнатите страни (например чрез определяне на специални добавки към основното заплащане на персонала, чрез отделяне на част от печалбата на Организацията и насочването й за компенсиране на засегнатото население и др.). </w:t>
      </w:r>
    </w:p>
    <w:p>
      <w:pPr>
        <w:pStyle w:val="Normal"/>
        <w:jc w:val="both"/>
        <w:rPr>
          <w:rFonts w:ascii="Arial" w:hAnsi="Arial" w:cs="Arial"/>
          <w:szCs w:val="24"/>
          <w:lang w:val="bg-BG"/>
        </w:rPr>
      </w:pPr>
      <w:r>
        <w:rPr>
          <w:rFonts w:cs="Arial" w:ascii="Arial" w:hAnsi="Arial"/>
          <w:szCs w:val="24"/>
          <w:lang w:val="bg-BG"/>
        </w:rPr>
      </w:r>
    </w:p>
    <w:p>
      <w:pPr>
        <w:pStyle w:val="Normal"/>
        <w:jc w:val="both"/>
        <w:rPr>
          <w:rFonts w:ascii="Arial" w:hAnsi="Arial" w:cs="Arial"/>
          <w:szCs w:val="24"/>
          <w:lang w:val="bg-BG"/>
        </w:rPr>
      </w:pPr>
      <w:r>
        <w:rPr>
          <w:rFonts w:cs="Arial" w:ascii="Arial" w:hAnsi="Arial"/>
          <w:szCs w:val="24"/>
          <w:lang w:val="bg-BG"/>
        </w:rPr>
      </w:r>
    </w:p>
    <w:p>
      <w:pPr>
        <w:pStyle w:val="Normal"/>
        <w:jc w:val="both"/>
        <w:rPr>
          <w:szCs w:val="24"/>
          <w:lang w:val="bg-BG"/>
        </w:rPr>
      </w:pPr>
      <w:r>
        <w:rPr>
          <w:b/>
          <w:szCs w:val="24"/>
          <w:lang w:val="bg-BG"/>
        </w:rPr>
        <w:t xml:space="preserve">5. ОБЩ АЛГОРИТЪМ НА ПРОЦЕСА ОЦЕНКА НА СЪОТВЕТСТВИЕТО. </w:t>
      </w:r>
    </w:p>
    <w:p>
      <w:pPr>
        <w:pStyle w:val="Normal"/>
        <w:ind w:start="-180" w:end="3"/>
        <w:jc w:val="both"/>
        <w:rPr>
          <w:rFonts w:ascii="Arial" w:hAnsi="Arial" w:cs="Arial"/>
          <w:szCs w:val="24"/>
          <w:lang w:val="bg-BG"/>
        </w:rPr>
      </w:pPr>
      <w:r>
        <w:rPr>
          <w:rFonts w:cs="Arial" w:ascii="Arial" w:hAnsi="Arial"/>
          <w:b/>
          <w:szCs w:val="24"/>
          <w:lang w:val="bg-BG" w:eastAsia="bg-BG"/>
        </w:rPr>
        <mc:AlternateContent>
          <mc:Choice Requires="wpg">
            <w:drawing>
              <wp:inline distT="0" distB="0" distL="0" distR="0">
                <wp:extent cx="5714365" cy="1942465"/>
                <wp:effectExtent l="0" t="0" r="0" b="0"/>
                <wp:docPr id="1" name=""/>
                <a:graphic xmlns:a="http://schemas.openxmlformats.org/drawingml/2006/main">
                  <a:graphicData uri="http://schemas.microsoft.com/office/word/2010/wordprocessingGroup">
                    <wpg:wgp>
                      <wpg:cNvGrpSpPr/>
                      <wpg:grpSpPr>
                        <a:xfrm>
                          <a:off x="0" y="0"/>
                          <a:ext cx="5714280" cy="1942560"/>
                          <a:chOff x="0" y="0"/>
                          <a:chExt cx="5714280" cy="1942560"/>
                        </a:xfrm>
                      </wpg:grpSpPr>
                      <wps:wsp>
                        <wps:cNvSpPr/>
                        <wps:nvSpPr>
                          <wps:cNvPr id="2" name=""/>
                          <wps:cNvSpPr/>
                        </wps:nvSpPr>
                        <wps:spPr>
                          <a:xfrm>
                            <a:off x="0" y="0"/>
                            <a:ext cx="5714280" cy="1942560"/>
                          </a:xfrm>
                          <a:prstGeom prst="rect">
                            <a:avLst/>
                          </a:prstGeom>
                          <a:noFill/>
                          <a:ln w="0">
                            <a:noFill/>
                          </a:ln>
                        </wps:spPr>
                        <wps:bodyPr/>
                      </wps:wsp>
                      <wps:wsp>
                        <wps:cNvSpPr txBox="1"/>
                        <wps:spPr>
                          <a:xfrm>
                            <a:off x="4113360" y="113040"/>
                            <a:ext cx="570960" cy="456480"/>
                          </a:xfrm>
                          <a:prstGeom prst="rect">
                            <a:avLst/>
                          </a:prstGeom>
                          <a:solidFill>
                            <a:srgbClr val="FFFFFF"/>
                          </a:solidFill>
                          <a:ln w="9360">
                            <a:solidFill>
                              <a:srgbClr val="FFFFFF"/>
                            </a:solidFill>
                            <a:miter/>
                          </a:ln>
                        </wps:spPr>
                        <wps:txb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КУОС</w:t>
                              </w:r>
                            </w:p>
                          </w:txbxContent>
                        </wps:txbx>
                        <wps:bodyPr wrap="square" anchor="t">
                          <a:noAutofit/>
                        </wps:bodyPr>
                      </wps:wsp>
                      <wps:wsp>
                        <wps:cNvSpPr txBox="1"/>
                        <wps:spPr>
                          <a:xfrm>
                            <a:off x="2513160" y="177840"/>
                            <a:ext cx="570960" cy="456480"/>
                          </a:xfrm>
                          <a:prstGeom prst="rect">
                            <a:avLst/>
                          </a:prstGeom>
                          <a:solidFill>
                            <a:srgbClr val="FFFFFF"/>
                          </a:solidFill>
                          <a:ln w="9360">
                            <a:solidFill>
                              <a:srgbClr val="FFFFFF"/>
                            </a:solidFill>
                            <a:miter/>
                          </a:ln>
                        </wps:spPr>
                        <wps:txb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КУОС</w:t>
                              </w:r>
                            </w:p>
                          </w:txbxContent>
                        </wps:txbx>
                        <wps:bodyPr wrap="square" anchor="t">
                          <a:noAutofit/>
                        </wps:bodyPr>
                      </wps:wsp>
                      <wps:wsp>
                        <wps:cNvSpPr txBox="1"/>
                        <wps:spPr>
                          <a:xfrm>
                            <a:off x="1141560" y="570240"/>
                            <a:ext cx="456480" cy="227880"/>
                          </a:xfrm>
                          <a:prstGeom prst="rect">
                            <a:avLst/>
                          </a:prstGeom>
                          <a:solidFill>
                            <a:srgbClr val="FFFFFF"/>
                          </a:solidFill>
                          <a:ln w="9360">
                            <a:solidFill>
                              <a:srgbClr val="FFFFFF"/>
                            </a:solidFill>
                            <a:miter/>
                          </a:ln>
                        </wps:spPr>
                        <wps:txb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УПР</w:t>
                              </w:r>
                            </w:p>
                          </w:txbxContent>
                        </wps:txbx>
                        <wps:bodyPr wrap="square" anchor="t">
                          <a:noAutofit/>
                        </wps:bodyPr>
                      </wps:wsp>
                      <wps:wsp>
                        <wps:cNvSpPr txBox="1"/>
                        <wps:spPr>
                          <a:xfrm>
                            <a:off x="227160" y="570960"/>
                            <a:ext cx="913680" cy="78624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Осигуряване на входни данни</w:t>
                              </w:r>
                            </w:p>
                          </w:txbxContent>
                        </wps:txbx>
                        <wps:bodyPr wrap="square" anchor="t">
                          <a:noAutofit/>
                        </wps:bodyPr>
                      </wps:wsp>
                      <wps:wsp>
                        <wps:cNvSpPr txBox="1"/>
                        <wps:spPr>
                          <a:xfrm>
                            <a:off x="1484640" y="570960"/>
                            <a:ext cx="1188000" cy="78624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Извършване на оценка на съответствието</w:t>
                              </w:r>
                            </w:p>
                          </w:txbxContent>
                        </wps:txbx>
                        <wps:bodyPr wrap="square" anchor="t">
                          <a:noAutofit/>
                        </wps:bodyPr>
                      </wps:wsp>
                      <wps:wsp>
                        <wps:cNvSpPr txBox="1"/>
                        <wps:spPr>
                          <a:xfrm>
                            <a:off x="2970360" y="570240"/>
                            <a:ext cx="1370880" cy="79956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Докладване на резултатите на Преглед от Ръководството</w:t>
                              </w:r>
                            </w:p>
                          </w:txbxContent>
                        </wps:txbx>
                        <wps:bodyPr wrap="square" anchor="t">
                          <a:noAutofit/>
                        </wps:bodyPr>
                      </wps:wsp>
                      <wps:wsp>
                        <wps:cNvSpPr txBox="1"/>
                        <wps:spPr>
                          <a:xfrm>
                            <a:off x="4685040" y="537840"/>
                            <a:ext cx="1028160" cy="818640"/>
                          </a:xfrm>
                          <a:prstGeom prst="rect">
                            <a:avLst/>
                          </a:prstGeom>
                          <a:solidFill>
                            <a:srgbClr val="FFFFFF"/>
                          </a:solidFill>
                          <a:ln w="9360">
                            <a:solidFill>
                              <a:srgbClr val="000000"/>
                            </a:solidFill>
                            <a:miter/>
                          </a:ln>
                        </wps:spPr>
                        <wps:txb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Предприемане на действия за подобряване</w:t>
                              </w:r>
                            </w:p>
                          </w:txbxContent>
                        </wps:txbx>
                        <wps:bodyPr wrap="square" anchor="t">
                          <a:noAutofit/>
                        </wps:bodyPr>
                      </wps:wsp>
                      <wps:wsp>
                        <wps:cNvSpPr/>
                        <wps:spPr>
                          <a:xfrm>
                            <a:off x="1142280" y="799560"/>
                            <a:ext cx="3423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628360" y="799560"/>
                            <a:ext cx="342360" cy="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4342680" y="799560"/>
                            <a:ext cx="342360" cy="72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5142960" y="1357560"/>
                            <a:ext cx="720" cy="241920"/>
                          </a:xfrm>
                          <a:prstGeom prst="line">
                            <a:avLst/>
                          </a:prstGeom>
                          <a:ln w="9360">
                            <a:solidFill>
                              <a:srgbClr val="000000"/>
                            </a:solidFill>
                            <a:miter/>
                          </a:ln>
                        </wps:spPr>
                        <wps:style>
                          <a:lnRef idx="0"/>
                          <a:fillRef idx="0"/>
                          <a:effectRef idx="0"/>
                          <a:fontRef idx="minor"/>
                        </wps:style>
                        <wps:bodyPr/>
                      </wps:wsp>
                      <wps:wsp>
                        <wps:cNvSpPr/>
                        <wps:spPr>
                          <a:xfrm flipH="1">
                            <a:off x="798840" y="1599480"/>
                            <a:ext cx="4342680" cy="0"/>
                          </a:xfrm>
                          <a:prstGeom prst="line">
                            <a:avLst/>
                          </a:prstGeom>
                          <a:ln w="9360">
                            <a:solidFill>
                              <a:srgbClr val="000000"/>
                            </a:solidFill>
                            <a:miter/>
                          </a:ln>
                        </wps:spPr>
                        <wps:style>
                          <a:lnRef idx="0"/>
                          <a:fillRef idx="0"/>
                          <a:effectRef idx="0"/>
                          <a:fontRef idx="minor"/>
                        </wps:style>
                        <wps:bodyPr/>
                      </wps:wsp>
                      <wps:wsp>
                        <wps:cNvSpPr/>
                        <wps:spPr>
                          <a:xfrm flipV="1">
                            <a:off x="799560" y="1356840"/>
                            <a:ext cx="720" cy="241920"/>
                          </a:xfrm>
                          <a:prstGeom prst="line">
                            <a:avLst/>
                          </a:prstGeom>
                          <a:ln w="9360">
                            <a:solidFill>
                              <a:srgbClr val="000000"/>
                            </a:solidFill>
                            <a:miter/>
                            <a:tailEnd len="med" type="triangle" w="med"/>
                          </a:ln>
                        </wps:spPr>
                        <wps:style>
                          <a:lnRef idx="0"/>
                          <a:fillRef idx="0"/>
                          <a:effectRef idx="0"/>
                          <a:fontRef idx="minor"/>
                        </wps:style>
                        <wps:bodyPr/>
                      </wps:wsp>
                    </wpg:wgp>
                  </a:graphicData>
                </a:graphic>
              </wp:inline>
            </w:drawing>
          </mc:Choice>
          <mc:Fallback>
            <w:pict>
              <v:group id="shape_0" style="position:absolute;margin-left:0pt;margin-top:0pt;width:449.95pt;height:152.95pt" coordorigin="0,0" coordsize="8999,3059">
                <v:rect id="shape_0" stroked="f" o:allowincell="f" style="position:absolute;left:0;top:0;width:8998;height:3058;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6478;top:178;width:898;height:718;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КУОС</w:t>
                        </w:r>
                      </w:p>
                    </w:txbxContent>
                  </v:textbox>
                  <v:fill o:detectmouseclick="t" type="solid" color2="black"/>
                  <v:stroke color="white" weight="9360" joinstyle="miter" endcap="flat"/>
                  <w10:wrap type="square"/>
                </v:shape>
                <v:shape id="shape_0" fillcolor="white" stroked="t" o:allowincell="f" style="position:absolute;left:3958;top:280;width:898;height:718;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КУОС</w:t>
                        </w:r>
                      </w:p>
                    </w:txbxContent>
                  </v:textbox>
                  <v:fill o:detectmouseclick="t" type="solid" color2="black"/>
                  <v:stroke color="white" weight="9360" joinstyle="miter" endcap="flat"/>
                  <w10:wrap type="square"/>
                </v:shape>
                <v:shape id="shape_0" fillcolor="white" stroked="t" o:allowincell="f" style="position:absolute;left:1798;top:898;width:718;height:358;mso-wrap-style:square;v-text-anchor:top;mso-position-horizontal:center" type="_x0000_t202">
                  <v:textbox>
                    <w:txbxContent>
                      <w:p>
                        <w:pPr>
                          <w:overflowPunct w:val="false"/>
                          <w:autoSpaceDE w:val="false"/>
                          <w:bidi w:val="0"/>
                          <w:rPr/>
                        </w:pPr>
                        <w:r>
                          <w:rPr>
                            <w:rFonts w:ascii="Times New Roman" w:hAnsi="Times New Roman" w:eastAsia="Times New Roman" w:cs="Times New Roman"/>
                            <w:color w:val="auto"/>
                            <w:kern w:val="2"/>
                            <w:sz w:val="16"/>
                            <w:szCs w:val="16"/>
                            <w:lang w:val="bg-BG" w:bidi="ar-SA"/>
                          </w:rPr>
                          <w:t>УПР</w:t>
                        </w:r>
                      </w:p>
                    </w:txbxContent>
                  </v:textbox>
                  <v:fill o:detectmouseclick="t" type="solid" color2="black"/>
                  <v:stroke color="white" weight="9360" joinstyle="miter" endcap="flat"/>
                  <w10:wrap type="square"/>
                </v:shape>
                <v:shape id="shape_0" fillcolor="white" stroked="t" o:allowincell="f" style="position:absolute;left:358;top:899;width:1438;height:1237;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Осигуряване на входни данни</w:t>
                        </w:r>
                      </w:p>
                    </w:txbxContent>
                  </v:textbox>
                  <v:fill o:detectmouseclick="t" type="solid" color2="black"/>
                  <v:stroke color="black" weight="9360" joinstyle="miter" endcap="flat"/>
                  <w10:wrap type="square"/>
                </v:shape>
                <v:shape id="shape_0" fillcolor="white" stroked="t" o:allowincell="f" style="position:absolute;left:2338;top:899;width:1870;height:1237;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Извършване на оценка на съответствието</w:t>
                        </w:r>
                      </w:p>
                    </w:txbxContent>
                  </v:textbox>
                  <v:fill o:detectmouseclick="t" type="solid" color2="black"/>
                  <v:stroke color="black" weight="9360" joinstyle="miter" endcap="flat"/>
                  <w10:wrap type="square"/>
                </v:shape>
                <v:shape id="shape_0" fillcolor="white" stroked="t" o:allowincell="f" style="position:absolute;left:4678;top:898;width:2158;height:1258;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Докладване на резултатите на Преглед от Ръководството</w:t>
                        </w:r>
                      </w:p>
                    </w:txbxContent>
                  </v:textbox>
                  <v:fill o:detectmouseclick="t" type="solid" color2="black"/>
                  <v:stroke color="black" weight="9360" joinstyle="miter" endcap="flat"/>
                  <w10:wrap type="square"/>
                </v:shape>
                <v:shape id="shape_0" fillcolor="white" stroked="t" o:allowincell="f" style="position:absolute;left:7378;top:847;width:1618;height:1288;mso-wrap-style:square;v-text-anchor:top;mso-position-horizontal:center" type="_x0000_t202">
                  <v:textbox>
                    <w:txbxContent>
                      <w:p>
                        <w:pPr>
                          <w:overflowPunct w:val="false"/>
                          <w:autoSpaceDE w:val="false"/>
                          <w:bidi w:val="0"/>
                          <w:jc w:val="center"/>
                          <w:rPr/>
                        </w:pPr>
                        <w:r>
                          <w:rPr>
                            <w:rFonts w:ascii="Times New Roman" w:hAnsi="Times New Roman" w:eastAsia="Times New Roman" w:cs="Times New Roman"/>
                            <w:color w:val="auto"/>
                            <w:kern w:val="2"/>
                            <w:sz w:val="24"/>
                            <w:szCs w:val="20"/>
                            <w:lang w:val="bg-BG" w:bidi="ar-SA"/>
                          </w:rPr>
                          <w:t>Предприемане на действия за подобряване</w:t>
                        </w:r>
                      </w:p>
                    </w:txbxContent>
                  </v:textbox>
                  <v:fill o:detectmouseclick="t" type="solid" color2="black"/>
                  <v:stroke color="black" weight="9360" joinstyle="miter" endcap="flat"/>
                  <w10:wrap type="square"/>
                </v:shape>
                <v:line id="shape_0" from="1799,1259" to="2337,1259" stroked="t" o:allowincell="f" style="position:absolute;mso-position-horizontal:center">
                  <v:stroke color="black" weight="9360" endarrow="block" endarrowwidth="medium" endarrowlength="medium" joinstyle="miter" endcap="flat"/>
                  <v:fill o:detectmouseclick="t" on="false"/>
                  <w10:wrap type="square"/>
                </v:line>
                <v:line id="shape_0" from="4139,1259" to="4677,1259" stroked="t" o:allowincell="f" style="position:absolute;mso-position-horizontal:center">
                  <v:stroke color="black" weight="9360" endarrow="block" endarrowwidth="medium" endarrowlength="medium" joinstyle="miter" endcap="flat"/>
                  <v:fill o:detectmouseclick="t" on="false"/>
                  <w10:wrap type="square"/>
                </v:line>
                <v:line id="shape_0" from="6839,1259" to="7377,1259" stroked="t" o:allowincell="f" style="position:absolute;mso-position-horizontal:center">
                  <v:stroke color="black" weight="9360" endarrow="block" endarrowwidth="medium" endarrowlength="medium" joinstyle="miter" endcap="flat"/>
                  <v:fill o:detectmouseclick="t" on="false"/>
                  <w10:wrap type="square"/>
                </v:line>
                <v:line id="shape_0" from="8099,2138" to="8099,2518" stroked="t" o:allowincell="f" style="position:absolute;mso-position-horizontal:center">
                  <v:stroke color="black" weight="9360" joinstyle="miter" endcap="flat"/>
                  <v:fill o:detectmouseclick="t" on="false"/>
                  <w10:wrap type="square"/>
                </v:line>
                <v:line id="shape_0" from="1258,2519" to="8096,2519" stroked="t" o:allowincell="f" style="position:absolute;flip:x;mso-position-horizontal:center">
                  <v:stroke color="black" weight="9360" joinstyle="miter" endcap="flat"/>
                  <v:fill o:detectmouseclick="t" on="false"/>
                  <w10:wrap type="square"/>
                </v:line>
                <v:line id="shape_0" from="1259,2137" to="1259,2517" stroked="t" o:allowincell="f" style="position:absolute;flip:y;mso-position-horizontal:center">
                  <v:stroke color="black" weight="9360" endarrow="block" endarrowwidth="medium" endarrowlength="medium" joinstyle="miter" endcap="flat"/>
                  <v:fill o:detectmouseclick="t" on="false"/>
                  <w10:wrap type="square"/>
                </v:line>
              </v:group>
            </w:pict>
          </mc:Fallback>
        </mc:AlternateContent>
      </w:r>
    </w:p>
    <w:p>
      <w:pPr>
        <w:pStyle w:val="Normal"/>
        <w:jc w:val="both"/>
        <w:rPr>
          <w:rFonts w:ascii="Arial" w:hAnsi="Arial" w:cs="Arial"/>
          <w:b/>
          <w:szCs w:val="24"/>
          <w:lang w:val="bg-BG"/>
        </w:rPr>
      </w:pPr>
      <w:r>
        <w:rPr>
          <w:rFonts w:cs="Arial" w:ascii="Arial" w:hAnsi="Arial"/>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t>Отговорности и правомощия</w:t>
      </w:r>
    </w:p>
    <w:p>
      <w:pPr>
        <w:pStyle w:val="Normal"/>
        <w:jc w:val="both"/>
        <w:rPr>
          <w:b/>
          <w:szCs w:val="24"/>
          <w:lang w:val="bg-BG"/>
        </w:rPr>
      </w:pPr>
      <w:r>
        <w:rPr>
          <w:b/>
          <w:szCs w:val="24"/>
          <w:lang w:val="bg-BG"/>
        </w:rPr>
        <w:t xml:space="preserve">Упълномощен представител на Ръководството   </w:t>
      </w:r>
    </w:p>
    <w:p>
      <w:pPr>
        <w:pStyle w:val="Normal"/>
        <w:numPr>
          <w:ilvl w:val="0"/>
          <w:numId w:val="7"/>
        </w:numPr>
        <w:overflowPunct w:val="true"/>
        <w:autoSpaceDE w:val="true"/>
        <w:jc w:val="both"/>
        <w:textAlignment w:val="auto"/>
        <w:rPr>
          <w:szCs w:val="24"/>
          <w:lang w:val="bg-BG"/>
        </w:rPr>
      </w:pPr>
      <w:r>
        <w:rPr>
          <w:szCs w:val="24"/>
          <w:lang w:val="bg-BG"/>
        </w:rPr>
        <w:t>организира набирането на входните данни за извършване на дейността;</w:t>
      </w:r>
    </w:p>
    <w:p>
      <w:pPr>
        <w:pStyle w:val="Normal"/>
        <w:numPr>
          <w:ilvl w:val="0"/>
          <w:numId w:val="7"/>
        </w:numPr>
        <w:overflowPunct w:val="true"/>
        <w:autoSpaceDE w:val="true"/>
        <w:jc w:val="both"/>
        <w:textAlignment w:val="auto"/>
        <w:rPr>
          <w:szCs w:val="24"/>
          <w:lang w:val="bg-BG"/>
        </w:rPr>
      </w:pPr>
      <w:r>
        <w:rPr>
          <w:szCs w:val="24"/>
          <w:lang w:val="bg-BG"/>
        </w:rPr>
        <w:t>организира (съвместно с Отговорници по УОС), Комитетът по управление на околната среда набиране на данни и попълване на записи от проведените заседания и обсъждания;</w:t>
      </w:r>
    </w:p>
    <w:p>
      <w:pPr>
        <w:pStyle w:val="Normal"/>
        <w:numPr>
          <w:ilvl w:val="0"/>
          <w:numId w:val="7"/>
        </w:numPr>
        <w:overflowPunct w:val="true"/>
        <w:autoSpaceDE w:val="true"/>
        <w:jc w:val="both"/>
        <w:textAlignment w:val="auto"/>
        <w:rPr>
          <w:szCs w:val="24"/>
          <w:lang w:val="bg-BG"/>
        </w:rPr>
      </w:pPr>
      <w:r>
        <w:rPr>
          <w:szCs w:val="24"/>
          <w:lang w:val="bg-BG"/>
        </w:rPr>
        <w:t>систематизира натрупаните данни и ги предоставя на Ръководството за анализ и оценка на ефективността им;</w:t>
      </w:r>
    </w:p>
    <w:p>
      <w:pPr>
        <w:pStyle w:val="Normal"/>
        <w:numPr>
          <w:ilvl w:val="0"/>
          <w:numId w:val="7"/>
        </w:numPr>
        <w:overflowPunct w:val="true"/>
        <w:autoSpaceDE w:val="true"/>
        <w:jc w:val="both"/>
        <w:textAlignment w:val="auto"/>
        <w:rPr>
          <w:szCs w:val="24"/>
          <w:lang w:val="bg-BG"/>
        </w:rPr>
      </w:pPr>
      <w:r>
        <w:rPr>
          <w:szCs w:val="24"/>
          <w:lang w:val="bg-BG"/>
        </w:rPr>
        <w:t>организира предприемането на действия за подобряване на резултатите.</w:t>
      </w:r>
    </w:p>
    <w:p>
      <w:pPr>
        <w:pStyle w:val="Normal"/>
        <w:jc w:val="both"/>
        <w:rPr>
          <w:b/>
          <w:szCs w:val="24"/>
          <w:lang w:val="bg-BG"/>
        </w:rPr>
      </w:pPr>
      <w:r>
        <w:rPr>
          <w:b/>
          <w:szCs w:val="24"/>
          <w:lang w:val="bg-BG"/>
        </w:rPr>
      </w:r>
    </w:p>
    <w:p>
      <w:pPr>
        <w:pStyle w:val="Normal"/>
        <w:jc w:val="both"/>
        <w:rPr>
          <w:b/>
          <w:szCs w:val="24"/>
          <w:lang w:val="bg-BG"/>
        </w:rPr>
      </w:pPr>
      <w:r>
        <w:rPr>
          <w:b/>
          <w:szCs w:val="24"/>
          <w:lang w:val="bg-BG"/>
        </w:rPr>
        <w:t>Групата по КУОС:</w:t>
      </w:r>
    </w:p>
    <w:p>
      <w:pPr>
        <w:pStyle w:val="Normal"/>
        <w:numPr>
          <w:ilvl w:val="0"/>
          <w:numId w:val="18"/>
        </w:numPr>
        <w:overflowPunct w:val="true"/>
        <w:autoSpaceDE w:val="true"/>
        <w:jc w:val="both"/>
        <w:textAlignment w:val="auto"/>
        <w:rPr>
          <w:szCs w:val="24"/>
          <w:lang w:val="bg-BG"/>
        </w:rPr>
      </w:pPr>
      <w:r>
        <w:rPr>
          <w:szCs w:val="24"/>
          <w:lang w:val="bg-BG"/>
        </w:rPr>
        <w:t>попълват резултатите от проведените съвещания  и оценки</w:t>
      </w:r>
    </w:p>
    <w:p>
      <w:pPr>
        <w:pStyle w:val="Normal"/>
        <w:numPr>
          <w:ilvl w:val="0"/>
          <w:numId w:val="18"/>
        </w:numPr>
        <w:overflowPunct w:val="true"/>
        <w:autoSpaceDE w:val="true"/>
        <w:jc w:val="both"/>
        <w:textAlignment w:val="auto"/>
        <w:rPr>
          <w:szCs w:val="24"/>
          <w:lang w:val="bg-BG"/>
        </w:rPr>
      </w:pPr>
      <w:r>
        <w:rPr>
          <w:szCs w:val="24"/>
          <w:lang w:val="bg-BG"/>
        </w:rPr>
        <w:t xml:space="preserve">докладват на прегледите от Ръководството и предлагат мерки за подобряване  </w:t>
      </w:r>
    </w:p>
    <w:p>
      <w:pPr>
        <w:pStyle w:val="Normal"/>
        <w:jc w:val="both"/>
        <w:rPr>
          <w:szCs w:val="24"/>
          <w:lang w:val="bg-BG"/>
        </w:rPr>
      </w:pPr>
      <w:r>
        <w:rPr>
          <w:szCs w:val="24"/>
          <w:lang w:val="bg-BG"/>
        </w:rPr>
      </w:r>
    </w:p>
    <w:p>
      <w:pPr>
        <w:pStyle w:val="Normal"/>
        <w:jc w:val="both"/>
        <w:rPr/>
      </w:pPr>
      <w:r>
        <w:rPr>
          <w:b/>
          <w:szCs w:val="24"/>
          <w:lang w:val="bg-BG"/>
        </w:rPr>
        <w:t>Управител:</w:t>
      </w:r>
    </w:p>
    <w:p>
      <w:pPr>
        <w:pStyle w:val="Normal"/>
        <w:numPr>
          <w:ilvl w:val="0"/>
          <w:numId w:val="13"/>
        </w:numPr>
        <w:overflowPunct w:val="true"/>
        <w:autoSpaceDE w:val="true"/>
        <w:jc w:val="both"/>
        <w:textAlignment w:val="auto"/>
        <w:rPr>
          <w:szCs w:val="24"/>
          <w:lang w:val="bg-BG"/>
        </w:rPr>
      </w:pPr>
      <w:r>
        <w:rPr>
          <w:szCs w:val="24"/>
          <w:lang w:val="bg-BG"/>
        </w:rPr>
        <w:t>предвижда ресурси за осигуряване на дейността;</w:t>
      </w:r>
    </w:p>
    <w:p>
      <w:pPr>
        <w:pStyle w:val="Normal"/>
        <w:numPr>
          <w:ilvl w:val="0"/>
          <w:numId w:val="13"/>
        </w:numPr>
        <w:overflowPunct w:val="true"/>
        <w:autoSpaceDE w:val="true"/>
        <w:jc w:val="both"/>
        <w:textAlignment w:val="auto"/>
        <w:rPr>
          <w:szCs w:val="24"/>
          <w:lang w:val="bg-BG"/>
        </w:rPr>
      </w:pPr>
      <w:r>
        <w:rPr>
          <w:szCs w:val="24"/>
          <w:lang w:val="bg-BG"/>
        </w:rPr>
        <w:t>прави оценка на ефективността и набелязва действия за подобряване</w:t>
      </w:r>
    </w:p>
    <w:p>
      <w:pPr>
        <w:pStyle w:val="Normal"/>
        <w:jc w:val="both"/>
        <w:rPr>
          <w:szCs w:val="24"/>
          <w:lang w:val="bg-BG"/>
        </w:rPr>
      </w:pPr>
      <w:r>
        <w:rPr>
          <w:szCs w:val="24"/>
          <w:lang w:val="bg-BG"/>
        </w:rPr>
      </w:r>
    </w:p>
    <w:p>
      <w:pPr>
        <w:pStyle w:val="Normal"/>
        <w:ind w:start="-180" w:end="3"/>
        <w:jc w:val="both"/>
        <w:rPr>
          <w:szCs w:val="24"/>
          <w:lang w:val="bg-BG"/>
        </w:rPr>
      </w:pPr>
      <w:r>
        <w:rPr>
          <w:szCs w:val="24"/>
          <w:lang w:val="bg-BG"/>
        </w:rPr>
      </w:r>
    </w:p>
    <w:p>
      <w:pPr>
        <w:pStyle w:val="BodyText"/>
        <w:rPr>
          <w:b/>
          <w:szCs w:val="24"/>
        </w:rPr>
      </w:pPr>
      <w:r>
        <w:rPr>
          <w:b/>
          <w:szCs w:val="24"/>
        </w:rPr>
        <w:t>6. ПРИЛОЖЕНИЯ</w:t>
      </w:r>
    </w:p>
    <w:p>
      <w:pPr>
        <w:pStyle w:val="Normal"/>
        <w:ind w:start="-180" w:end="3"/>
        <w:jc w:val="both"/>
        <w:rPr>
          <w:b/>
          <w:szCs w:val="24"/>
          <w:lang w:val="bg-BG"/>
        </w:rPr>
      </w:pPr>
      <w:r>
        <w:rPr>
          <w:b/>
          <w:szCs w:val="24"/>
        </w:rPr>
        <w:t xml:space="preserve">ФОС </w:t>
      </w:r>
      <w:r>
        <w:rPr>
          <w:b/>
          <w:szCs w:val="24"/>
          <w:lang w:val="bg-BG"/>
        </w:rPr>
        <w:t>09</w:t>
      </w:r>
      <w:r>
        <w:rPr>
          <w:b/>
          <w:szCs w:val="24"/>
        </w:rPr>
        <w:t>-1</w:t>
      </w:r>
      <w:r>
        <w:rPr>
          <w:b/>
          <w:szCs w:val="24"/>
          <w:lang w:val="bg-BG"/>
        </w:rPr>
        <w:t xml:space="preserve"> - Оценка на съответствието </w:t>
      </w:r>
    </w:p>
    <w:p>
      <w:pPr>
        <w:pStyle w:val="Header"/>
        <w:tabs>
          <w:tab w:val="clear" w:pos="4153"/>
          <w:tab w:val="clear" w:pos="8306"/>
        </w:tabs>
        <w:jc w:val="both"/>
        <w:rPr>
          <w:b/>
          <w:sz w:val="24"/>
          <w:szCs w:val="24"/>
          <w:lang w:val="bg-BG"/>
        </w:rPr>
      </w:pPr>
      <w:r>
        <w:rPr>
          <w:b/>
          <w:sz w:val="24"/>
          <w:szCs w:val="24"/>
          <w:lang w:val="bg-BG"/>
        </w:rPr>
      </w:r>
    </w:p>
    <w:p>
      <w:pPr>
        <w:pStyle w:val="Normal"/>
        <w:jc w:val="both"/>
        <w:rPr>
          <w:b/>
          <w:sz w:val="24"/>
          <w:szCs w:val="24"/>
          <w:lang w:val="bg-BG"/>
        </w:rPr>
      </w:pPr>
      <w:r>
        <w:rPr>
          <w:b/>
          <w:sz w:val="24"/>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Normal"/>
        <w:jc w:val="both"/>
        <w:rPr>
          <w:b/>
          <w:szCs w:val="24"/>
          <w:lang w:val="bg-BG"/>
        </w:rPr>
      </w:pPr>
      <w:r>
        <w:rPr>
          <w:b/>
          <w:szCs w:val="24"/>
          <w:lang w:val="bg-BG"/>
        </w:rPr>
      </w:r>
    </w:p>
    <w:p>
      <w:pPr>
        <w:pStyle w:val="Header"/>
        <w:tabs>
          <w:tab w:val="clear" w:pos="4153"/>
          <w:tab w:val="clear" w:pos="8306"/>
        </w:tabs>
        <w:jc w:val="end"/>
        <w:rPr>
          <w:b/>
          <w:sz w:val="28"/>
          <w:szCs w:val="28"/>
          <w:lang w:val="bg-BG"/>
        </w:rPr>
      </w:pPr>
      <w:r>
        <w:rPr>
          <w:b/>
          <w:sz w:val="28"/>
          <w:szCs w:val="28"/>
          <w:lang w:val="en-US"/>
        </w:rPr>
        <w:t xml:space="preserve">ФОС </w:t>
      </w:r>
      <w:r>
        <w:rPr>
          <w:b/>
          <w:sz w:val="28"/>
          <w:szCs w:val="28"/>
          <w:lang w:val="bg-BG"/>
        </w:rPr>
        <w:t>09</w:t>
      </w:r>
      <w:r>
        <w:rPr>
          <w:b/>
          <w:sz w:val="28"/>
          <w:szCs w:val="28"/>
          <w:lang w:val="en-US"/>
        </w:rPr>
        <w:t>-1</w:t>
      </w:r>
    </w:p>
    <w:p>
      <w:pPr>
        <w:pStyle w:val="Header"/>
        <w:rPr>
          <w:b/>
          <w:sz w:val="28"/>
          <w:szCs w:val="28"/>
          <w:lang w:val="bg-BG"/>
        </w:rPr>
      </w:pPr>
      <w:r>
        <w:rPr>
          <w:b/>
          <w:sz w:val="28"/>
          <w:szCs w:val="28"/>
          <w:lang w:val="bg-BG"/>
        </w:rPr>
      </w:r>
    </w:p>
    <w:p>
      <w:pPr>
        <w:pStyle w:val="Header"/>
        <w:jc w:val="center"/>
        <w:rPr>
          <w:b/>
          <w:sz w:val="28"/>
          <w:szCs w:val="28"/>
          <w:lang w:val="en-US"/>
        </w:rPr>
      </w:pPr>
      <w:r>
        <w:rPr>
          <w:b/>
          <w:sz w:val="28"/>
          <w:szCs w:val="28"/>
          <w:lang w:val="en-US"/>
        </w:rPr>
        <w:t>Оценка на съответствието</w:t>
      </w:r>
    </w:p>
    <w:tbl>
      <w:tblPr>
        <w:tblW w:w="10440" w:type="dxa"/>
        <w:jc w:val="start"/>
        <w:tblInd w:w="-470" w:type="dxa"/>
        <w:tblLayout w:type="fixed"/>
        <w:tblCellMar>
          <w:top w:w="0" w:type="dxa"/>
          <w:start w:w="70" w:type="dxa"/>
          <w:bottom w:w="0" w:type="dxa"/>
          <w:end w:w="70" w:type="dxa"/>
        </w:tblCellMar>
      </w:tblPr>
      <w:tblGrid>
        <w:gridCol w:w="768"/>
        <w:gridCol w:w="4200"/>
        <w:gridCol w:w="1980"/>
        <w:gridCol w:w="1512"/>
        <w:gridCol w:w="1980"/>
      </w:tblGrid>
      <w:tr>
        <w:trPr>
          <w:trHeight w:val="1991" w:hRule="atLeast"/>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b/>
                <w:szCs w:val="24"/>
              </w:rPr>
            </w:pPr>
            <w:r>
              <w:rPr>
                <w:rFonts w:cs="Arial" w:ascii="Arial" w:hAnsi="Arial"/>
                <w:b/>
                <w:szCs w:val="24"/>
              </w:rPr>
              <w:t xml:space="preserve">                                                                                                                                                       № </w:t>
            </w:r>
            <w:r>
              <w:rPr>
                <w:rFonts w:cs="Arial" w:ascii="Arial" w:hAnsi="Arial"/>
                <w:b/>
                <w:szCs w:val="24"/>
              </w:rPr>
              <w:t>по ред</w:t>
            </w:r>
          </w:p>
          <w:p>
            <w:pPr>
              <w:pStyle w:val="Normal"/>
              <w:ind w:end="72"/>
              <w:rPr>
                <w:rFonts w:ascii="Arial" w:hAnsi="Arial" w:cs="Arial"/>
                <w:b/>
                <w:szCs w:val="24"/>
              </w:rPr>
            </w:pPr>
            <w:r>
              <w:rPr>
                <w:rFonts w:cs="Arial" w:ascii="Arial" w:hAnsi="Arial"/>
                <w:b/>
                <w:szCs w:val="24"/>
              </w:rPr>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center"/>
              <w:rPr>
                <w:rFonts w:ascii="Arial" w:hAnsi="Arial" w:cs="Arial"/>
                <w:b/>
                <w:szCs w:val="24"/>
              </w:rPr>
            </w:pPr>
            <w:r>
              <w:rPr>
                <w:rFonts w:cs="Arial" w:ascii="Arial" w:hAnsi="Arial"/>
                <w:b/>
                <w:szCs w:val="24"/>
              </w:rPr>
              <w:t>Извършена оценка спрямо:</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jc w:val="center"/>
              <w:rPr>
                <w:rFonts w:ascii="Arial" w:hAnsi="Arial" w:cs="Arial"/>
                <w:b/>
                <w:szCs w:val="24"/>
              </w:rPr>
            </w:pPr>
            <w:r>
              <w:rPr>
                <w:rFonts w:cs="Arial" w:ascii="Arial" w:hAnsi="Arial"/>
                <w:b/>
                <w:szCs w:val="24"/>
              </w:rPr>
              <w:t>Извършена от: /КУОС/</w:t>
            </w:r>
          </w:p>
        </w:tc>
        <w:tc>
          <w:tcPr>
            <w:tcW w:w="1512" w:type="dxa"/>
            <w:tcBorders>
              <w:top w:val="single" w:sz="4" w:space="0" w:color="000000"/>
              <w:start w:val="single" w:sz="4" w:space="0" w:color="000000"/>
              <w:bottom w:val="single" w:sz="4" w:space="0" w:color="000000"/>
              <w:end w:val="single" w:sz="4" w:space="0" w:color="000000"/>
            </w:tcBorders>
            <w:vAlign w:val="center"/>
          </w:tcPr>
          <w:p>
            <w:pPr>
              <w:pStyle w:val="Normal"/>
              <w:ind w:end="72"/>
              <w:jc w:val="center"/>
              <w:rPr>
                <w:rFonts w:ascii="Arial" w:hAnsi="Arial" w:cs="Arial"/>
                <w:b/>
                <w:szCs w:val="24"/>
              </w:rPr>
            </w:pPr>
            <w:r>
              <w:rPr>
                <w:rFonts w:cs="Arial" w:ascii="Arial" w:hAnsi="Arial"/>
                <w:b/>
                <w:szCs w:val="24"/>
              </w:rPr>
              <w:t>Дата на изпълнение</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jc w:val="center"/>
              <w:rPr>
                <w:rFonts w:ascii="Arial" w:hAnsi="Arial" w:cs="Arial"/>
                <w:b/>
                <w:szCs w:val="24"/>
              </w:rPr>
            </w:pPr>
            <w:r>
              <w:rPr>
                <w:rFonts w:cs="Arial" w:ascii="Arial" w:hAnsi="Arial"/>
                <w:b/>
                <w:szCs w:val="24"/>
              </w:rPr>
              <w:t>Съответствие/ несъответствие</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Приложими изисквания по УОС</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Изпълнение на </w:t>
            </w:r>
            <w:r>
              <w:rPr>
                <w:rFonts w:cs="Arial" w:ascii="Arial" w:hAnsi="Arial"/>
                <w:b/>
                <w:bCs/>
                <w:szCs w:val="24"/>
                <w:lang w:val="ru-RU"/>
              </w:rPr>
              <w:t>Програма за управление на околната среда</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Изпълнение на </w:t>
            </w:r>
            <w:r>
              <w:rPr>
                <w:rFonts w:cs="Arial" w:ascii="Arial" w:hAnsi="Arial"/>
                <w:b/>
                <w:szCs w:val="24"/>
                <w:lang w:val="ru-RU"/>
              </w:rPr>
              <w:t xml:space="preserve">Програма за постигане на целите по УОС </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4</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Оценка за управление на отпадъците</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5</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pPr>
            <w:r>
              <w:rPr>
                <w:rFonts w:cs="Arial" w:ascii="Arial" w:hAnsi="Arial"/>
                <w:szCs w:val="24"/>
              </w:rPr>
              <w:t>Оценка на постигнатите показатели за резултатност  на значимите аспекти на околната среда</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6</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Анализ на рисковете при работа</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7</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Анализ на инциденти, злополуки и несъответствия</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8</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Анализ на способността за действие в извънредни ситуации и реагиране</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9</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Анализ на степента на осъзнаване на персонала по ООС</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 xml:space="preserve">   </w:t>
            </w:r>
            <w:r>
              <w:rPr>
                <w:rFonts w:cs="Arial" w:ascii="Arial" w:hAnsi="Arial"/>
                <w:szCs w:val="24"/>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10</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опазване на околната среда</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11</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водите</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12</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подземните богатства</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13</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опазване на земеделските земи</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14</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защита при бедствия</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15</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Закон за собствеността и ползването на земеделските земи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16</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защитените територии</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17</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техническите изисквания към продуктите</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18</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управление на отпадъците</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19</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чистотата на атмосферният въздух</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20</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защита от шума в околната среда</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21</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устройство на територията</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22</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Закон за защита от въздействието въздействие на химични вещества и смеси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23</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биологичното разнообразие</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24</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защитените територии</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25</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1 от 27 юни 2005г. за норми на допустимите емисии, концентрации на вредни вещества, изпускани в атмосферата от обекти и дейности с неподвижни източници на емисии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26</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1 от 10 октомври 2007 за проучването, ползването и опазването на подземните води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27</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3 от 01 април 2004 за класификация на отпадъците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28</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2 от 23 юли 2014 за класификация на отпадъците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29</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№2 от 22 март 2004 за минималните изисквания за здравословни и безопасни условия на труд при извършване на СМР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30</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батерии и акумулатори и негодни за употреба батерии и акумулатори.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31</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Наредба за излезлите от употреба МПС</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32</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отработени масла и отработени нефтопродукти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33</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опаковките и отпадъците от опаковки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34</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Закон за почвите</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35</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управление на отпадъците на територията на община Панагюрище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36</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управление на отпадъците на територията на община Пазарджик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37</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16-116 от 08. Февруари 2008 за техническата експлоатация на енерго обзавеждането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38</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Наредба №9 от 16.12.97 за работата в мини</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39</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Наредба за условията и реда за извършване на оценка на въздействието върху околната среда</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40</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Наредба за условията и реда за извършване на екологична оценка на планове и програми</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41</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за съществените изисквания към строежите и оценяване на съответствието на строителните продукти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r>
        <w:trPr/>
        <w:tc>
          <w:tcPr>
            <w:tcW w:w="768" w:type="dxa"/>
            <w:tcBorders>
              <w:top w:val="single" w:sz="4" w:space="0" w:color="000000"/>
              <w:start w:val="single" w:sz="4" w:space="0" w:color="000000"/>
              <w:bottom w:val="single" w:sz="4" w:space="0" w:color="000000"/>
              <w:end w:val="single" w:sz="4" w:space="0" w:color="000000"/>
            </w:tcBorders>
            <w:vAlign w:val="center"/>
          </w:tcPr>
          <w:p>
            <w:pPr>
              <w:pStyle w:val="Normal"/>
              <w:ind w:end="72"/>
              <w:rPr>
                <w:rFonts w:ascii="Arial" w:hAnsi="Arial" w:cs="Arial"/>
                <w:szCs w:val="24"/>
              </w:rPr>
            </w:pPr>
            <w:r>
              <w:rPr>
                <w:rFonts w:cs="Arial" w:ascii="Arial" w:hAnsi="Arial"/>
                <w:szCs w:val="24"/>
              </w:rPr>
              <w:t>42</w:t>
            </w:r>
          </w:p>
        </w:tc>
        <w:tc>
          <w:tcPr>
            <w:tcW w:w="4200" w:type="dxa"/>
            <w:tcBorders>
              <w:top w:val="single" w:sz="4" w:space="0" w:color="000000"/>
              <w:start w:val="single" w:sz="4" w:space="0" w:color="000000"/>
              <w:bottom w:val="single" w:sz="4" w:space="0" w:color="000000"/>
              <w:end w:val="single" w:sz="4" w:space="0" w:color="000000"/>
            </w:tcBorders>
            <w:vAlign w:val="center"/>
          </w:tcPr>
          <w:p>
            <w:pPr>
              <w:pStyle w:val="Normal"/>
              <w:ind w:end="72"/>
              <w:jc w:val="both"/>
              <w:rPr>
                <w:rFonts w:ascii="Arial" w:hAnsi="Arial" w:cs="Arial"/>
                <w:szCs w:val="24"/>
              </w:rPr>
            </w:pPr>
            <w:r>
              <w:rPr>
                <w:rFonts w:cs="Arial" w:ascii="Arial" w:hAnsi="Arial"/>
                <w:szCs w:val="24"/>
              </w:rPr>
              <w:t xml:space="preserve">Наредба № 11 / 31.10. 2002 за международният автомобилен превоз на пътници и товари. </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КУОС</w:t>
            </w:r>
          </w:p>
        </w:tc>
        <w:tc>
          <w:tcPr>
            <w:tcW w:w="1512"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Cs w:val="24"/>
                <w:lang w:val="bg-BG"/>
              </w:rPr>
            </w:pPr>
            <w:r>
              <w:rPr>
                <w:rFonts w:cs="Arial" w:ascii="Arial" w:hAnsi="Arial"/>
                <w:szCs w:val="24"/>
                <w:lang w:val="bg-BG"/>
              </w:rPr>
              <w:t>01.03.2021</w:t>
            </w:r>
          </w:p>
        </w:tc>
        <w:tc>
          <w:tcPr>
            <w:tcW w:w="198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rPr>
            </w:pPr>
            <w:r>
              <w:rPr>
                <w:rFonts w:cs="Arial" w:ascii="Arial" w:hAnsi="Arial"/>
              </w:rPr>
              <w:t xml:space="preserve">   </w:t>
            </w:r>
            <w:r>
              <w:rPr>
                <w:rFonts w:cs="Arial" w:ascii="Arial" w:hAnsi="Arial"/>
              </w:rPr>
              <w:t xml:space="preserve">Да </w:t>
            </w:r>
          </w:p>
        </w:tc>
      </w:tr>
    </w:tbl>
    <w:p>
      <w:pPr>
        <w:pStyle w:val="Header"/>
        <w:tabs>
          <w:tab w:val="clear" w:pos="4153"/>
          <w:tab w:val="clear" w:pos="8306"/>
        </w:tabs>
        <w:jc w:val="center"/>
        <w:rPr>
          <w:b/>
          <w:sz w:val="28"/>
          <w:szCs w:val="28"/>
          <w:lang w:val="bg-BG"/>
        </w:rPr>
      </w:pPr>
      <w:r>
        <w:rPr>
          <w:b/>
          <w:sz w:val="28"/>
          <w:szCs w:val="28"/>
          <w:lang w:val="bg-BG"/>
        </w:rPr>
      </w:r>
    </w:p>
    <w:sectPr>
      <w:headerReference w:type="default" r:id="rId2"/>
      <w:footerReference w:type="default" r:id="rId3"/>
      <w:type w:val="nextPage"/>
      <w:pgSz w:w="12240" w:h="15840"/>
      <w:pgMar w:left="1418" w:right="1134" w:gutter="0" w:header="708" w:top="1134" w:footer="708" w:bottom="7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Segoe UI">
    <w:charset w:val="cc" w:characterSet="windows-1251"/>
    <w:family w:val="swiss"/>
    <w:pitch w:val="variable"/>
  </w:font>
  <w:font w:name="Liberation Sans">
    <w:altName w:val="Arial"/>
    <w:charset w:val="cc" w:characterSet="windows-1251"/>
    <w:family w:val="swiss"/>
    <w:pitch w:val="variable"/>
  </w:font>
  <w:font w:name="CourierCyr">
    <w:altName w:val="Courier New"/>
    <w:charset w:val="00" w:characterSet="windows-1252"/>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95" w:type="dxa"/>
      <w:jc w:val="center"/>
      <w:tblInd w:w="0" w:type="dxa"/>
      <w:tblLayout w:type="fixed"/>
      <w:tblCellMar>
        <w:top w:w="0" w:type="dxa"/>
        <w:start w:w="108" w:type="dxa"/>
        <w:bottom w:w="0" w:type="dxa"/>
        <w:end w:w="108" w:type="dxa"/>
      </w:tblCellMar>
    </w:tblPr>
    <w:tblGrid>
      <w:gridCol w:w="1843"/>
      <w:gridCol w:w="2567"/>
      <w:gridCol w:w="3192"/>
      <w:gridCol w:w="2093"/>
    </w:tblGrid>
    <w:tr>
      <w:trPr>
        <w:cantSplit/>
      </w:trPr>
      <w:tc>
        <w:tcPr>
          <w:tcW w:w="1843" w:type="dxa"/>
          <w:tcBorders>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eastAsia="ar-SA"/>
            </w:rPr>
          </w:pPr>
          <w:r>
            <w:rPr>
              <w:rFonts w:cs="MS Serif;Times New Roman"/>
              <w:sz w:val="20"/>
              <w:lang w:eastAsia="ar-SA"/>
            </w:rPr>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Организационно звено</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Име, фамилия</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t>Подпис</w:t>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Съставил: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highlight w:val="yellow"/>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highlight w:val="yellow"/>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Проверил: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highlight w:val="yellow"/>
              <w:lang w:val="bg-BG" w:eastAsia="ar-SA"/>
            </w:rPr>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highlight w:val="yellow"/>
              <w:lang w:val="bg-BG" w:eastAsia="ar-SA"/>
            </w:rPr>
          </w:r>
        </w:p>
      </w:tc>
    </w:tr>
    <w:tr>
      <w:trPr>
        <w:cantSplit/>
      </w:trPr>
      <w:tc>
        <w:tcPr>
          <w:tcW w:w="1843"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Утвърдил:</w:t>
          </w:r>
        </w:p>
      </w:tc>
      <w:tc>
        <w:tcPr>
          <w:tcW w:w="2567"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Управител</w:t>
          </w:r>
        </w:p>
      </w:tc>
      <w:tc>
        <w:tcPr>
          <w:tcW w:w="3192" w:type="dxa"/>
          <w:tcBorders>
            <w:top w:val="single" w:sz="4" w:space="0" w:color="000000"/>
            <w:start w:val="single" w:sz="4" w:space="0" w:color="000000"/>
            <w:bottom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lang w:val="bg-BG" w:eastAsia="ar-SA"/>
            </w:rPr>
            <w:t>ДЕЯН МАНДАЛИЕВ</w:t>
          </w:r>
        </w:p>
      </w:tc>
      <w:tc>
        <w:tcPr>
          <w:tcW w:w="2093" w:type="dxa"/>
          <w:tcBorders>
            <w:top w:val="single" w:sz="4" w:space="0" w:color="000000"/>
            <w:start w:val="single" w:sz="4" w:space="0" w:color="000000"/>
            <w:bottom w:val="single" w:sz="4" w:space="0" w:color="000000"/>
            <w:end w:val="single" w:sz="4" w:space="0" w:color="000000"/>
          </w:tcBorders>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highlight w:val="yellow"/>
              <w:lang w:val="bg-BG" w:eastAsia="ar-SA"/>
            </w:rPr>
          </w:pPr>
          <w:r>
            <w:rPr>
              <w:rFonts w:cs="MS Serif;Times New Roman"/>
              <w:sz w:val="20"/>
              <w:highlight w:val="yellow"/>
              <w:lang w:val="bg-BG" w:eastAsia="ar-SA"/>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46" w:type="dxa"/>
      <w:jc w:val="center"/>
      <w:tblInd w:w="0" w:type="dxa"/>
      <w:tblLayout w:type="fixed"/>
      <w:tblCellMar>
        <w:top w:w="0" w:type="dxa"/>
        <w:start w:w="108" w:type="dxa"/>
        <w:bottom w:w="0" w:type="dxa"/>
        <w:end w:w="108" w:type="dxa"/>
      </w:tblCellMar>
    </w:tblPr>
    <w:tblGrid>
      <w:gridCol w:w="4050"/>
      <w:gridCol w:w="4314"/>
      <w:gridCol w:w="1482"/>
    </w:tblGrid>
    <w:tr>
      <w:trPr>
        <w:trHeight w:val="1517" w:hRule="atLeast"/>
        <w:cantSplit/>
      </w:trPr>
      <w:tc>
        <w:tcPr>
          <w:tcW w:w="4050" w:type="dxa"/>
          <w:tcBorders>
            <w:top w:val="single" w:sz="4" w:space="0" w:color="000000"/>
            <w:start w:val="single" w:sz="4" w:space="0" w:color="000000"/>
            <w:bottom w:val="single" w:sz="4" w:space="0" w:color="000000"/>
          </w:tcBorders>
          <w:vAlign w:val="center"/>
        </w:tcPr>
        <w:p>
          <w:pPr>
            <w:pStyle w:val="Normal"/>
            <w:suppressAutoHyphens w:val="true"/>
            <w:overflowPunct w:val="true"/>
            <w:autoSpaceDE w:val="true"/>
            <w:snapToGrid w:val="false"/>
            <w:ind w:start="-142" w:end="3156"/>
            <w:jc w:val="end"/>
            <w:textAlignment w:val="auto"/>
            <w:rPr>
              <w:rFonts w:cs="MS Serif;Times New Roman"/>
              <w:sz w:val="20"/>
              <w:highlight w:val="yellow"/>
              <w:lang w:val="bg-BG" w:eastAsia="ar-SA"/>
            </w:rPr>
          </w:pPr>
          <w:r>
            <w:rPr>
              <w:rFonts w:cs="MS Serif;Times New Roman"/>
              <w:sz w:val="20"/>
              <w:highlight w:val="yellow"/>
              <w:lang w:val="bg-BG" w:eastAsia="ar-SA"/>
            </w:rPr>
          </w:r>
        </w:p>
      </w:tc>
      <w:tc>
        <w:tcPr>
          <w:tcW w:w="4314" w:type="dxa"/>
          <w:tcBorders>
            <w:top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ind w:start="32" w:end="0"/>
            <w:jc w:val="center"/>
            <w:textAlignment w:val="auto"/>
            <w:rPr>
              <w:rFonts w:cs="MS Serif;Times New Roman"/>
              <w:b/>
              <w:sz w:val="28"/>
              <w:highlight w:val="yellow"/>
              <w:lang w:val="bg-BG" w:eastAsia="ar-SA"/>
            </w:rPr>
          </w:pPr>
          <w:r>
            <w:rPr>
              <w:rFonts w:cs="MS Serif;Times New Roman"/>
              <w:b/>
              <w:color w:val="000000"/>
              <w:sz w:val="22"/>
              <w:lang w:val="bg-BG" w:eastAsia="ar-SA"/>
            </w:rPr>
            <w:t>БРАМАНД  ЕООД</w:t>
          </w:r>
        </w:p>
      </w:tc>
      <w:tc>
        <w:tcPr>
          <w:tcW w:w="1482" w:type="dxa"/>
          <w:tcBorders>
            <w:top w:val="single" w:sz="4" w:space="0" w:color="000000"/>
            <w:start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spacing w:before="120" w:after="0"/>
            <w:jc w:val="center"/>
            <w:textAlignment w:val="auto"/>
            <w:rPr>
              <w:rFonts w:cs="MS Serif;Times New Roman"/>
              <w:b/>
              <w:sz w:val="20"/>
              <w:lang w:val="bg-BG" w:eastAsia="ar-SA"/>
            </w:rPr>
          </w:pPr>
          <w:r>
            <w:rPr>
              <w:rFonts w:cs="MS Serif;Times New Roman"/>
              <w:b/>
              <w:sz w:val="20"/>
              <w:lang w:val="bg-BG" w:eastAsia="ar-SA"/>
            </w:rPr>
            <w:t>ПОС 09</w:t>
          </w:r>
        </w:p>
      </w:tc>
    </w:tr>
    <w:tr>
      <w:trPr>
        <w:trHeight w:val="28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Раздел:</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Система за управление на околната среда</w:t>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textAlignment w:val="auto"/>
            <w:rPr>
              <w:rFonts w:cs="MS Serif;Times New Roman"/>
              <w:b/>
              <w:sz w:val="20"/>
              <w:lang w:val="bg-BG" w:eastAsia="ar-SA"/>
            </w:rPr>
          </w:pPr>
          <w:r>
            <w:rPr>
              <w:rFonts w:cs="MS Serif;Times New Roman"/>
              <w:b/>
              <w:sz w:val="20"/>
              <w:lang w:val="bg-BG" w:eastAsia="ar-SA"/>
            </w:rPr>
            <w:t>Наименование на документа:</w:t>
          </w:r>
        </w:p>
      </w:tc>
      <w:tc>
        <w:tcPr>
          <w:tcW w:w="5796"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Оценка на съответствието</w:t>
          </w:r>
        </w:p>
      </w:tc>
    </w:tr>
    <w:tr>
      <w:trPr>
        <w:trHeight w:val="33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 xml:space="preserve">Дата на утвърждаване:  </w:t>
          </w:r>
          <w:r>
            <w:rPr>
              <w:rFonts w:cs="MS Serif;Times New Roman"/>
              <w:sz w:val="22"/>
              <w:lang w:val="bg-B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sz w:val="20"/>
              <w:lang w:val="bg-BG" w:eastAsia="ar-SA"/>
            </w:rPr>
          </w:pPr>
          <w:r>
            <w:rPr>
              <w:rFonts w:cs="MS Serif;Times New Roman"/>
              <w:sz w:val="20"/>
              <w:lang w:val="bg-BG" w:eastAsia="ar-SA"/>
            </w:rPr>
            <w:t>Версия 01</w:t>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300"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 xml:space="preserve">Дата на влизане в сила: </w:t>
          </w:r>
          <w:r>
            <w:rPr>
              <w:rFonts w:cs="MS Serif;Times New Roman"/>
              <w:sz w:val="22"/>
              <w:lang w:val="bg-BG" w:eastAsia="ar-SA"/>
            </w:rPr>
            <w:t>01.03.2021</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r>
      <w:trPr>
        <w:trHeight w:val="75"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ascii="Wingdings" w:hAnsi="Wingdings" w:eastAsia="Wingdings" w:cs="Wingdings"/>
              <w:sz w:val="20"/>
              <w:lang w:val="bg-BG" w:eastAsia="ar-SA"/>
            </w:rPr>
          </w:pPr>
          <w:r>
            <w:rPr>
              <w:rFonts w:eastAsia="Wingdings" w:cs="Wingdings" w:ascii="Wingdings" w:hAnsi="Wingdings"/>
              <w:sz w:val="20"/>
              <w:lang w:val="bg-BG" w:eastAsia="ar-SA"/>
            </w:rPr>
            <w:sym w:font="Wingdings" w:char="f0fe"/>
          </w:r>
        </w:p>
      </w:tc>
    </w:tr>
    <w:tr>
      <w:trPr>
        <w:trHeight w:val="84" w:hRule="atLeast"/>
        <w:cantSplit/>
      </w:trPr>
      <w:tc>
        <w:tcPr>
          <w:tcW w:w="4050"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t>Неконтролирано копие</w:t>
          </w:r>
        </w:p>
      </w:tc>
      <w:tc>
        <w:tcPr>
          <w:tcW w:w="4314" w:type="dxa"/>
          <w:tcBorders>
            <w:top w:val="single" w:sz="4" w:space="0" w:color="000000"/>
            <w:start w:val="single" w:sz="4" w:space="0" w:color="000000"/>
            <w:bottom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both"/>
            <w:textAlignment w:val="auto"/>
            <w:rPr>
              <w:rFonts w:cs="MS Serif;Times New Roman"/>
              <w:b/>
              <w:sz w:val="20"/>
              <w:lang w:val="bg-BG" w:eastAsia="ar-SA"/>
            </w:rPr>
          </w:pPr>
          <w:r>
            <w:rPr>
              <w:rFonts w:cs="MS Serif;Times New Roman"/>
              <w:b/>
              <w:sz w:val="20"/>
              <w:lang w:val="bg-BG" w:eastAsia="ar-SA"/>
            </w:rPr>
          </w:r>
        </w:p>
      </w:tc>
      <w:tc>
        <w:tcPr>
          <w:tcW w:w="1482"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8"/>
              <w:tab w:val="center" w:pos="4320" w:leader="none"/>
              <w:tab w:val="right" w:pos="8640" w:leader="none"/>
            </w:tabs>
            <w:suppressAutoHyphens w:val="true"/>
            <w:overflowPunct w:val="true"/>
            <w:autoSpaceDE w:val="true"/>
            <w:snapToGrid w:val="false"/>
            <w:jc w:val="center"/>
            <w:textAlignment w:val="auto"/>
            <w:rPr>
              <w:rFonts w:cs="MS Serif;Times New Roman"/>
              <w:sz w:val="20"/>
              <w:lang w:val="bg-BG" w:eastAsia="ar-SA"/>
            </w:rPr>
          </w:pPr>
          <w:r>
            <w:rPr>
              <w:rFonts w:cs="MS Serif;Times New Roman"/>
              <w:sz w:val="20"/>
              <w:lang w:val="bg-BG" w:eastAsia="ar-SA"/>
            </w:rPr>
          </w:r>
        </w:p>
      </w:tc>
    </w:tr>
  </w:tbl>
  <w:p>
    <w:pPr>
      <w:pStyle w:val="Header"/>
      <w:rPr>
        <w:sz w:val="24"/>
        <w:lang w:val="bg-BG"/>
      </w:rPr>
    </w:pPr>
    <w:r>
      <w:rPr>
        <w:sz w:val="24"/>
        <w:lang w:val="bg-BG"/>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432"/>
        </w:tabs>
        <w:ind w:start="432" w:hanging="432"/>
      </w:pPr>
    </w:lvl>
    <w:lvl w:ilvl="1">
      <w:start w:val="1"/>
      <w:numFmt w:val="decimal"/>
      <w:pStyle w:val="Heading2"/>
      <w:lvlText w:val="%1.%2"/>
      <w:lvlJc w:val="start"/>
      <w:pPr>
        <w:tabs>
          <w:tab w:val="num" w:pos="576"/>
        </w:tabs>
        <w:ind w:start="576" w:hanging="576"/>
      </w:pPr>
    </w:lvl>
    <w:lvl w:ilvl="2">
      <w:start w:val="1"/>
      <w:numFmt w:val="decimal"/>
      <w:pStyle w:val="Heading3"/>
      <w:lvlText w:val="%1.%2.%3"/>
      <w:lvlJc w:val="start"/>
      <w:pPr>
        <w:tabs>
          <w:tab w:val="num" w:pos="720"/>
        </w:tabs>
        <w:ind w:start="720" w:hanging="720"/>
      </w:pPr>
    </w:lvl>
    <w:lvl w:ilvl="3">
      <w:start w:val="1"/>
      <w:numFmt w:val="decimal"/>
      <w:pStyle w:val="Heading4"/>
      <w:lvlText w:val="%1.%2.%3.%4"/>
      <w:lvlJc w:val="start"/>
      <w:pPr>
        <w:tabs>
          <w:tab w:val="num" w:pos="864"/>
        </w:tabs>
        <w:ind w:start="1584" w:hanging="864"/>
      </w:pPr>
    </w:lvl>
    <w:lvl w:ilvl="4">
      <w:start w:val="1"/>
      <w:numFmt w:val="decimal"/>
      <w:pStyle w:val="Heading5"/>
      <w:lvlText w:val="%1.%2.%3.%4.%5"/>
      <w:lvlJc w:val="start"/>
      <w:pPr>
        <w:tabs>
          <w:tab w:val="num" w:pos="1008"/>
        </w:tabs>
        <w:ind w:start="1008" w:hanging="1008"/>
      </w:pPr>
    </w:lvl>
    <w:lvl w:ilvl="5">
      <w:start w:val="1"/>
      <w:numFmt w:val="decimal"/>
      <w:pStyle w:val="Heading6"/>
      <w:lvlText w:val="%1.%2.%3.%4.%5.%6"/>
      <w:lvlJc w:val="start"/>
      <w:pPr>
        <w:tabs>
          <w:tab w:val="num" w:pos="1152"/>
        </w:tabs>
        <w:ind w:start="1152" w:hanging="1152"/>
      </w:pPr>
    </w:lvl>
    <w:lvl w:ilvl="6">
      <w:start w:val="1"/>
      <w:numFmt w:val="decimal"/>
      <w:pStyle w:val="Heading7"/>
      <w:lvlText w:val="%1.%2.%3.%4.%5.%6.%7"/>
      <w:lvlJc w:val="start"/>
      <w:pPr>
        <w:tabs>
          <w:tab w:val="num" w:pos="1296"/>
        </w:tabs>
        <w:ind w:start="1296" w:hanging="1296"/>
      </w:pPr>
    </w:lvl>
    <w:lvl w:ilvl="7">
      <w:start w:val="1"/>
      <w:numFmt w:val="decimal"/>
      <w:pStyle w:val="Heading8"/>
      <w:lvlText w:val="%1.%2.%3.%4.%5.%6.%7.%8"/>
      <w:lvlJc w:val="start"/>
      <w:pPr>
        <w:tabs>
          <w:tab w:val="num" w:pos="1440"/>
        </w:tabs>
        <w:ind w:start="1440" w:hanging="1440"/>
      </w:pPr>
    </w:lvl>
    <w:lvl w:ilvl="8">
      <w:start w:val="1"/>
      <w:numFmt w:val="decimal"/>
      <w:pStyle w:val="Heading9"/>
      <w:lvlText w:val="%1.%2.%3.%4.%5.%6.%7.%8.%9"/>
      <w:lvlJc w:val="start"/>
      <w:pPr>
        <w:tabs>
          <w:tab w:val="num" w:pos="1584"/>
        </w:tabs>
        <w:ind w:start="1584" w:hanging="1584"/>
      </w:pPr>
    </w:lvl>
  </w:abstractNum>
  <w:abstractNum w:abstractNumId="2">
    <w:lvl w:ilvl="0">
      <w:start w:val="1"/>
      <w:numFmt w:val="lowerLetter"/>
      <w:lvlText w:val="%1."/>
      <w:lvlJc w:val="start"/>
      <w:pPr>
        <w:tabs>
          <w:tab w:val="num" w:pos="1440"/>
        </w:tabs>
        <w:ind w:start="1440" w:hanging="360"/>
      </w:pPr>
      <w:rPr/>
    </w:lvl>
    <w:lvl w:ilvl="1">
      <w:start w:val="1"/>
      <w:numFmt w:val="lowerLetter"/>
      <w:lvlText w:val="%2)"/>
      <w:lvlJc w:val="start"/>
      <w:pPr>
        <w:tabs>
          <w:tab w:val="num" w:pos="1260"/>
        </w:tabs>
        <w:ind w:start="1260" w:hanging="180"/>
      </w:pPr>
      <w:rPr/>
    </w:lvl>
    <w:lvl w:ilvl="2">
      <w:start w:val="1"/>
      <w:numFmt w:val="lowerLetter"/>
      <w:lvlText w:val="%3."/>
      <w:lvlJc w:val="start"/>
      <w:pPr>
        <w:tabs>
          <w:tab w:val="num" w:pos="2340"/>
        </w:tabs>
        <w:ind w:start="2340" w:hanging="360"/>
      </w:pPr>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3">
    <w:lvl w:ilvl="0">
      <w:start w:val="1"/>
      <w:numFmt w:val="lowerLetter"/>
      <w:lvlText w:val="%1."/>
      <w:lvlJc w:val="start"/>
      <w:pPr>
        <w:tabs>
          <w:tab w:val="num" w:pos="1440"/>
        </w:tabs>
        <w:ind w:start="1440" w:hanging="360"/>
      </w:pPr>
      <w:rPr/>
    </w:lvl>
    <w:lvl w:ilvl="1">
      <w:start w:val="1"/>
      <w:numFmt w:val="lowerLetter"/>
      <w:lvlText w:val="%2)"/>
      <w:lvlJc w:val="start"/>
      <w:pPr>
        <w:tabs>
          <w:tab w:val="num" w:pos="1260"/>
        </w:tabs>
        <w:ind w:start="1260" w:hanging="180"/>
      </w:pPr>
      <w:rPr/>
    </w:lvl>
    <w:lvl w:ilvl="2">
      <w:start w:val="1"/>
      <w:numFmt w:val="lowerLetter"/>
      <w:lvlText w:val="%3."/>
      <w:lvlJc w:val="start"/>
      <w:pPr>
        <w:tabs>
          <w:tab w:val="num" w:pos="2340"/>
        </w:tabs>
        <w:ind w:start="2340" w:hanging="360"/>
      </w:pPr>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4">
    <w:lvl w:ilvl="0">
      <w:start w:val="1"/>
      <w:numFmt w:val="bullet"/>
      <w:lvlText w:val=""/>
      <w:lvlJc w:val="start"/>
      <w:pPr>
        <w:tabs>
          <w:tab w:val="num" w:pos="851"/>
        </w:tabs>
        <w:ind w:start="851" w:hanging="360"/>
      </w:pPr>
      <w:rPr>
        <w:rFonts w:ascii="Symbol" w:hAnsi="Symbol" w:cs="Symbol" w:hint="default"/>
        <w:b w:val="false"/>
      </w:rPr>
    </w:lvl>
  </w:abstractNum>
  <w:abstractNum w:abstractNumId="5">
    <w:lvl w:ilvl="0">
      <w:start w:val="1"/>
      <w:numFmt w:val="lowerLetter"/>
      <w:lvlText w:val="%1)"/>
      <w:lvlJc w:val="start"/>
      <w:pPr>
        <w:tabs>
          <w:tab w:val="num" w:pos="851"/>
        </w:tabs>
        <w:ind w:start="851" w:hanging="360"/>
      </w:pPr>
      <w:rPr>
        <w:b w:val="false"/>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lowerLetter"/>
      <w:lvlText w:val="%1)"/>
      <w:lvlJc w:val="start"/>
      <w:pPr>
        <w:tabs>
          <w:tab w:val="num" w:pos="1211"/>
        </w:tabs>
        <w:ind w:start="1211" w:hanging="360"/>
      </w:pPr>
    </w:lvl>
  </w:abstractNum>
  <w:abstractNum w:abstractNumId="9">
    <w:lvl w:ilvl="0">
      <w:start w:val="1"/>
      <w:numFmt w:val="lowerLetter"/>
      <w:lvlText w:val="%1."/>
      <w:lvlJc w:val="start"/>
      <w:pPr>
        <w:tabs>
          <w:tab w:val="num" w:pos="1582"/>
        </w:tabs>
        <w:ind w:start="1582" w:hanging="360"/>
      </w:pPr>
      <w:rPr/>
    </w:lvl>
    <w:lvl w:ilvl="1">
      <w:start w:val="1"/>
      <w:numFmt w:val="lowerLetter"/>
      <w:lvlText w:val="%2)"/>
      <w:lvlJc w:val="start"/>
      <w:pPr>
        <w:tabs>
          <w:tab w:val="num" w:pos="1402"/>
        </w:tabs>
        <w:ind w:start="1402" w:hanging="180"/>
      </w:pPr>
      <w:rPr/>
    </w:lvl>
    <w:lvl w:ilvl="2">
      <w:start w:val="1"/>
      <w:numFmt w:val="lowerRoman"/>
      <w:lvlText w:val="%3."/>
      <w:lvlJc w:val="end"/>
      <w:pPr>
        <w:tabs>
          <w:tab w:val="num" w:pos="2302"/>
        </w:tabs>
        <w:ind w:start="2302" w:hanging="180"/>
      </w:pPr>
    </w:lvl>
    <w:lvl w:ilvl="3">
      <w:start w:val="1"/>
      <w:numFmt w:val="decimal"/>
      <w:lvlText w:val="%4."/>
      <w:lvlJc w:val="start"/>
      <w:pPr>
        <w:tabs>
          <w:tab w:val="num" w:pos="3022"/>
        </w:tabs>
        <w:ind w:start="3022" w:hanging="360"/>
      </w:pPr>
    </w:lvl>
    <w:lvl w:ilvl="4">
      <w:start w:val="1"/>
      <w:numFmt w:val="lowerLetter"/>
      <w:lvlText w:val="%5."/>
      <w:lvlJc w:val="start"/>
      <w:pPr>
        <w:tabs>
          <w:tab w:val="num" w:pos="3742"/>
        </w:tabs>
        <w:ind w:start="3742" w:hanging="360"/>
      </w:pPr>
    </w:lvl>
    <w:lvl w:ilvl="5">
      <w:start w:val="1"/>
      <w:numFmt w:val="lowerRoman"/>
      <w:lvlText w:val="%6."/>
      <w:lvlJc w:val="end"/>
      <w:pPr>
        <w:tabs>
          <w:tab w:val="num" w:pos="4462"/>
        </w:tabs>
        <w:ind w:start="4462" w:hanging="180"/>
      </w:pPr>
    </w:lvl>
    <w:lvl w:ilvl="6">
      <w:start w:val="1"/>
      <w:numFmt w:val="decimal"/>
      <w:lvlText w:val="%7."/>
      <w:lvlJc w:val="start"/>
      <w:pPr>
        <w:tabs>
          <w:tab w:val="num" w:pos="5182"/>
        </w:tabs>
        <w:ind w:start="5182" w:hanging="360"/>
      </w:pPr>
    </w:lvl>
    <w:lvl w:ilvl="7">
      <w:start w:val="1"/>
      <w:numFmt w:val="lowerLetter"/>
      <w:lvlText w:val="%8."/>
      <w:lvlJc w:val="start"/>
      <w:pPr>
        <w:tabs>
          <w:tab w:val="num" w:pos="5902"/>
        </w:tabs>
        <w:ind w:start="5902" w:hanging="360"/>
      </w:pPr>
    </w:lvl>
    <w:lvl w:ilvl="8">
      <w:start w:val="1"/>
      <w:numFmt w:val="lowerRoman"/>
      <w:lvlText w:val="%9."/>
      <w:lvlJc w:val="end"/>
      <w:pPr>
        <w:tabs>
          <w:tab w:val="num" w:pos="6622"/>
        </w:tabs>
        <w:ind w:start="6622" w:hanging="180"/>
      </w:pPr>
    </w:lvl>
  </w:abstractNum>
  <w:abstractNum w:abstractNumId="10">
    <w:lvl w:ilvl="0">
      <w:start w:val="1"/>
      <w:numFmt w:val="bullet"/>
      <w:lvlText w:val=""/>
      <w:lvlJc w:val="start"/>
      <w:pPr>
        <w:tabs>
          <w:tab w:val="num" w:pos="851"/>
        </w:tabs>
        <w:ind w:start="851" w:hanging="360"/>
      </w:pPr>
      <w:rPr>
        <w:rFonts w:ascii="Symbol" w:hAnsi="Symbol" w:cs="Symbol" w:hint="default"/>
        <w:b w:val="false"/>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abstractNum w:abstractNumId="12">
    <w:lvl w:ilvl="0">
      <w:start w:val="1"/>
      <w:numFmt w:val="bullet"/>
      <w:lvlText w:val=""/>
      <w:lvlJc w:val="start"/>
      <w:pPr>
        <w:tabs>
          <w:tab w:val="num" w:pos="851"/>
        </w:tabs>
        <w:ind w:start="851"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lowerLetter"/>
      <w:lvlText w:val="%1."/>
      <w:lvlJc w:val="start"/>
      <w:pPr>
        <w:tabs>
          <w:tab w:val="num" w:pos="360"/>
        </w:tabs>
        <w:ind w:start="360" w:hanging="360"/>
      </w:p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lowerLetter"/>
      <w:lvlText w:val="%1."/>
      <w:lvlJc w:val="start"/>
      <w:pPr>
        <w:tabs>
          <w:tab w:val="num" w:pos="720"/>
        </w:tabs>
        <w:ind w:start="720" w:hanging="360"/>
      </w:pPr>
    </w:lvl>
  </w:abstractNum>
  <w:abstractNum w:abstractNumId="18">
    <w:lvl w:ilvl="0">
      <w:start w:val="1"/>
      <w:numFmt w:val="bullet"/>
      <w:lvlText w:val=""/>
      <w:lvlJc w:val="start"/>
      <w:pPr>
        <w:tabs>
          <w:tab w:val="num" w:pos="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4"/>
      <w:szCs w:val="20"/>
      <w:lang w:val="en-US" w:bidi="ar-SA" w:eastAsia="zh-CN"/>
    </w:rPr>
  </w:style>
  <w:style w:type="paragraph" w:styleId="Heading1">
    <w:name w:val="heading 1"/>
    <w:basedOn w:val="Normal"/>
    <w:next w:val="Normal"/>
    <w:qFormat/>
    <w:pPr>
      <w:keepNext w:val="true"/>
      <w:numPr>
        <w:ilvl w:val="0"/>
        <w:numId w:val="1"/>
      </w:numPr>
      <w:tabs>
        <w:tab w:val="clear" w:pos="708"/>
        <w:tab w:val="left" w:pos="432" w:leader="none"/>
      </w:tabs>
      <w:jc w:val="center"/>
      <w:outlineLvl w:val="0"/>
    </w:pPr>
    <w:rPr>
      <w:b/>
      <w:lang w:val="bg-BG"/>
    </w:rPr>
  </w:style>
  <w:style w:type="paragraph" w:styleId="Heading2">
    <w:name w:val="heading 2"/>
    <w:basedOn w:val="Normal"/>
    <w:next w:val="Normal"/>
    <w:qFormat/>
    <w:pPr>
      <w:keepNext w:val="true"/>
      <w:numPr>
        <w:ilvl w:val="1"/>
        <w:numId w:val="1"/>
      </w:numPr>
      <w:tabs>
        <w:tab w:val="clear" w:pos="708"/>
        <w:tab w:val="left" w:pos="576" w:leader="none"/>
      </w:tabs>
      <w:jc w:val="end"/>
      <w:outlineLvl w:val="1"/>
    </w:pPr>
    <w:rPr>
      <w:b/>
      <w:lang w:val="bg-BG"/>
    </w:rPr>
  </w:style>
  <w:style w:type="paragraph" w:styleId="Heading3">
    <w:name w:val="heading 3"/>
    <w:basedOn w:val="Normal"/>
    <w:next w:val="Normal"/>
    <w:qFormat/>
    <w:pPr>
      <w:keepNext w:val="true"/>
      <w:numPr>
        <w:ilvl w:val="2"/>
        <w:numId w:val="1"/>
      </w:numPr>
      <w:tabs>
        <w:tab w:val="clear" w:pos="708"/>
        <w:tab w:val="left" w:pos="720" w:leader="none"/>
      </w:tabs>
      <w:jc w:val="center"/>
      <w:outlineLvl w:val="2"/>
    </w:pPr>
    <w:rPr>
      <w:rFonts w:ascii="Arial" w:hAnsi="Arial" w:cs="Arial"/>
      <w:b/>
      <w:i/>
      <w:color w:val="000000"/>
      <w:sz w:val="32"/>
      <w:lang w:val="en-AU"/>
    </w:rPr>
  </w:style>
  <w:style w:type="paragraph" w:styleId="Heading4">
    <w:name w:val="heading 4"/>
    <w:basedOn w:val="Normal"/>
    <w:next w:val="Normal"/>
    <w:qFormat/>
    <w:pPr>
      <w:keepNext w:val="true"/>
      <w:numPr>
        <w:ilvl w:val="3"/>
        <w:numId w:val="1"/>
      </w:numPr>
      <w:tabs>
        <w:tab w:val="clear" w:pos="708"/>
        <w:tab w:val="left" w:pos="864" w:leader="none"/>
      </w:tabs>
      <w:jc w:val="center"/>
      <w:outlineLvl w:val="3"/>
    </w:pPr>
    <w:rPr>
      <w:sz w:val="20"/>
      <w:u w:val="single"/>
      <w:lang w:val="bg-BG"/>
    </w:rPr>
  </w:style>
  <w:style w:type="paragraph" w:styleId="Heading5">
    <w:name w:val="heading 5"/>
    <w:basedOn w:val="Normal"/>
    <w:next w:val="Normal"/>
    <w:qFormat/>
    <w:pPr>
      <w:keepNext w:val="true"/>
      <w:numPr>
        <w:ilvl w:val="4"/>
        <w:numId w:val="1"/>
      </w:numPr>
      <w:tabs>
        <w:tab w:val="clear" w:pos="708"/>
        <w:tab w:val="left" w:pos="1008" w:leader="none"/>
      </w:tabs>
      <w:jc w:val="center"/>
      <w:outlineLvl w:val="4"/>
    </w:pPr>
    <w:rPr>
      <w:b/>
      <w:sz w:val="20"/>
      <w:lang w:val="bg-BG"/>
    </w:rPr>
  </w:style>
  <w:style w:type="paragraph" w:styleId="Heading6">
    <w:name w:val="heading 6"/>
    <w:basedOn w:val="Normal"/>
    <w:next w:val="Normal"/>
    <w:qFormat/>
    <w:pPr>
      <w:keepNext w:val="true"/>
      <w:numPr>
        <w:ilvl w:val="5"/>
        <w:numId w:val="1"/>
      </w:numPr>
      <w:tabs>
        <w:tab w:val="clear" w:pos="708"/>
        <w:tab w:val="left" w:pos="1152" w:leader="none"/>
      </w:tabs>
      <w:jc w:val="center"/>
      <w:outlineLvl w:val="5"/>
    </w:pPr>
    <w:rPr>
      <w:b/>
      <w:sz w:val="30"/>
      <w:lang w:val="bg-BG"/>
    </w:rPr>
  </w:style>
  <w:style w:type="paragraph" w:styleId="Heading7">
    <w:name w:val="heading 7"/>
    <w:basedOn w:val="Normal"/>
    <w:next w:val="Normal"/>
    <w:qFormat/>
    <w:pPr>
      <w:keepNext w:val="true"/>
      <w:numPr>
        <w:ilvl w:val="6"/>
        <w:numId w:val="1"/>
      </w:numPr>
      <w:tabs>
        <w:tab w:val="clear" w:pos="708"/>
        <w:tab w:val="left" w:pos="1296" w:leader="none"/>
      </w:tabs>
      <w:jc w:val="center"/>
      <w:outlineLvl w:val="6"/>
    </w:pPr>
    <w:rPr>
      <w:b/>
      <w:sz w:val="28"/>
      <w:lang w:val="bg-BG"/>
    </w:rPr>
  </w:style>
  <w:style w:type="paragraph" w:styleId="Heading8">
    <w:name w:val="heading 8"/>
    <w:basedOn w:val="Normal"/>
    <w:next w:val="Normal"/>
    <w:qFormat/>
    <w:pPr>
      <w:keepNext w:val="true"/>
      <w:numPr>
        <w:ilvl w:val="7"/>
        <w:numId w:val="1"/>
      </w:numPr>
      <w:tabs>
        <w:tab w:val="clear" w:pos="708"/>
        <w:tab w:val="left" w:pos="1440" w:leader="none"/>
      </w:tabs>
      <w:outlineLvl w:val="7"/>
    </w:pPr>
    <w:rPr>
      <w:b/>
      <w:sz w:val="20"/>
      <w:lang w:val="bg-BG"/>
    </w:rPr>
  </w:style>
  <w:style w:type="paragraph" w:styleId="Heading9">
    <w:name w:val="heading 9"/>
    <w:basedOn w:val="Normal"/>
    <w:next w:val="Normal"/>
    <w:qFormat/>
    <w:pPr>
      <w:keepNext w:val="true"/>
      <w:numPr>
        <w:ilvl w:val="8"/>
        <w:numId w:val="1"/>
      </w:numPr>
      <w:tabs>
        <w:tab w:val="clear" w:pos="708"/>
        <w:tab w:val="left" w:pos="1584" w:leader="none"/>
      </w:tabs>
      <w:jc w:val="center"/>
      <w:outlineLvl w:val="8"/>
    </w:pPr>
    <w:rPr>
      <w:sz w:val="32"/>
      <w:lang w:val="bg-BG"/>
    </w:rPr>
  </w:style>
  <w:style w:type="character" w:styleId="WW8Num2z0">
    <w:name w:val="WW8Num2z0"/>
    <w:qFormat/>
    <w:rPr/>
  </w:style>
  <w:style w:type="character" w:styleId="WW8Num3z0">
    <w:name w:val="WW8Num3z0"/>
    <w:qFormat/>
    <w:rPr/>
  </w:style>
  <w:style w:type="character" w:styleId="WW8Num4z0">
    <w:name w:val="WW8Num4z0"/>
    <w:qFormat/>
    <w:rPr>
      <w:rFonts w:ascii="Symbol" w:hAnsi="Symbol" w:cs="Symbol"/>
      <w:b w:val="false"/>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val="false"/>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b w:val="false"/>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7z0">
    <w:name w:val="WW8Num17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Style5">
    <w:name w:val="Шрифт на абзаца по подразбиране"/>
    <w:qFormat/>
    <w:rPr/>
  </w:style>
  <w:style w:type="character" w:styleId="PageNumber">
    <w:name w:val="page number"/>
    <w:basedOn w:val="Style5"/>
    <w:rPr/>
  </w:style>
  <w:style w:type="character" w:styleId="Style6">
    <w:name w:val="Горен колонтитул Знак"/>
    <w:qFormat/>
    <w:rPr>
      <w:lang w:val="en-AU" w:bidi="ar-SA"/>
    </w:rPr>
  </w:style>
  <w:style w:type="character" w:styleId="Style7">
    <w:name w:val="Основен текст Знак"/>
    <w:qFormat/>
    <w:rPr>
      <w:sz w:val="24"/>
      <w:lang w:bidi="ar-SA"/>
    </w:rPr>
  </w:style>
  <w:style w:type="character" w:styleId="Heading2ArialChar">
    <w:name w:val="Heading 2 + Arial Char"/>
    <w:qFormat/>
    <w:rPr>
      <w:rFonts w:ascii="Arial" w:hAnsi="Arial" w:cs="Arial"/>
      <w:b/>
      <w:bCs/>
      <w:spacing w:val="10"/>
      <w:sz w:val="22"/>
      <w:szCs w:val="22"/>
      <w:lang w:bidi="ar-SA"/>
    </w:rPr>
  </w:style>
  <w:style w:type="character" w:styleId="Style8">
    <w:name w:val="Изнесен текст Знак"/>
    <w:qFormat/>
    <w:rPr>
      <w:rFonts w:ascii="Segoe UI" w:hAnsi="Segoe UI" w:cs="Segoe UI"/>
      <w:sz w:val="18"/>
      <w:szCs w:val="18"/>
      <w:lang w:val="en-US"/>
    </w:rPr>
  </w:style>
  <w:style w:type="paragraph" w:styleId="Style9">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lang w:val="bg-BG"/>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0">
    <w:name w:val="Указател"/>
    <w:basedOn w:val="Normal"/>
    <w:qFormat/>
    <w:pPr>
      <w:suppressLineNumbers/>
    </w:pPr>
    <w:rPr>
      <w:rFonts w:cs="Arial"/>
    </w:rPr>
  </w:style>
  <w:style w:type="paragraph" w:styleId="Style11">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153" w:leader="none"/>
        <w:tab w:val="right" w:pos="8306" w:leader="none"/>
      </w:tabs>
    </w:pPr>
    <w:rPr>
      <w:sz w:val="20"/>
      <w:lang w:val="en-AU"/>
    </w:rPr>
  </w:style>
  <w:style w:type="paragraph" w:styleId="3">
    <w:name w:val="Основен текст 3"/>
    <w:basedOn w:val="Normal"/>
    <w:qFormat/>
    <w:pPr>
      <w:jc w:val="both"/>
    </w:pPr>
    <w:rPr>
      <w:i/>
      <w:lang w:val="bg-BG"/>
    </w:rPr>
  </w:style>
  <w:style w:type="paragraph" w:styleId="Style12">
    <w:name w:val="Блоков текст"/>
    <w:basedOn w:val="Normal"/>
    <w:qFormat/>
    <w:pPr>
      <w:tabs>
        <w:tab w:val="clear" w:pos="708"/>
        <w:tab w:val="left" w:pos="1276" w:leader="none"/>
      </w:tabs>
      <w:ind w:hanging="0" w:start="-284" w:end="474"/>
      <w:jc w:val="both"/>
    </w:pPr>
    <w:rPr>
      <w:lang w:val="bg-BG"/>
    </w:rPr>
  </w:style>
  <w:style w:type="paragraph" w:styleId="TC">
    <w:name w:val="TC"/>
    <w:qFormat/>
    <w:pPr>
      <w:keepNext w:val="true"/>
      <w:keepLines/>
      <w:widowControl/>
      <w:bidi w:val="0"/>
      <w:jc w:val="center"/>
    </w:pPr>
    <w:rPr>
      <w:rFonts w:ascii="CourierCyr;Courier New" w:hAnsi="CourierCyr;Courier New" w:eastAsia="Times New Roman" w:cs="CourierCyr;Courier New"/>
      <w:color w:val="auto"/>
      <w:sz w:val="24"/>
      <w:szCs w:val="20"/>
      <w:lang w:val="en-GB" w:bidi="ar-SA" w:eastAsia="zh-CN"/>
    </w:rPr>
  </w:style>
  <w:style w:type="paragraph" w:styleId="Style13">
    <w:name w:val="Стил"/>
    <w:qFormat/>
    <w:pPr>
      <w:widowControl/>
      <w:autoSpaceDE w:val="false"/>
      <w:bidi w:val="0"/>
      <w:ind w:firstLine="840" w:start="140" w:end="140"/>
      <w:jc w:val="both"/>
    </w:pPr>
    <w:rPr>
      <w:rFonts w:ascii="Times New Roman" w:hAnsi="Times New Roman" w:eastAsia="Times New Roman" w:cs="Times New Roman"/>
      <w:color w:val="auto"/>
      <w:sz w:val="24"/>
      <w:szCs w:val="24"/>
      <w:lang w:bidi="ar-SA" w:val="bg-BG" w:eastAsia="zh-CN"/>
    </w:rPr>
  </w:style>
  <w:style w:type="paragraph" w:styleId="ListParagraph1">
    <w:name w:val="List Paragraph1"/>
    <w:basedOn w:val="Normal"/>
    <w:qFormat/>
    <w:pPr>
      <w:spacing w:before="0" w:after="0"/>
      <w:ind w:hanging="0" w:start="720" w:end="0"/>
      <w:contextualSpacing/>
    </w:pPr>
    <w:rPr>
      <w:lang w:val="en-GB"/>
    </w:rPr>
  </w:style>
  <w:style w:type="paragraph" w:styleId="Heading2Arial">
    <w:name w:val="Heading 2 + Arial"/>
    <w:basedOn w:val="Heading1"/>
    <w:qFormat/>
    <w:pPr>
      <w:numPr>
        <w:ilvl w:val="0"/>
        <w:numId w:val="0"/>
      </w:numPr>
      <w:tabs>
        <w:tab w:val="clear" w:pos="432"/>
        <w:tab w:val="left" w:pos="284" w:leader="none"/>
      </w:tabs>
      <w:spacing w:before="0" w:after="100"/>
      <w:ind w:hanging="0" w:start="-284" w:end="0"/>
      <w:jc w:val="start"/>
      <w:outlineLvl w:val="9"/>
    </w:pPr>
    <w:rPr>
      <w:rFonts w:ascii="Arial" w:hAnsi="Arial" w:cs="Arial"/>
      <w:bCs/>
      <w:spacing w:val="10"/>
      <w:sz w:val="22"/>
      <w:szCs w:val="22"/>
    </w:rPr>
  </w:style>
  <w:style w:type="paragraph" w:styleId="Footer">
    <w:name w:val="footer"/>
    <w:basedOn w:val="Normal"/>
    <w:pPr>
      <w:tabs>
        <w:tab w:val="clear" w:pos="708"/>
        <w:tab w:val="center" w:pos="4536" w:leader="none"/>
        <w:tab w:val="right" w:pos="9072" w:leader="none"/>
      </w:tabs>
    </w:pPr>
    <w:rPr/>
  </w:style>
  <w:style w:type="paragraph" w:styleId="Style14">
    <w:name w:val="Изнесен текст"/>
    <w:basedOn w:val="Normal"/>
    <w:qFormat/>
    <w:pPr/>
    <w:rPr>
      <w:rFonts w:ascii="Segoe UI" w:hAnsi="Segoe UI" w:cs="Segoe UI"/>
      <w:sz w:val="18"/>
      <w:szCs w:val="18"/>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2015-06-09T12:12:00Z</dcterms:created>
  <dc:creator>user</dc:creator>
  <dc:description/>
  <cp:keywords/>
  <dc:language>bg-BG</dc:language>
  <cp:lastModifiedBy>user</cp:lastModifiedBy>
  <cp:lastPrinted>2018-08-15T16:16:00Z</cp:lastPrinted>
  <dcterms:modified xsi:type="dcterms:W3CDTF">2021-03-22T14:24:00Z</dcterms:modified>
  <cp:revision>19</cp:revision>
  <dc:subject/>
  <dc:title>ИНТЕГРИРАНА СИСТЕМА ЗА УПРАВЛЕНИЕ</dc:title>
</cp:coreProperties>
</file>