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mbeddings/oleObject1.bin" ContentType="application/vnd.openxmlformats-officedocument.oleObject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41" w:tblpX="22" w:tblpY="-345"/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0"/>
        <w:gridCol w:w="5130"/>
        <w:gridCol w:w="1440"/>
        <w:gridCol w:w="1440"/>
      </w:tblGrid>
      <w:tr>
        <w:trPr>
          <w:trHeight w:val="1006" w:hRule="atLeast"/>
          <w:cantSplit/>
        </w:trPr>
        <w:tc>
          <w:tcPr>
            <w:tcW w:w="1980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;Arial" w:hAnsi="Arial;Arial" w:cs="Arial;Arial"/>
                <w:sz w:val="36"/>
                <w:lang w:val="bg-BG"/>
              </w:rPr>
            </w:pPr>
            <w:r>
              <w:rPr>
                <w:rFonts w:cs="Arial;Arial" w:ascii="Arial;Arial" w:hAnsi="Arial;Arial"/>
                <w:b/>
                <w:sz w:val="36"/>
                <w:lang w:val="bg-BG"/>
              </w:rPr>
              <w:t>Системеннаръчник</w:t>
            </w:r>
          </w:p>
        </w:tc>
        <w:tc>
          <w:tcPr>
            <w:tcW w:w="5130" w:type="dxa"/>
            <w:vMerge w:val="restart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</w:tabs>
              <w:spacing w:before="60" w:after="60"/>
              <w:ind w:start="-108" w:end="-108"/>
              <w:jc w:val="center"/>
              <w:rPr>
                <w:rFonts w:ascii="Arial;Arial" w:hAnsi="Arial;Arial" w:cs="Arial;Arial"/>
                <w:b/>
                <w:sz w:val="40"/>
                <w:lang w:val="bg-BG"/>
              </w:rPr>
            </w:pPr>
            <w:r>
              <w:rPr>
                <w:rFonts w:cs="Arial;Arial" w:ascii="Arial;Arial" w:hAnsi="Arial;Arial"/>
                <w:b/>
                <w:sz w:val="40"/>
                <w:szCs w:val="48"/>
                <w:lang w:val="bg-BG"/>
              </w:rPr>
              <w:t>ТС КЪНСТРАКШЪН ЕООД</w:t>
            </w:r>
          </w:p>
        </w:tc>
        <w:tc>
          <w:tcPr>
            <w:tcW w:w="144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882" w:leader="none"/>
                <w:tab w:val="left" w:pos="1152" w:leader="none"/>
              </w:tabs>
              <w:spacing w:before="60" w:after="60"/>
              <w:ind w:start="-14" w:end="0"/>
              <w:jc w:val="both"/>
              <w:rPr/>
            </w:pPr>
            <w:r>
              <w:rPr>
                <w:rFonts w:cs="Arial;Arial" w:ascii="Arial;Arial" w:hAnsi="Arial;Arial"/>
                <w:sz w:val="22"/>
                <w:lang w:val="bg-BG"/>
              </w:rPr>
              <w:t xml:space="preserve">Версия </w:t>
            </w:r>
            <w:r>
              <w:rPr>
                <w:rFonts w:cs="Arial;Arial" w:ascii="Arial;Arial" w:hAnsi="Arial;Arial"/>
                <w:sz w:val="22"/>
              </w:rPr>
              <w:t>No.</w:t>
            </w:r>
          </w:p>
        </w:tc>
        <w:tc>
          <w:tcPr>
            <w:tcW w:w="1440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882" w:leader="none"/>
                <w:tab w:val="left" w:pos="1152" w:leader="none"/>
              </w:tabs>
              <w:spacing w:before="60" w:after="60"/>
              <w:ind w:start="-14" w:end="0"/>
              <w:jc w:val="both"/>
              <w:rPr>
                <w:rFonts w:ascii="Arial;Arial" w:hAnsi="Arial;Arial" w:cs="Arial;Arial"/>
                <w:sz w:val="22"/>
                <w:lang w:val="bg-BG"/>
              </w:rPr>
            </w:pPr>
            <w:r>
              <w:rPr>
                <w:rFonts w:cs="Arial;Arial" w:ascii="Arial;Arial" w:hAnsi="Arial;Arial"/>
                <w:sz w:val="22"/>
                <w:lang w:val="bg-BG"/>
              </w:rPr>
              <w:t>1</w:t>
            </w:r>
            <w:r>
              <w:rPr>
                <w:rFonts w:cs="Arial;Arial" w:ascii="Arial;Arial" w:hAnsi="Arial;Arial"/>
                <w:sz w:val="22"/>
              </w:rPr>
              <w:t>.0</w:t>
            </w:r>
          </w:p>
        </w:tc>
      </w:tr>
      <w:tr>
        <w:trPr>
          <w:trHeight w:val="467" w:hRule="atLeast"/>
          <w:cantSplit/>
        </w:trPr>
        <w:tc>
          <w:tcPr>
            <w:tcW w:w="1980" w:type="dxa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;Arial" w:hAnsi="Arial;Arial" w:cs="Arial;Arial"/>
                <w:sz w:val="22"/>
              </w:rPr>
            </w:pPr>
            <w:r>
              <w:rPr>
                <w:rFonts w:cs="Arial;Arial" w:ascii="Arial;Arial" w:hAnsi="Arial;Arial"/>
                <w:sz w:val="22"/>
              </w:rPr>
              <w:t xml:space="preserve">NK – F – 4 </w:t>
            </w:r>
          </w:p>
        </w:tc>
        <w:tc>
          <w:tcPr>
            <w:tcW w:w="5130" w:type="dxa"/>
            <w:vMerge w:val="continue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snapToGrid w:val="false"/>
              <w:spacing w:before="60" w:after="60"/>
              <w:jc w:val="center"/>
              <w:rPr>
                <w:rFonts w:ascii="Arial;Arial" w:hAnsi="Arial;Arial" w:cs="Arial;Arial"/>
                <w:b/>
                <w:i/>
                <w:smallCaps/>
                <w:sz w:val="36"/>
              </w:rPr>
            </w:pPr>
            <w:r>
              <w:rPr>
                <w:rFonts w:cs="Arial;Arial" w:ascii="Arial;Arial" w:hAnsi="Arial;Arial"/>
                <w:b/>
                <w:i/>
                <w:smallCaps/>
                <w:sz w:val="36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882" w:leader="none"/>
                <w:tab w:val="left" w:pos="1152" w:leader="none"/>
              </w:tabs>
              <w:spacing w:before="60" w:after="60"/>
              <w:ind w:start="-14" w:end="0"/>
              <w:jc w:val="both"/>
              <w:rPr>
                <w:rFonts w:ascii="Arial;Arial" w:hAnsi="Arial;Arial" w:cs="Arial;Arial"/>
                <w:sz w:val="22"/>
                <w:lang w:val="bg-BG"/>
              </w:rPr>
            </w:pPr>
            <w:r>
              <w:rPr>
                <w:rFonts w:cs="Arial;Arial" w:ascii="Arial;Arial" w:hAnsi="Arial;Arial"/>
                <w:sz w:val="22"/>
                <w:lang w:val="bg-BG"/>
              </w:rPr>
              <w:t>Дата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882" w:leader="none"/>
                <w:tab w:val="left" w:pos="1152" w:leader="none"/>
              </w:tabs>
              <w:spacing w:before="60" w:after="60"/>
              <w:ind w:start="-14" w:end="0"/>
              <w:jc w:val="both"/>
              <w:rPr>
                <w:rFonts w:ascii="Arial;Arial" w:hAnsi="Arial;Arial" w:cs="Arial;Arial"/>
                <w:sz w:val="22"/>
                <w:lang w:val="bg-BG"/>
              </w:rPr>
            </w:pPr>
            <w:r>
              <w:rPr>
                <w:rFonts w:cs="Arial;Arial" w:ascii="Arial;Arial" w:hAnsi="Arial;Arial"/>
                <w:sz w:val="22"/>
                <w:lang w:val="bg-BG"/>
              </w:rPr>
              <w:t>09.06.2025г</w:t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rightFromText="141" w:tblpX="22" w:tblpY="2206"/>
        <w:tblW w:w="101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98"/>
        <w:gridCol w:w="8174"/>
      </w:tblGrid>
      <w:tr>
        <w:trPr>
          <w:trHeight w:val="296" w:hRule="atLeast"/>
          <w:cantSplit/>
        </w:trPr>
        <w:tc>
          <w:tcPr>
            <w:tcW w:w="1998" w:type="dxa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FootnoteText"/>
              <w:spacing w:before="60" w:after="60"/>
              <w:jc w:val="center"/>
              <w:rPr>
                <w:rFonts w:ascii="Arial;Arial" w:hAnsi="Arial;Arial" w:cs="Arial;Arial"/>
                <w:iCs/>
                <w:sz w:val="24"/>
              </w:rPr>
            </w:pPr>
            <w:r>
              <w:rPr>
                <w:rFonts w:cs="Arial;Arial" w:ascii="Arial;Arial" w:hAnsi="Arial;Arial"/>
                <w:b/>
                <w:iCs/>
                <w:sz w:val="24"/>
                <w:lang w:val="bg-BG"/>
              </w:rPr>
              <w:t>Анекс</w:t>
            </w:r>
            <w:r>
              <w:rPr>
                <w:rFonts w:cs="Arial;Arial" w:ascii="Arial;Arial" w:hAnsi="Arial;Arial"/>
                <w:b/>
                <w:iCs/>
                <w:sz w:val="24"/>
              </w:rPr>
              <w:t>–III</w:t>
            </w:r>
          </w:p>
        </w:tc>
        <w:tc>
          <w:tcPr>
            <w:tcW w:w="8174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  <w:vAlign w:val="center"/>
          </w:tcPr>
          <w:p>
            <w:pPr>
              <w:pStyle w:val="FootnoteText"/>
              <w:spacing w:before="60" w:after="60"/>
              <w:jc w:val="both"/>
              <w:rPr>
                <w:rFonts w:ascii="Arial;Arial" w:hAnsi="Arial;Arial" w:cs="Arial;Arial"/>
                <w:iCs/>
                <w:sz w:val="24"/>
                <w:lang w:val="bg-BG"/>
              </w:rPr>
            </w:pPr>
            <w:r>
              <w:rPr>
                <w:rFonts w:cs="Arial;Arial" w:ascii="Arial;Arial" w:hAnsi="Arial;Arial"/>
                <w:b/>
                <w:iCs/>
                <w:sz w:val="24"/>
                <w:lang w:val="bg-BG"/>
              </w:rPr>
              <w:t>Структура на организацията / компанията</w:t>
            </w:r>
          </w:p>
        </w:tc>
      </w:tr>
      <w:tr>
        <w:trPr>
          <w:trHeight w:val="4130" w:hRule="atLeast"/>
        </w:trPr>
        <w:tc>
          <w:tcPr>
            <w:tcW w:w="10172" w:type="dxa"/>
            <w:gridSpan w:val="2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57" w:before="0" w:after="160"/>
              <w:ind w:start="360" w:end="0"/>
              <w:rPr>
                <w:rFonts w:ascii="Calibri" w:hAnsi="Calibri" w:eastAsia="Calibri" w:cs="Calibri"/>
                <w:iCs/>
                <w:sz w:val="22"/>
                <w:szCs w:val="22"/>
                <w:highlight w:val="yellow"/>
                <w:lang w:val="bg-BG"/>
              </w:rPr>
            </w:pPr>
            <w:r>
              <w:rPr>
                <w:rFonts w:eastAsia="Calibri" w:cs="Calibri" w:ascii="Calibri" w:hAnsi="Calibri"/>
                <w:iCs/>
                <w:sz w:val="22"/>
                <w:szCs w:val="22"/>
                <w:highlight w:val="yellow"/>
                <w:lang w:val="bg-BG"/>
              </w:rPr>
            </w:r>
          </w:p>
          <w:p>
            <w:pPr>
              <w:pStyle w:val="Normal"/>
              <w:rPr>
                <w:rFonts w:ascii="Calibri" w:hAnsi="Calibri" w:eastAsia="Calibri" w:cs="Calibri"/>
                <w:sz w:val="22"/>
                <w:szCs w:val="22"/>
                <w:highlight w:val="yellow"/>
                <w:lang w:val="bg-BG"/>
              </w:rPr>
            </w:pPr>
            <w:r>
              <w:rPr>
                <w:rFonts w:eastAsia="Calibri" w:cs="Calibri" w:ascii="Calibri" w:hAnsi="Calibri"/>
                <w:sz w:val="22"/>
                <w:szCs w:val="22"/>
                <w:highlight w:val="yellow"/>
                <w:lang w:val="bg-BG"/>
              </w:rPr>
            </w:r>
          </w:p>
          <w:p>
            <w:pPr>
              <w:pStyle w:val="Normal"/>
              <w:rPr/>
            </w:pPr>
            <w:r>
              <w:rPr/>
              <w:object w:dxaOrig="5954" w:dyaOrig="8866">
                <v:shapetype id="_x0000_tole_rId2" coordsize="21600,21600" o:spt="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369.8pt;height:550.5pt" filled="f" o:ole="">
                  <v:imagedata r:id="rId3" o:title=""/>
                </v:shape>
                <o:OLEObject Type="Embed" ProgID="" ShapeID="ole_rId2" DrawAspect="Content" ObjectID="_211010443" r:id="rId2"/>
              </w:objec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10172" w:type="dxa"/>
            <w:gridSpan w:val="2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FootnoteText"/>
              <w:tabs>
                <w:tab w:val="clear" w:pos="720"/>
                <w:tab w:val="left" w:pos="432" w:leader="none"/>
              </w:tabs>
              <w:spacing w:before="60" w:after="0"/>
              <w:jc w:val="both"/>
              <w:rPr>
                <w:rFonts w:ascii="Arial;Arial" w:hAnsi="Arial;Arial" w:cs="Arial;Arial"/>
                <w:bCs/>
                <w:iCs/>
                <w:sz w:val="22"/>
                <w:lang w:val="bg-BG" w:eastAsia="bg-BG"/>
              </w:rPr>
            </w:pPr>
            <w:r>
              <w:rPr>
                <w:rFonts w:cs="Arial;Arial" w:ascii="Arial;Arial" w:hAnsi="Arial;Arial"/>
                <w:bCs/>
                <w:iCs/>
                <w:sz w:val="22"/>
                <w:lang w:val="bg-BG" w:eastAsia="bg-BG"/>
              </w:rPr>
              <w:t>Забележка:</w:t>
            </w:r>
          </w:p>
          <w:p>
            <w:pPr>
              <w:pStyle w:val="FootnoteText"/>
              <w:numPr>
                <w:ilvl w:val="0"/>
                <w:numId w:val="2"/>
              </w:numPr>
              <w:tabs>
                <w:tab w:val="clear" w:pos="720"/>
                <w:tab w:val="left" w:pos="432" w:leader="none"/>
              </w:tabs>
              <w:spacing w:before="60" w:after="0"/>
              <w:jc w:val="both"/>
              <w:rPr>
                <w:rFonts w:ascii="Arial;Arial" w:hAnsi="Arial;Arial" w:cs="Arial;Arial"/>
                <w:bCs/>
                <w:iCs/>
                <w:sz w:val="22"/>
                <w:lang w:val="bg-BG" w:eastAsia="bg-BG"/>
              </w:rPr>
            </w:pPr>
            <w:r>
              <w:rPr>
                <w:rFonts w:cs="Arial;Arial" w:ascii="Arial;Arial" w:hAnsi="Arial;Arial"/>
                <w:bCs/>
                <w:iCs/>
                <w:sz w:val="22"/>
                <w:lang w:val="bg-BG" w:eastAsia="bg-BG"/>
              </w:rPr>
              <w:t xml:space="preserve">Представителят на ръководството уведомява пряко Ръководството за ефективността на системата по </w:t>
            </w:r>
            <w:r>
              <w:rPr>
                <w:rFonts w:cs="Arial;Arial" w:ascii="Arial;Arial" w:hAnsi="Arial;Arial"/>
                <w:bCs/>
                <w:iCs/>
                <w:sz w:val="22"/>
                <w:lang w:val="bg-BG" w:eastAsia="bg-BG"/>
              </w:rPr>
              <w:t>ISO 50001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 Light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Arial Narrow">
    <w:charset w:val="cc" w:characterSet="windows-1251"/>
    <w:family w:val="swiss"/>
    <w:pitch w:val="variable"/>
  </w:font>
  <w:font w:name="Arial">
    <w:charset w:val="00" w:characterSet="windows-1252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autoSpaceDE w:val="false"/>
      <w:jc w:val="center"/>
      <w:outlineLvl w:val="1"/>
    </w:pPr>
    <w:rPr>
      <w:b/>
      <w:bCs/>
      <w:sz w:val="36"/>
      <w:szCs w:val="36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autoSpaceDE w:val="false"/>
      <w:jc w:val="center"/>
      <w:outlineLvl w:val="3"/>
    </w:pPr>
    <w:rPr>
      <w:sz w:val="28"/>
      <w:lang w:val="bg-BG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autoSpaceDE w:val="false"/>
      <w:jc w:val="center"/>
      <w:outlineLvl w:val="4"/>
    </w:pPr>
    <w:rPr>
      <w:b/>
      <w:bCs/>
      <w:sz w:val="32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u w:val="single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b/>
      <w:bCs/>
      <w:sz w:val="36"/>
      <w:szCs w:val="36"/>
    </w:rPr>
  </w:style>
  <w:style w:type="character" w:styleId="Heading4Char">
    <w:name w:val="Heading 4 Char"/>
    <w:qFormat/>
    <w:rPr>
      <w:sz w:val="28"/>
    </w:rPr>
  </w:style>
  <w:style w:type="character" w:styleId="Heading5Char">
    <w:name w:val="Heading 5 Char"/>
    <w:qFormat/>
    <w:rPr>
      <w:b/>
      <w:bCs/>
      <w:sz w:val="32"/>
    </w:rPr>
  </w:style>
  <w:style w:type="character" w:styleId="HeaderChar">
    <w:name w:val="Header Char"/>
    <w:qFormat/>
    <w:rPr>
      <w:sz w:val="24"/>
    </w:rPr>
  </w:style>
  <w:style w:type="character" w:styleId="PageNumber">
    <w:name w:val="page number"/>
    <w:rPr/>
  </w:style>
  <w:style w:type="character" w:styleId="FootnoteTextChar">
    <w:name w:val="Footnote Text Char"/>
    <w:basedOn w:val="DefaultParagraphFont"/>
    <w:qFormat/>
    <w:rPr/>
  </w:style>
  <w:style w:type="character" w:styleId="FooterChar">
    <w:name w:val="Footer Char"/>
    <w:qFormat/>
    <w:rPr>
      <w:sz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styleId="Heading1Char">
    <w:name w:val="Heading 1 Char"/>
    <w:qFormat/>
    <w:rPr>
      <w:rFonts w:ascii="Calibri Light" w:hAnsi="Calibri Light" w:eastAsia="Times New Roman" w:cs="Times New Roman"/>
      <w:b/>
      <w:bCs/>
      <w:kern w:val="2"/>
      <w:sz w:val="32"/>
      <w:szCs w:val="32"/>
      <w:lang w:val="en-US"/>
    </w:rPr>
  </w:style>
  <w:style w:type="paragraph" w:styleId="Style10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Arial Narrow" w:hAnsi="Arial Narrow" w:cs="Arial Narrow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"/>
    <w:basedOn w:val="Normal"/>
    <w:qFormat/>
    <w:pPr>
      <w:suppressLineNumbers/>
    </w:pPr>
    <w:rPr>
      <w:rFonts w:cs="Arial"/>
    </w:rPr>
  </w:style>
  <w:style w:type="paragraph" w:styleId="Style12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bg-BG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qFormat/>
    <w:pPr>
      <w:ind w:hanging="0" w:start="0" w:end="-61"/>
      <w:jc w:val="center"/>
    </w:pPr>
    <w:rPr>
      <w:rFonts w:ascii="Arial Narrow" w:hAnsi="Arial Narrow" w:cs="Arial Narrow"/>
      <w:b/>
    </w:rPr>
  </w:style>
  <w:style w:type="paragraph" w:styleId="FootnoteText">
    <w:name w:val="footnote text"/>
    <w:basedOn w:val="Normal"/>
    <w:pPr/>
    <w:rPr>
      <w:sz w:val="20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2019-10-16T14:05:00Z</dcterms:created>
  <dc:creator>ws</dc:creator>
  <dc:description/>
  <cp:keywords/>
  <dc:language>bg-BG</dc:language>
  <cp:lastModifiedBy>Георги Георгиев</cp:lastModifiedBy>
  <cp:lastPrinted>2026-02-16T09:08:00Z</cp:lastPrinted>
  <dcterms:modified xsi:type="dcterms:W3CDTF">2026-02-16T10:09:00Z</dcterms:modified>
  <cp:revision>18</cp:revision>
  <dc:subject/>
  <dc:title>1</dc:title>
</cp:coreProperties>
</file>