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7"/>
        <w:shd w:fill="auto" w:val="clear"/>
        <w:tabs>
          <w:tab w:val="clear" w:pos="1080"/>
        </w:tabs>
        <w:spacing w:lineRule="auto" w:line="240" w:before="120" w:after="0"/>
        <w:ind w:hanging="0" w:start="0" w:end="0"/>
        <w:jc w:val="start"/>
        <w:rPr>
          <w:rFonts w:ascii="Arial Narrow" w:hAnsi="Arial Narrow" w:cs="Arial"/>
          <w:color w:val="000000"/>
          <w:sz w:val="22"/>
          <w:szCs w:val="22"/>
          <w:lang w:val="bg-BG"/>
        </w:rPr>
      </w:pPr>
      <w:r>
        <w:rPr>
          <w:rFonts w:cs="Arial" w:ascii="Arial Narrow" w:hAnsi="Arial Narrow"/>
          <w:color w:val="000000"/>
          <w:sz w:val="22"/>
          <w:szCs w:val="22"/>
          <w:lang w:val="bg-BG"/>
        </w:rPr>
      </w:r>
    </w:p>
    <w:tbl>
      <w:tblPr>
        <w:tblpPr w:vertAnchor="text" w:horzAnchor="margin" w:tblpXSpec="right" w:leftFromText="180" w:tblpY="31"/>
        <w:tblW w:w="949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9"/>
        <w:gridCol w:w="4978"/>
        <w:gridCol w:w="785"/>
        <w:gridCol w:w="1011"/>
      </w:tblGrid>
      <w:tr>
        <w:trPr>
          <w:trHeight w:val="516" w:hRule="atLeast"/>
          <w:cantSplit/>
        </w:trPr>
        <w:tc>
          <w:tcPr>
            <w:tcW w:w="27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 Narrow"/>
                <w:b/>
                <w:sz w:val="24"/>
                <w:szCs w:val="24"/>
                <w:lang w:val="bg-BG"/>
              </w:rPr>
            </w:pPr>
            <w:r>
              <w:rPr>
                <w:rFonts w:cs="Arial Narrow" w:ascii="Arial Narrow" w:hAnsi="Arial Narrow"/>
                <w:b/>
                <w:sz w:val="24"/>
                <w:szCs w:val="24"/>
                <w:lang w:val="bg-BG"/>
              </w:rPr>
              <w:t>КОТЕК ЕООД</w:t>
            </w:r>
          </w:p>
        </w:tc>
        <w:tc>
          <w:tcPr>
            <w:tcW w:w="4978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7"/>
              <w:spacing w:before="120" w:after="0"/>
              <w:ind w:hanging="0" w:start="360" w:end="0"/>
              <w:jc w:val="center"/>
              <w:rPr>
                <w:rFonts w:ascii="Arial Narrow" w:hAnsi="Arial Narrow" w:cs="Arial Narrow"/>
                <w:lang w:val="bg-BG"/>
              </w:rPr>
            </w:pPr>
            <w:r>
              <w:rPr>
                <w:rFonts w:cs="Arial Narrow" w:ascii="Arial Narrow" w:hAnsi="Arial Narrow"/>
                <w:lang w:val="bg-BG"/>
              </w:rPr>
              <w:t>Процедура за енергийно управление</w:t>
            </w:r>
          </w:p>
        </w:tc>
        <w:tc>
          <w:tcPr>
            <w:tcW w:w="1796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360" w:end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  <w:lang w:val="bg-BG"/>
              </w:rPr>
              <w:t>ПЕУ 0</w:t>
            </w:r>
            <w:r>
              <w:rPr>
                <w:rFonts w:cs="Arial Narrow" w:ascii="Arial Narrow" w:hAnsi="Arial Narrow"/>
                <w:sz w:val="24"/>
                <w:szCs w:val="24"/>
              </w:rPr>
              <w:t>4</w:t>
            </w:r>
          </w:p>
        </w:tc>
      </w:tr>
      <w:tr>
        <w:trPr>
          <w:trHeight w:val="450" w:hRule="atLeast"/>
          <w:cantSplit/>
        </w:trPr>
        <w:tc>
          <w:tcPr>
            <w:tcW w:w="27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sz w:val="24"/>
                <w:szCs w:val="24"/>
                <w:lang w:val="bg-BG"/>
              </w:rPr>
            </w:pPr>
            <w:r>
              <w:rPr>
                <w:rFonts w:cs="Arial Narrow" w:ascii="Arial Narrow" w:hAnsi="Arial Narrow"/>
                <w:sz w:val="24"/>
                <w:szCs w:val="24"/>
                <w:lang w:val="bg-BG"/>
              </w:rPr>
            </w:r>
          </w:p>
        </w:tc>
        <w:tc>
          <w:tcPr>
            <w:tcW w:w="4978" w:type="dxa"/>
            <w:vMerge w:val="restart"/>
            <w:tcBorders>
              <w:top w:val="single" w:sz="6" w:space="0" w:color="000000"/>
              <w:bottom w:val="single" w:sz="6" w:space="0" w:color="0000FF"/>
              <w:end w:val="single" w:sz="6" w:space="0" w:color="000000"/>
            </w:tcBorders>
          </w:tcPr>
          <w:p>
            <w:pPr>
              <w:pStyle w:val="Heading3"/>
              <w:snapToGrid w:val="false"/>
              <w:spacing w:before="60" w:after="60"/>
              <w:ind w:hanging="0" w:start="360" w:end="0"/>
              <w:rPr>
                <w:rFonts w:ascii="Arial Narrow" w:hAnsi="Arial Narrow" w:cs="Arial"/>
                <w:bCs/>
                <w:caps w:val="false"/>
                <w:smallCaps w:val="false"/>
                <w:sz w:val="24"/>
                <w:szCs w:val="24"/>
                <w:lang w:val="bg-BG"/>
              </w:rPr>
            </w:pPr>
            <w:r>
              <w:rPr>
                <w:rFonts w:cs="Arial" w:ascii="Arial Narrow" w:hAnsi="Arial Narrow"/>
                <w:bCs/>
                <w:caps w:val="false"/>
                <w:smallCaps w:val="false"/>
                <w:sz w:val="24"/>
                <w:szCs w:val="24"/>
                <w:lang w:val="bg-BG"/>
              </w:rPr>
            </w:r>
          </w:p>
          <w:p>
            <w:pPr>
              <w:pStyle w:val="Heading3"/>
              <w:spacing w:before="60" w:after="60"/>
              <w:ind w:hanging="0" w:start="360" w:end="0"/>
              <w:rPr>
                <w:rFonts w:ascii="Arial Narrow" w:hAnsi="Arial Narrow" w:cs="Arial"/>
                <w:b w:val="false"/>
                <w:sz w:val="24"/>
                <w:szCs w:val="24"/>
                <w:lang w:val="bg-BG"/>
              </w:rPr>
            </w:pPr>
            <w:r>
              <w:rPr>
                <w:rFonts w:cs="Arial" w:ascii="Arial Narrow" w:hAnsi="Arial Narrow"/>
                <w:sz w:val="24"/>
                <w:szCs w:val="24"/>
                <w:lang w:val="bg-BG"/>
              </w:rPr>
              <w:t>несъответствия и коригиращи действия</w:t>
            </w:r>
          </w:p>
        </w:tc>
        <w:tc>
          <w:tcPr>
            <w:tcW w:w="1796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snapToGrid w:val="false"/>
              <w:spacing w:before="60" w:after="60"/>
              <w:ind w:hanging="0" w:start="0"/>
              <w:rPr>
                <w:rFonts w:ascii="Arial Narrow" w:hAnsi="Arial Narrow" w:cs="Arial Narrow"/>
                <w:b w:val="false"/>
                <w:sz w:val="24"/>
                <w:szCs w:val="24"/>
                <w:lang w:val="bg-BG"/>
              </w:rPr>
            </w:pPr>
            <w:r>
              <w:rPr>
                <w:rFonts w:cs="Arial Narrow" w:ascii="Arial Narrow" w:hAnsi="Arial Narrow"/>
                <w:b w:val="false"/>
                <w:sz w:val="24"/>
                <w:szCs w:val="24"/>
                <w:lang w:val="bg-BG"/>
              </w:rPr>
            </w:r>
          </w:p>
        </w:tc>
      </w:tr>
      <w:tr>
        <w:trPr>
          <w:trHeight w:val="209" w:hRule="atLeast"/>
          <w:cantSplit/>
        </w:trPr>
        <w:tc>
          <w:tcPr>
            <w:tcW w:w="27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lang w:val="bg-BG"/>
              </w:rPr>
            </w:pPr>
            <w:r>
              <w:rPr>
                <w:rFonts w:cs="Arial Narrow" w:ascii="Arial Narrow" w:hAnsi="Arial Narrow"/>
                <w:lang w:val="bg-BG"/>
              </w:rPr>
            </w:r>
          </w:p>
        </w:tc>
        <w:tc>
          <w:tcPr>
            <w:tcW w:w="4978" w:type="dxa"/>
            <w:vMerge w:val="continue"/>
            <w:tcBorders>
              <w:top w:val="single" w:sz="6" w:space="0" w:color="000000"/>
              <w:bottom w:val="single" w:sz="6" w:space="0" w:color="0000FF"/>
              <w:end w:val="single" w:sz="6" w:space="0" w:color="000000"/>
            </w:tcBorders>
          </w:tcPr>
          <w:p>
            <w:pPr>
              <w:pStyle w:val="Heading3"/>
              <w:numPr>
                <w:ilvl w:val="0"/>
                <w:numId w:val="0"/>
              </w:numPr>
              <w:snapToGrid w:val="false"/>
              <w:spacing w:before="60" w:after="60"/>
              <w:ind w:hanging="0" w:start="0"/>
              <w:rPr>
                <w:rFonts w:ascii="Arial Narrow" w:hAnsi="Arial Narrow" w:cs="Arial"/>
                <w:b w:val="false"/>
                <w:bCs/>
                <w:caps w:val="false"/>
                <w:smallCaps w:val="false"/>
                <w:sz w:val="24"/>
                <w:szCs w:val="24"/>
                <w:lang w:val="bg-BG"/>
              </w:rPr>
            </w:pPr>
            <w:r>
              <w:rPr>
                <w:rFonts w:cs="Arial" w:ascii="Arial Narrow" w:hAnsi="Arial Narrow"/>
                <w:b w:val="false"/>
                <w:bCs/>
                <w:caps w:val="false"/>
                <w:smallCaps w:val="false"/>
                <w:sz w:val="24"/>
                <w:szCs w:val="24"/>
                <w:lang w:val="bg-BG"/>
              </w:rPr>
            </w:r>
          </w:p>
        </w:tc>
        <w:tc>
          <w:tcPr>
            <w:tcW w:w="78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Heading4"/>
              <w:spacing w:before="60" w:after="60"/>
              <w:ind w:hanging="0" w:start="0"/>
              <w:rPr>
                <w:rFonts w:ascii="Arial Narrow" w:hAnsi="Arial Narrow" w:cs="Arial Narrow"/>
                <w:sz w:val="18"/>
                <w:szCs w:val="18"/>
                <w:lang w:val="bg-BG"/>
              </w:rPr>
            </w:pP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t xml:space="preserve">Стр. </w: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begin"/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instrText xml:space="preserve"> PAGE </w:instrTex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separate"/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t>1</w: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  <w:tc>
          <w:tcPr>
            <w:tcW w:w="101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60" w:after="60"/>
              <w:ind w:hanging="0" w:start="0"/>
              <w:rPr>
                <w:rFonts w:ascii="Arial Narrow" w:hAnsi="Arial Narrow" w:cs="Arial Narrow"/>
                <w:sz w:val="18"/>
                <w:szCs w:val="18"/>
                <w:lang w:val="bg-BG"/>
              </w:rPr>
            </w:pP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t xml:space="preserve">Вс. стр. </w: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begin"/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instrText xml:space="preserve"> NUMPAGES \* ARABIC </w:instrTex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separate"/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t>2</w:t>
            </w:r>
            <w:r>
              <w:rPr>
                <w:rFonts w:cs="Arial Narrow" w:ascii="Arial Narrow" w:hAnsi="Arial Narrow"/>
                <w:sz w:val="18"/>
                <w:szCs w:val="18"/>
                <w:lang w:val="bg-BG"/>
              </w:rPr>
              <w:fldChar w:fldCharType="end"/>
            </w:r>
          </w:p>
        </w:tc>
      </w:tr>
    </w:tbl>
    <w:p>
      <w:pPr>
        <w:pStyle w:val="Style7"/>
        <w:shd w:fill="auto" w:val="clear"/>
        <w:tabs>
          <w:tab w:val="clear" w:pos="1080"/>
        </w:tabs>
        <w:spacing w:lineRule="auto" w:line="240" w:before="120" w:after="0"/>
        <w:ind w:hanging="0" w:start="0" w:end="0"/>
        <w:rPr>
          <w:rFonts w:ascii="Arial Narrow" w:hAnsi="Arial Narrow" w:cs="Arial"/>
          <w:color w:val="000000"/>
          <w:sz w:val="22"/>
          <w:szCs w:val="22"/>
          <w:lang w:val="bg-BG"/>
        </w:rPr>
      </w:pPr>
      <w:r>
        <w:rPr>
          <w:rFonts w:cs="Arial" w:ascii="Arial Narrow" w:hAnsi="Arial Narrow"/>
          <w:color w:val="000000"/>
          <w:sz w:val="22"/>
          <w:szCs w:val="22"/>
          <w:lang w:val="bg-BG"/>
        </w:rPr>
      </w:r>
    </w:p>
    <w:p>
      <w:pPr>
        <w:pStyle w:val="Style7"/>
        <w:shd w:fill="auto" w:val="clear"/>
        <w:tabs>
          <w:tab w:val="clear" w:pos="1080"/>
        </w:tabs>
        <w:spacing w:lineRule="auto" w:line="240" w:before="120" w:after="0"/>
        <w:ind w:hanging="0" w:start="0" w:end="0"/>
        <w:rPr>
          <w:rFonts w:ascii="Arial Narrow" w:hAnsi="Arial Narrow" w:cs="Arial"/>
          <w:color w:val="000000"/>
          <w:sz w:val="22"/>
          <w:szCs w:val="22"/>
          <w:lang w:val="bg-BG"/>
        </w:rPr>
      </w:pPr>
      <w:r>
        <w:rPr>
          <w:rFonts w:cs="Arial" w:ascii="Arial Narrow" w:hAnsi="Arial Narrow"/>
          <w:color w:val="000000"/>
          <w:sz w:val="22"/>
          <w:szCs w:val="22"/>
          <w:lang w:val="bg-BG"/>
        </w:rPr>
      </w:r>
    </w:p>
    <w:p>
      <w:pPr>
        <w:pStyle w:val="Style7"/>
        <w:shd w:fill="auto" w:val="clear"/>
        <w:tabs>
          <w:tab w:val="clear" w:pos="1080"/>
        </w:tabs>
        <w:spacing w:lineRule="auto" w:line="240" w:before="120" w:after="0"/>
        <w:ind w:hanging="0" w:start="0" w:end="0"/>
        <w:rPr>
          <w:rFonts w:ascii="Arial Narrow" w:hAnsi="Arial Narrow" w:cs="Arial"/>
          <w:color w:val="000000"/>
          <w:sz w:val="22"/>
          <w:szCs w:val="22"/>
          <w:lang w:val="bg-BG"/>
        </w:rPr>
      </w:pPr>
      <w:r>
        <w:rPr>
          <w:rFonts w:cs="Arial" w:ascii="Arial Narrow" w:hAnsi="Arial Narrow"/>
          <w:color w:val="000000"/>
          <w:sz w:val="22"/>
          <w:szCs w:val="22"/>
          <w:lang w:val="bg-BG"/>
        </w:rPr>
      </w:r>
    </w:p>
    <w:p>
      <w:pPr>
        <w:pStyle w:val="Style7"/>
        <w:shd w:fill="auto" w:val="clear"/>
        <w:tabs>
          <w:tab w:val="clear" w:pos="1080"/>
        </w:tabs>
        <w:spacing w:lineRule="auto" w:line="240" w:before="120" w:after="0"/>
        <w:ind w:hanging="0" w:start="0" w:end="0"/>
        <w:jc w:val="start"/>
        <w:rPr>
          <w:rFonts w:ascii="Arial Narrow" w:hAnsi="Arial Narrow" w:cs="Arial"/>
          <w:color w:val="000000"/>
          <w:sz w:val="22"/>
          <w:szCs w:val="22"/>
          <w:lang w:val="bg-BG"/>
        </w:rPr>
      </w:pPr>
      <w:r>
        <w:rPr>
          <w:rFonts w:cs="Arial" w:ascii="Arial Narrow" w:hAnsi="Arial Narrow"/>
          <w:color w:val="000000"/>
          <w:sz w:val="22"/>
          <w:szCs w:val="22"/>
          <w:lang w:val="bg-BG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080" w:leader="none"/>
        </w:tabs>
        <w:spacing w:before="120" w:after="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  <w:lang w:val="bg-BG"/>
        </w:rPr>
        <w:t>Цел</w:t>
      </w:r>
    </w:p>
    <w:p>
      <w:pPr>
        <w:pStyle w:val="3"/>
        <w:tabs>
          <w:tab w:val="clear" w:pos="720"/>
          <w:tab w:val="left" w:pos="1080" w:leader="none"/>
        </w:tabs>
        <w:ind w:hanging="1080" w:start="1080" w:end="0"/>
        <w:rPr>
          <w:rFonts w:ascii="Arial Narrow" w:hAnsi="Arial Narrow" w:cs="Arial"/>
          <w:szCs w:val="22"/>
          <w:lang w:val="bg-BG"/>
        </w:rPr>
      </w:pPr>
      <w:r>
        <w:rPr>
          <w:rFonts w:cs="Arial" w:ascii="Arial Narrow" w:hAnsi="Arial Narrow"/>
          <w:szCs w:val="22"/>
        </w:rPr>
        <w:tab/>
        <w:t>Да се създаде и поддържа документиран</w:t>
      </w:r>
      <w:r>
        <w:rPr>
          <w:rFonts w:cs="Arial" w:ascii="Arial Narrow" w:hAnsi="Arial Narrow"/>
          <w:szCs w:val="22"/>
          <w:lang w:val="bg-BG"/>
        </w:rPr>
        <w:t>а</w:t>
      </w:r>
      <w:r>
        <w:rPr>
          <w:rFonts w:cs="Arial" w:ascii="Arial Narrow" w:hAnsi="Arial Narrow"/>
          <w:szCs w:val="22"/>
        </w:rPr>
        <w:t xml:space="preserve"> процедур</w:t>
      </w:r>
      <w:r>
        <w:rPr>
          <w:rFonts w:cs="Arial" w:ascii="Arial Narrow" w:hAnsi="Arial Narrow"/>
          <w:szCs w:val="22"/>
          <w:lang w:val="bg-BG"/>
        </w:rPr>
        <w:t>а</w:t>
      </w:r>
      <w:r>
        <w:rPr>
          <w:rFonts w:cs="Arial" w:ascii="Arial Narrow" w:hAnsi="Arial Narrow"/>
          <w:szCs w:val="22"/>
        </w:rPr>
        <w:t xml:space="preserve"> за несъответствие и оперативни процедури за определяне на отговорностите и правата </w:t>
      </w:r>
      <w:r>
        <w:rPr>
          <w:rFonts w:cs="Arial" w:ascii="Arial Narrow" w:hAnsi="Arial Narrow"/>
          <w:szCs w:val="22"/>
          <w:lang w:val="bg-BG"/>
        </w:rPr>
        <w:t>на лицата</w:t>
      </w:r>
      <w:r>
        <w:rPr>
          <w:rFonts w:cs="Arial" w:ascii="Arial Narrow" w:hAnsi="Arial Narrow"/>
          <w:szCs w:val="22"/>
        </w:rPr>
        <w:t xml:space="preserve"> за подобряване на изпълнението на </w:t>
      </w:r>
      <w:r>
        <w:rPr>
          <w:rFonts w:cs="Arial" w:ascii="Arial Narrow" w:hAnsi="Arial Narrow"/>
          <w:szCs w:val="22"/>
          <w:lang w:val="bg-BG"/>
        </w:rPr>
        <w:t>енергийната система.</w:t>
      </w:r>
    </w:p>
    <w:p>
      <w:pPr>
        <w:pStyle w:val="Normal"/>
        <w:numPr>
          <w:ilvl w:val="0"/>
          <w:numId w:val="2"/>
        </w:numPr>
        <w:spacing w:before="120" w:after="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  <w:lang w:val="bg-BG"/>
        </w:rPr>
        <w:t>Обхват</w:t>
      </w:r>
    </w:p>
    <w:p>
      <w:pPr>
        <w:pStyle w:val="BodyTextIndent"/>
        <w:spacing w:lineRule="auto" w:line="240" w:before="120" w:after="0"/>
        <w:rPr/>
      </w:pPr>
      <w:r>
        <w:rPr>
          <w:rFonts w:cs="Arial" w:ascii="Arial Narrow" w:hAnsi="Arial Narrow"/>
          <w:sz w:val="22"/>
          <w:szCs w:val="22"/>
        </w:rPr>
        <w:tab/>
        <w:t xml:space="preserve">Тази процедура документира процеса на определяне на отговорност и власт за работа с несъответствията и предприемане на коригиращи действия на всички свързани дейности, продукти, услуги, условия, съоръжения на фирма. </w:t>
      </w:r>
    </w:p>
    <w:p>
      <w:pPr>
        <w:pStyle w:val="Normal"/>
        <w:numPr>
          <w:ilvl w:val="0"/>
          <w:numId w:val="2"/>
        </w:numPr>
        <w:spacing w:before="120" w:after="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  <w:lang w:val="bg-BG"/>
        </w:rPr>
        <w:t>Отговорности</w:t>
      </w:r>
    </w:p>
    <w:p>
      <w:pPr>
        <w:pStyle w:val="Normal"/>
        <w:spacing w:before="120" w:after="0"/>
        <w:ind w:start="1080" w:end="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  <w:lang w:val="bg-BG"/>
        </w:rPr>
        <w:t>Представителят на ръководството</w:t>
      </w:r>
      <w:r>
        <w:rPr>
          <w:rFonts w:cs="Arial" w:ascii="Arial Narrow" w:hAnsi="Arial Narrow"/>
          <w:b/>
          <w:sz w:val="22"/>
          <w:szCs w:val="22"/>
        </w:rPr>
        <w:t>, енерги</w:t>
      </w:r>
      <w:r>
        <w:rPr>
          <w:rFonts w:cs="Arial" w:ascii="Arial Narrow" w:hAnsi="Arial Narrow"/>
          <w:b/>
          <w:sz w:val="22"/>
          <w:szCs w:val="22"/>
          <w:lang w:val="bg-BG"/>
        </w:rPr>
        <w:t>йният</w:t>
      </w:r>
      <w:r>
        <w:rPr>
          <w:rFonts w:cs="Arial" w:ascii="Arial Narrow" w:hAnsi="Arial Narrow"/>
          <w:b/>
          <w:sz w:val="22"/>
          <w:szCs w:val="22"/>
        </w:rPr>
        <w:t xml:space="preserve"> мениджър и функционални</w:t>
      </w:r>
      <w:r>
        <w:rPr>
          <w:rFonts w:cs="Arial" w:ascii="Arial Narrow" w:hAnsi="Arial Narrow"/>
          <w:b/>
          <w:sz w:val="22"/>
          <w:szCs w:val="22"/>
          <w:lang w:val="bg-BG"/>
        </w:rPr>
        <w:t>те</w:t>
      </w:r>
      <w:r>
        <w:rPr>
          <w:rFonts w:cs="Arial" w:ascii="Arial Narrow" w:hAnsi="Arial Narrow"/>
          <w:b/>
          <w:sz w:val="22"/>
          <w:szCs w:val="22"/>
        </w:rPr>
        <w:t xml:space="preserve"> ръководители </w:t>
      </w:r>
      <w:r>
        <w:rPr>
          <w:rFonts w:cs="Arial" w:ascii="Arial Narrow" w:hAnsi="Arial Narrow"/>
          <w:sz w:val="22"/>
          <w:szCs w:val="22"/>
        </w:rPr>
        <w:t>са отговорни за идентифициране</w:t>
      </w:r>
      <w:r>
        <w:rPr>
          <w:rFonts w:cs="Arial" w:ascii="Arial Narrow" w:hAnsi="Arial Narrow"/>
          <w:sz w:val="22"/>
          <w:szCs w:val="22"/>
          <w:lang w:val="bg-BG"/>
        </w:rPr>
        <w:t>то и</w:t>
      </w:r>
      <w:r>
        <w:rPr>
          <w:rFonts w:cs="Arial" w:ascii="Arial Narrow" w:hAnsi="Arial Narrow"/>
          <w:sz w:val="22"/>
          <w:szCs w:val="22"/>
        </w:rPr>
        <w:t xml:space="preserve"> разследва</w:t>
      </w:r>
      <w:r>
        <w:rPr>
          <w:rFonts w:cs="Arial" w:ascii="Arial Narrow" w:hAnsi="Arial Narrow"/>
          <w:sz w:val="22"/>
          <w:szCs w:val="22"/>
          <w:lang w:val="bg-BG"/>
        </w:rPr>
        <w:t xml:space="preserve">нето на </w:t>
      </w:r>
      <w:r>
        <w:rPr>
          <w:rFonts w:cs="Arial" w:ascii="Arial Narrow" w:hAnsi="Arial Narrow"/>
          <w:sz w:val="22"/>
          <w:szCs w:val="22"/>
        </w:rPr>
        <w:t xml:space="preserve"> несъответстви</w:t>
      </w:r>
      <w:r>
        <w:rPr>
          <w:rFonts w:cs="Arial" w:ascii="Arial Narrow" w:hAnsi="Arial Narrow"/>
          <w:sz w:val="22"/>
          <w:szCs w:val="22"/>
          <w:lang w:val="bg-BG"/>
        </w:rPr>
        <w:t>я</w:t>
      </w:r>
      <w:r>
        <w:rPr>
          <w:rFonts w:cs="Arial" w:ascii="Arial Narrow" w:hAnsi="Arial Narrow"/>
          <w:sz w:val="22"/>
          <w:szCs w:val="22"/>
        </w:rPr>
        <w:t>, случва</w:t>
      </w:r>
      <w:r>
        <w:rPr>
          <w:rFonts w:cs="Arial" w:ascii="Arial Narrow" w:hAnsi="Arial Narrow"/>
          <w:sz w:val="22"/>
          <w:szCs w:val="22"/>
          <w:lang w:val="bg-BG"/>
        </w:rPr>
        <w:t>щи се</w:t>
      </w:r>
      <w:r>
        <w:rPr>
          <w:rFonts w:cs="Arial" w:ascii="Arial Narrow" w:hAnsi="Arial Narrow"/>
          <w:sz w:val="22"/>
          <w:szCs w:val="22"/>
        </w:rPr>
        <w:t xml:space="preserve"> в техния отдел </w:t>
      </w:r>
    </w:p>
    <w:p>
      <w:pPr>
        <w:pStyle w:val="Normal"/>
        <w:numPr>
          <w:ilvl w:val="0"/>
          <w:numId w:val="2"/>
        </w:numPr>
        <w:spacing w:before="120" w:after="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  <w:lang w:val="bg-BG"/>
        </w:rPr>
        <w:t>Описание на дейностите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Документални грешки</w:t>
      </w:r>
      <w:r>
        <w:rPr>
          <w:rFonts w:cs="Arial" w:ascii="Arial Narrow" w:hAnsi="Arial Narrow"/>
          <w:sz w:val="22"/>
          <w:szCs w:val="22"/>
        </w:rPr>
        <w:t xml:space="preserve"> и всички видове несъответствия, свързани с енергийни загуби</w:t>
      </w:r>
      <w:r>
        <w:rPr>
          <w:rFonts w:cs="Arial" w:ascii="Arial Narrow" w:hAnsi="Arial Narrow"/>
          <w:sz w:val="22"/>
          <w:szCs w:val="22"/>
          <w:lang w:val="bg-BG"/>
        </w:rPr>
        <w:t xml:space="preserve">; </w:t>
      </w:r>
      <w:r>
        <w:rPr>
          <w:rFonts w:cs="Arial" w:ascii="Arial Narrow" w:hAnsi="Arial Narrow"/>
          <w:sz w:val="22"/>
          <w:szCs w:val="22"/>
        </w:rPr>
        <w:t>всяко съоръжение или оборудване, които имат проблеми с енергийните характеристики</w:t>
      </w:r>
      <w:r>
        <w:rPr>
          <w:rFonts w:cs="Arial" w:ascii="Arial Narrow" w:hAnsi="Arial Narrow"/>
          <w:sz w:val="22"/>
          <w:szCs w:val="22"/>
          <w:lang w:val="bg-BG"/>
        </w:rPr>
        <w:t>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Категории</w:t>
      </w:r>
      <w:r>
        <w:rPr>
          <w:rFonts w:cs="Arial" w:ascii="Arial Narrow" w:hAnsi="Arial Narrow"/>
          <w:sz w:val="22"/>
          <w:szCs w:val="22"/>
          <w:lang w:val="bg-BG"/>
        </w:rPr>
        <w:t>те</w:t>
      </w:r>
      <w:r>
        <w:rPr>
          <w:rFonts w:cs="Arial" w:ascii="Arial Narrow" w:hAnsi="Arial Narrow"/>
          <w:sz w:val="22"/>
          <w:szCs w:val="22"/>
        </w:rPr>
        <w:t xml:space="preserve"> на несъответствие могат да включват отклонения в документиран</w:t>
      </w:r>
      <w:r>
        <w:rPr>
          <w:rFonts w:cs="Arial" w:ascii="Arial Narrow" w:hAnsi="Arial Narrow"/>
          <w:sz w:val="22"/>
          <w:szCs w:val="22"/>
          <w:lang w:val="bg-BG"/>
        </w:rPr>
        <w:t>ето</w:t>
      </w:r>
      <w:r>
        <w:rPr>
          <w:rFonts w:cs="Arial" w:ascii="Arial Narrow" w:hAnsi="Arial Narrow"/>
          <w:sz w:val="22"/>
          <w:szCs w:val="22"/>
        </w:rPr>
        <w:t>, енергийна</w:t>
      </w:r>
      <w:r>
        <w:rPr>
          <w:rFonts w:cs="Arial" w:ascii="Arial Narrow" w:hAnsi="Arial Narrow"/>
          <w:sz w:val="22"/>
          <w:szCs w:val="22"/>
          <w:lang w:val="bg-BG"/>
        </w:rPr>
        <w:t>та</w:t>
      </w:r>
      <w:r>
        <w:rPr>
          <w:rFonts w:cs="Arial" w:ascii="Arial Narrow" w:hAnsi="Arial Narrow"/>
          <w:sz w:val="22"/>
          <w:szCs w:val="22"/>
        </w:rPr>
        <w:t xml:space="preserve"> политика, регулаторни</w:t>
      </w:r>
      <w:r>
        <w:rPr>
          <w:rFonts w:cs="Arial" w:ascii="Arial Narrow" w:hAnsi="Arial Narrow"/>
          <w:sz w:val="22"/>
          <w:szCs w:val="22"/>
          <w:lang w:val="bg-BG"/>
        </w:rPr>
        <w:t>те</w:t>
      </w:r>
      <w:r>
        <w:rPr>
          <w:rFonts w:cs="Arial" w:ascii="Arial Narrow" w:hAnsi="Arial Narrow"/>
          <w:sz w:val="22"/>
          <w:szCs w:val="22"/>
        </w:rPr>
        <w:t xml:space="preserve"> изисквания; действия, определени въз основа на срещ</w:t>
      </w:r>
      <w:r>
        <w:rPr>
          <w:rFonts w:cs="Arial" w:ascii="Arial Narrow" w:hAnsi="Arial Narrow"/>
          <w:sz w:val="22"/>
          <w:szCs w:val="22"/>
          <w:lang w:val="bg-BG"/>
        </w:rPr>
        <w:t>и с ръководството</w:t>
      </w:r>
      <w:r>
        <w:rPr>
          <w:rFonts w:cs="Arial" w:ascii="Arial Narrow" w:hAnsi="Arial Narrow"/>
          <w:sz w:val="22"/>
          <w:szCs w:val="22"/>
        </w:rPr>
        <w:t>; нереализирането на енергийните цели и задачи, фактори</w:t>
      </w:r>
      <w:r>
        <w:rPr>
          <w:rFonts w:cs="Arial" w:ascii="Arial Narrow" w:hAnsi="Arial Narrow"/>
          <w:sz w:val="22"/>
          <w:szCs w:val="22"/>
          <w:lang w:val="bg-BG"/>
        </w:rPr>
        <w:t>,</w:t>
      </w:r>
      <w:r>
        <w:rPr>
          <w:rFonts w:cs="Arial" w:ascii="Arial Narrow" w:hAnsi="Arial Narrow"/>
          <w:sz w:val="22"/>
          <w:szCs w:val="22"/>
        </w:rPr>
        <w:t xml:space="preserve"> променя</w:t>
      </w:r>
      <w:r>
        <w:rPr>
          <w:rFonts w:cs="Arial" w:ascii="Arial Narrow" w:hAnsi="Arial Narrow"/>
          <w:sz w:val="22"/>
          <w:szCs w:val="22"/>
          <w:lang w:val="bg-BG"/>
        </w:rPr>
        <w:t>щи</w:t>
      </w:r>
      <w:r>
        <w:rPr>
          <w:rFonts w:cs="Arial" w:ascii="Arial Narrow" w:hAnsi="Arial Narrow"/>
          <w:sz w:val="22"/>
          <w:szCs w:val="22"/>
        </w:rPr>
        <w:t xml:space="preserve"> модела </w:t>
      </w:r>
      <w:r>
        <w:rPr>
          <w:rFonts w:cs="Arial" w:ascii="Arial Narrow" w:hAnsi="Arial Narrow"/>
          <w:sz w:val="22"/>
          <w:szCs w:val="22"/>
          <w:lang w:val="bg-BG"/>
        </w:rPr>
        <w:t>на</w:t>
      </w:r>
      <w:r>
        <w:rPr>
          <w:rFonts w:cs="Arial" w:ascii="Arial Narrow" w:hAnsi="Arial Narrow"/>
          <w:sz w:val="22"/>
          <w:szCs w:val="22"/>
        </w:rPr>
        <w:t xml:space="preserve"> енергийна</w:t>
      </w:r>
      <w:r>
        <w:rPr>
          <w:rFonts w:cs="Arial" w:ascii="Arial Narrow" w:hAnsi="Arial Narrow"/>
          <w:sz w:val="22"/>
          <w:szCs w:val="22"/>
          <w:lang w:val="bg-BG"/>
        </w:rPr>
        <w:t>та</w:t>
      </w:r>
      <w:r>
        <w:rPr>
          <w:rFonts w:cs="Arial" w:ascii="Arial Narrow" w:hAnsi="Arial Narrow"/>
          <w:sz w:val="22"/>
          <w:szCs w:val="22"/>
        </w:rPr>
        <w:t xml:space="preserve"> консумация.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По време на всяка операция, лицата, </w:t>
      </w:r>
      <w:r>
        <w:rPr>
          <w:rFonts w:cs="Arial" w:ascii="Arial Narrow" w:hAnsi="Arial Narrow"/>
          <w:sz w:val="22"/>
          <w:szCs w:val="22"/>
          <w:lang w:val="bg-BG"/>
        </w:rPr>
        <w:t xml:space="preserve">които я извършват </w:t>
      </w:r>
      <w:r>
        <w:rPr>
          <w:rFonts w:cs="Arial" w:ascii="Arial Narrow" w:hAnsi="Arial Narrow"/>
          <w:sz w:val="22"/>
          <w:szCs w:val="22"/>
        </w:rPr>
        <w:t>идентифицира</w:t>
      </w:r>
      <w:r>
        <w:rPr>
          <w:rFonts w:cs="Arial" w:ascii="Arial Narrow" w:hAnsi="Arial Narrow"/>
          <w:sz w:val="22"/>
          <w:szCs w:val="22"/>
          <w:lang w:val="bg-BG"/>
        </w:rPr>
        <w:t>т</w:t>
      </w:r>
      <w:r>
        <w:rPr>
          <w:rFonts w:cs="Arial" w:ascii="Arial Narrow" w:hAnsi="Arial Narrow"/>
          <w:sz w:val="22"/>
          <w:szCs w:val="22"/>
        </w:rPr>
        <w:t xml:space="preserve"> </w:t>
      </w:r>
      <w:r>
        <w:rPr>
          <w:rFonts w:cs="Arial" w:ascii="Arial Narrow" w:hAnsi="Arial Narrow"/>
          <w:sz w:val="22"/>
          <w:szCs w:val="22"/>
          <w:lang w:val="bg-BG"/>
        </w:rPr>
        <w:t>н</w:t>
      </w:r>
      <w:r>
        <w:rPr>
          <w:rFonts w:cs="Arial" w:ascii="Arial Narrow" w:hAnsi="Arial Narrow"/>
          <w:sz w:val="22"/>
          <w:szCs w:val="22"/>
        </w:rPr>
        <w:t>есъответствие</w:t>
      </w:r>
      <w:r>
        <w:rPr>
          <w:rFonts w:cs="Arial" w:ascii="Arial Narrow" w:hAnsi="Arial Narrow"/>
          <w:sz w:val="22"/>
          <w:szCs w:val="22"/>
          <w:lang w:val="bg-BG"/>
        </w:rPr>
        <w:t>то</w:t>
      </w:r>
      <w:r>
        <w:rPr>
          <w:rFonts w:cs="Arial" w:ascii="Arial Narrow" w:hAnsi="Arial Narrow"/>
          <w:sz w:val="22"/>
          <w:szCs w:val="22"/>
        </w:rPr>
        <w:t xml:space="preserve"> и доклад</w:t>
      </w:r>
      <w:r>
        <w:rPr>
          <w:rFonts w:cs="Arial" w:ascii="Arial Narrow" w:hAnsi="Arial Narrow"/>
          <w:sz w:val="22"/>
          <w:szCs w:val="22"/>
          <w:lang w:val="bg-BG"/>
        </w:rPr>
        <w:t>ват</w:t>
      </w:r>
      <w:r>
        <w:rPr>
          <w:rFonts w:cs="Arial" w:ascii="Arial Narrow" w:hAnsi="Arial Narrow"/>
          <w:sz w:val="22"/>
          <w:szCs w:val="22"/>
        </w:rPr>
        <w:t xml:space="preserve"> на заинтересованите </w:t>
      </w:r>
      <w:r>
        <w:rPr>
          <w:rFonts w:cs="Arial" w:ascii="Arial Narrow" w:hAnsi="Arial Narrow"/>
          <w:sz w:val="22"/>
          <w:szCs w:val="22"/>
          <w:lang w:val="bg-BG"/>
        </w:rPr>
        <w:t>ф</w:t>
      </w:r>
      <w:r>
        <w:rPr>
          <w:rFonts w:cs="Arial" w:ascii="Arial Narrow" w:hAnsi="Arial Narrow"/>
          <w:sz w:val="22"/>
          <w:szCs w:val="22"/>
        </w:rPr>
        <w:t>ункционални ръководители.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Д</w:t>
      </w:r>
      <w:r>
        <w:rPr>
          <w:rFonts w:cs="Arial" w:ascii="Arial Narrow" w:hAnsi="Arial Narrow"/>
          <w:sz w:val="22"/>
          <w:szCs w:val="22"/>
        </w:rPr>
        <w:t>а се определят и запи</w:t>
      </w:r>
      <w:r>
        <w:rPr>
          <w:rFonts w:cs="Arial" w:ascii="Arial Narrow" w:hAnsi="Arial Narrow"/>
          <w:sz w:val="22"/>
          <w:szCs w:val="22"/>
          <w:lang w:val="bg-BG"/>
        </w:rPr>
        <w:t>шат</w:t>
      </w:r>
      <w:r>
        <w:rPr>
          <w:rFonts w:cs="Arial" w:ascii="Arial Narrow" w:hAnsi="Arial Narrow"/>
          <w:sz w:val="22"/>
          <w:szCs w:val="22"/>
        </w:rPr>
        <w:t xml:space="preserve"> </w:t>
      </w:r>
      <w:r>
        <w:rPr>
          <w:rFonts w:cs="Arial" w:ascii="Arial Narrow" w:hAnsi="Arial Narrow"/>
          <w:sz w:val="22"/>
          <w:szCs w:val="22"/>
          <w:lang w:val="bg-BG"/>
        </w:rPr>
        <w:t>н</w:t>
      </w:r>
      <w:r>
        <w:rPr>
          <w:rFonts w:cs="Arial" w:ascii="Arial Narrow" w:hAnsi="Arial Narrow"/>
          <w:sz w:val="22"/>
          <w:szCs w:val="22"/>
        </w:rPr>
        <w:t>есъответстви</w:t>
      </w:r>
      <w:r>
        <w:rPr>
          <w:rFonts w:cs="Arial" w:ascii="Arial Narrow" w:hAnsi="Arial Narrow"/>
          <w:sz w:val="22"/>
          <w:szCs w:val="22"/>
          <w:lang w:val="bg-BG"/>
        </w:rPr>
        <w:t>ята</w:t>
      </w:r>
      <w:r>
        <w:rPr>
          <w:rFonts w:cs="Arial" w:ascii="Arial Narrow" w:hAnsi="Arial Narrow"/>
          <w:sz w:val="22"/>
          <w:szCs w:val="22"/>
        </w:rPr>
        <w:t xml:space="preserve"> / отклонени</w:t>
      </w:r>
      <w:r>
        <w:rPr>
          <w:rFonts w:cs="Arial" w:ascii="Arial Narrow" w:hAnsi="Arial Narrow"/>
          <w:sz w:val="22"/>
          <w:szCs w:val="22"/>
          <w:lang w:val="bg-BG"/>
        </w:rPr>
        <w:t>ята</w:t>
      </w:r>
      <w:r>
        <w:rPr>
          <w:rFonts w:cs="Arial" w:ascii="Arial Narrow" w:hAnsi="Arial Narrow"/>
          <w:sz w:val="22"/>
          <w:szCs w:val="22"/>
        </w:rPr>
        <w:t xml:space="preserve"> и коригиращи, ако има такива, отнасящи се до </w:t>
      </w:r>
      <w:r>
        <w:rPr>
          <w:rFonts w:cs="Arial" w:ascii="Arial Narrow" w:hAnsi="Arial Narrow"/>
          <w:sz w:val="22"/>
          <w:szCs w:val="22"/>
          <w:lang w:val="bg-BG"/>
        </w:rPr>
        <w:t>системния наръчник</w:t>
      </w:r>
      <w:r>
        <w:rPr>
          <w:rFonts w:cs="Arial" w:ascii="Arial Narrow" w:hAnsi="Arial Narrow"/>
          <w:sz w:val="22"/>
          <w:szCs w:val="22"/>
        </w:rPr>
        <w:t>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За идентифициране</w:t>
      </w:r>
      <w:r>
        <w:rPr>
          <w:rFonts w:cs="Arial" w:ascii="Arial Narrow" w:hAnsi="Arial Narrow"/>
          <w:sz w:val="22"/>
          <w:szCs w:val="22"/>
          <w:lang w:val="bg-BG"/>
        </w:rPr>
        <w:t xml:space="preserve"> на</w:t>
      </w:r>
      <w:r>
        <w:rPr>
          <w:rFonts w:cs="Arial" w:ascii="Arial Narrow" w:hAnsi="Arial Narrow"/>
          <w:sz w:val="22"/>
          <w:szCs w:val="22"/>
        </w:rPr>
        <w:t xml:space="preserve"> </w:t>
      </w:r>
      <w:r>
        <w:rPr>
          <w:rFonts w:cs="Arial" w:ascii="Arial Narrow" w:hAnsi="Arial Narrow"/>
          <w:sz w:val="22"/>
          <w:szCs w:val="22"/>
          <w:lang w:val="bg-BG"/>
        </w:rPr>
        <w:t>н</w:t>
      </w:r>
      <w:r>
        <w:rPr>
          <w:rFonts w:cs="Arial" w:ascii="Arial Narrow" w:hAnsi="Arial Narrow"/>
          <w:sz w:val="22"/>
          <w:szCs w:val="22"/>
        </w:rPr>
        <w:t>есъответстви</w:t>
      </w:r>
      <w:r>
        <w:rPr>
          <w:rFonts w:cs="Arial" w:ascii="Arial Narrow" w:hAnsi="Arial Narrow"/>
          <w:sz w:val="22"/>
          <w:szCs w:val="22"/>
          <w:lang w:val="bg-BG"/>
        </w:rPr>
        <w:t>ята,</w:t>
      </w:r>
      <w:r>
        <w:rPr>
          <w:rFonts w:cs="Arial" w:ascii="Arial Narrow" w:hAnsi="Arial Narrow"/>
          <w:sz w:val="22"/>
          <w:szCs w:val="22"/>
        </w:rPr>
        <w:t xml:space="preserve"> свързани с правните изисквания и коригиращи действия, ако има такива.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За </w:t>
      </w:r>
      <w:r>
        <w:rPr>
          <w:rFonts w:cs="Arial" w:ascii="Arial Narrow" w:hAnsi="Arial Narrow"/>
          <w:sz w:val="22"/>
          <w:szCs w:val="22"/>
          <w:lang w:val="bg-BG"/>
        </w:rPr>
        <w:t xml:space="preserve">идентифициране на </w:t>
      </w:r>
      <w:r>
        <w:rPr>
          <w:rFonts w:cs="Arial" w:ascii="Arial Narrow" w:hAnsi="Arial Narrow"/>
          <w:sz w:val="22"/>
          <w:szCs w:val="22"/>
        </w:rPr>
        <w:t>несъответствие, свързано с</w:t>
      </w:r>
      <w:r>
        <w:rPr>
          <w:rFonts w:cs="Arial" w:ascii="Arial Narrow" w:hAnsi="Arial Narrow"/>
          <w:sz w:val="22"/>
          <w:szCs w:val="22"/>
          <w:lang w:val="bg-BG"/>
        </w:rPr>
        <w:t xml:space="preserve"> проведен одит.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За да се изследва и анализира </w:t>
      </w:r>
      <w:r>
        <w:rPr>
          <w:rFonts w:cs="Arial" w:ascii="Arial Narrow" w:hAnsi="Arial Narrow"/>
          <w:sz w:val="22"/>
          <w:szCs w:val="22"/>
          <w:lang w:val="bg-BG"/>
        </w:rPr>
        <w:t>н</w:t>
      </w:r>
      <w:r>
        <w:rPr>
          <w:rFonts w:cs="Arial" w:ascii="Arial Narrow" w:hAnsi="Arial Narrow"/>
          <w:sz w:val="22"/>
          <w:szCs w:val="22"/>
        </w:rPr>
        <w:t>есъответствие</w:t>
      </w:r>
      <w:r>
        <w:rPr>
          <w:rFonts w:cs="Arial" w:ascii="Arial Narrow" w:hAnsi="Arial Narrow"/>
          <w:sz w:val="22"/>
          <w:szCs w:val="22"/>
          <w:lang w:val="bg-BG"/>
        </w:rPr>
        <w:t xml:space="preserve">то, както и избора на </w:t>
      </w:r>
      <w:r>
        <w:rPr>
          <w:rFonts w:cs="Arial" w:ascii="Arial Narrow" w:hAnsi="Arial Narrow"/>
          <w:sz w:val="22"/>
          <w:szCs w:val="22"/>
        </w:rPr>
        <w:t>подходящи коригиращи мерки.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За </w:t>
      </w:r>
      <w:r>
        <w:rPr>
          <w:rFonts w:cs="Arial" w:ascii="Arial Narrow" w:hAnsi="Arial Narrow"/>
          <w:sz w:val="22"/>
          <w:szCs w:val="22"/>
          <w:lang w:val="bg-BG"/>
        </w:rPr>
        <w:t>започване</w:t>
      </w:r>
      <w:r>
        <w:rPr>
          <w:rFonts w:cs="Arial" w:ascii="Arial Narrow" w:hAnsi="Arial Narrow"/>
          <w:sz w:val="22"/>
          <w:szCs w:val="22"/>
        </w:rPr>
        <w:t xml:space="preserve"> на коригиращи действия, подходящи за характер</w:t>
      </w:r>
      <w:r>
        <w:rPr>
          <w:rFonts w:cs="Arial" w:ascii="Arial Narrow" w:hAnsi="Arial Narrow"/>
          <w:sz w:val="22"/>
          <w:szCs w:val="22"/>
          <w:lang w:val="bg-BG"/>
        </w:rPr>
        <w:t>а</w:t>
      </w:r>
      <w:r>
        <w:rPr>
          <w:rFonts w:cs="Arial" w:ascii="Arial Narrow" w:hAnsi="Arial Narrow"/>
          <w:sz w:val="22"/>
          <w:szCs w:val="22"/>
        </w:rPr>
        <w:t xml:space="preserve"> на отклоненията / несъответствията.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Промени в документа, произтичащи от коригиращи действия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При срещи с ръководството се предоставя информация за извършваните действия по несъответствията/отклоненията.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В</w:t>
      </w:r>
      <w:r>
        <w:rPr>
          <w:rFonts w:cs="Arial" w:ascii="Arial Narrow" w:hAnsi="Arial Narrow"/>
          <w:sz w:val="22"/>
          <w:szCs w:val="22"/>
        </w:rPr>
        <w:t>зети</w:t>
      </w:r>
      <w:r>
        <w:rPr>
          <w:rFonts w:cs="Arial" w:ascii="Arial Narrow" w:hAnsi="Arial Narrow"/>
          <w:sz w:val="22"/>
          <w:szCs w:val="22"/>
          <w:lang w:val="bg-BG"/>
        </w:rPr>
        <w:t xml:space="preserve">те </w:t>
      </w:r>
      <w:r>
        <w:rPr>
          <w:rFonts w:cs="Arial" w:ascii="Arial Narrow" w:hAnsi="Arial Narrow"/>
          <w:sz w:val="22"/>
          <w:szCs w:val="22"/>
        </w:rPr>
        <w:t>коригиращи действия</w:t>
      </w:r>
      <w:r>
        <w:rPr>
          <w:rFonts w:cs="Arial" w:ascii="Arial Narrow" w:hAnsi="Arial Narrow"/>
          <w:sz w:val="22"/>
          <w:szCs w:val="22"/>
          <w:lang w:val="bg-BG"/>
        </w:rPr>
        <w:t xml:space="preserve"> са</w:t>
      </w:r>
      <w:r>
        <w:rPr>
          <w:rFonts w:cs="Arial" w:ascii="Arial Narrow" w:hAnsi="Arial Narrow"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</w:tabs>
        <w:spacing w:before="120" w:after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Констатации от проведени одити (вътрешен и външен)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Оценка на ефективността на одит</w:t>
      </w:r>
      <w:r>
        <w:rPr>
          <w:rFonts w:cs="Arial" w:ascii="Arial Narrow" w:hAnsi="Arial Narrow"/>
          <w:sz w:val="22"/>
          <w:szCs w:val="22"/>
          <w:lang w:val="bg-BG"/>
        </w:rPr>
        <w:t>а</w:t>
      </w:r>
      <w:r>
        <w:rPr>
          <w:rFonts w:cs="Arial" w:ascii="Arial Narrow" w:hAnsi="Arial Narrow"/>
          <w:sz w:val="22"/>
          <w:szCs w:val="22"/>
        </w:rPr>
        <w:t>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Резюме на коригиращи</w:t>
      </w:r>
      <w:r>
        <w:rPr>
          <w:rFonts w:cs="Arial" w:ascii="Arial Narrow" w:hAnsi="Arial Narrow"/>
          <w:sz w:val="22"/>
          <w:szCs w:val="22"/>
          <w:lang w:val="bg-BG"/>
        </w:rPr>
        <w:t>те</w:t>
      </w:r>
      <w:r>
        <w:rPr>
          <w:rFonts w:cs="Arial" w:ascii="Arial Narrow" w:hAnsi="Arial Narrow"/>
          <w:sz w:val="22"/>
          <w:szCs w:val="22"/>
        </w:rPr>
        <w:t xml:space="preserve"> мерки, предприети и планирани от всички служби.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Оценка на годността на енергийната политика и необходимостта от промени, ако има такива по отношение на;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  <w:tab w:val="left" w:pos="2520" w:leader="none"/>
        </w:tabs>
        <w:spacing w:before="120" w:after="0"/>
        <w:ind w:hanging="360" w:start="180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Промени в законодателството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  <w:tab w:val="left" w:pos="2520" w:leader="none"/>
        </w:tabs>
        <w:ind w:hanging="360" w:start="180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Доклад за разследването на инциденти / злополуки.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  <w:tab w:val="left" w:pos="2520" w:leader="none"/>
        </w:tabs>
        <w:ind w:hanging="360" w:start="180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Промени в законоустановените изисквания.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800" w:leader="none"/>
          <w:tab w:val="left" w:pos="2520" w:leader="none"/>
        </w:tabs>
        <w:ind w:hanging="360" w:start="1800" w:end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Всяка външна комуникация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080" w:leader="none"/>
        </w:tabs>
        <w:spacing w:lineRule="atLeast" w:line="240" w:before="120" w:after="0"/>
        <w:ind w:hanging="1080" w:start="1080" w:end="-21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Анализ на несъответствията (настоящи и потенциални) и коригиращи действия. Несъответствие могат да бъдат идентифицирани в;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1440" w:leader="none"/>
        </w:tabs>
        <w:spacing w:lineRule="atLeast" w:line="240" w:before="120" w:after="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Продукт / оборудване / закупуване на енергия.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1440" w:leader="none"/>
        </w:tabs>
        <w:spacing w:lineRule="atLeast" w:line="24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 xml:space="preserve">Неспазването на всички определени </w:t>
      </w:r>
      <w:r>
        <w:rPr>
          <w:rFonts w:cs="Arial" w:ascii="Arial Narrow" w:hAnsi="Arial Narrow"/>
          <w:iCs/>
          <w:sz w:val="22"/>
          <w:szCs w:val="22"/>
          <w:lang w:val="bg-BG"/>
        </w:rPr>
        <w:t>процедури</w:t>
      </w:r>
      <w:r>
        <w:rPr>
          <w:rFonts w:cs="Arial" w:ascii="Arial Narrow" w:hAnsi="Arial Narrow"/>
          <w:iCs/>
          <w:sz w:val="22"/>
          <w:szCs w:val="22"/>
        </w:rPr>
        <w:t xml:space="preserve"> и отказ на системата 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1440" w:leader="none"/>
        </w:tabs>
        <w:spacing w:lineRule="atLeast" w:line="24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  <w:lang w:val="bg-BG"/>
        </w:rPr>
        <w:t>Непостигане на енергийна ефективност</w:t>
      </w:r>
      <w:r>
        <w:rPr>
          <w:rFonts w:cs="Arial" w:ascii="Arial Narrow" w:hAnsi="Arial Narrow"/>
          <w:iCs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1440" w:leader="none"/>
        </w:tabs>
        <w:spacing w:lineRule="atLeast" w:line="24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  <w:lang w:val="bg-BG"/>
        </w:rPr>
        <w:t>Преглед на резултатите от изпълнените цели на всеки отдел</w:t>
      </w:r>
    </w:p>
    <w:p>
      <w:pPr>
        <w:pStyle w:val="Style10"/>
        <w:numPr>
          <w:ilvl w:val="1"/>
          <w:numId w:val="2"/>
        </w:numPr>
        <w:ind w:hanging="1800" w:start="1800" w:end="-21"/>
        <w:rPr>
          <w:rFonts w:ascii="Arial Narrow" w:hAnsi="Arial Narrow" w:cs="Arial"/>
          <w:b w:val="false"/>
          <w:i w:val="false"/>
          <w:iCs/>
          <w:caps w:val="false"/>
          <w:smallCaps w:val="false"/>
          <w:sz w:val="22"/>
          <w:szCs w:val="22"/>
        </w:rPr>
      </w:pP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Коригиращи действия може да 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>бъдат преразгледани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>:</w:t>
      </w:r>
    </w:p>
    <w:p>
      <w:pPr>
        <w:pStyle w:val="Style10"/>
        <w:rPr/>
      </w:pP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ab/>
        <w:t>Планирането на коригиращи действия трябва да включват оценка на значимостта на проблемите,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 xml:space="preserve"> 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>които засягат. Основни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>те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 или повтарящи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 xml:space="preserve"> се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 несъответстви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>я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 се регистрира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>т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 за предприемане на корективни действия в областите, изброени по-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  <w:lang w:val="bg-BG"/>
        </w:rPr>
        <w:t>горе.</w:t>
      </w:r>
      <w:r>
        <w:rPr>
          <w:rFonts w:cs="Arial" w:ascii="Arial Narrow" w:hAnsi="Arial Narrow"/>
          <w:b w:val="false"/>
          <w:i w:val="false"/>
          <w:iCs/>
          <w:caps w:val="false"/>
          <w:smallCaps w:val="false"/>
          <w:sz w:val="22"/>
          <w:szCs w:val="22"/>
        </w:rPr>
        <w:t xml:space="preserve"> 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spacing w:lineRule="atLeast" w:line="240" w:before="120" w:after="0"/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Функционалн</w:t>
      </w:r>
      <w:r>
        <w:rPr>
          <w:rFonts w:cs="Arial" w:ascii="Arial Narrow" w:hAnsi="Arial Narrow"/>
          <w:iCs/>
          <w:sz w:val="22"/>
          <w:szCs w:val="22"/>
          <w:lang w:val="bg-BG"/>
        </w:rPr>
        <w:t>ите</w:t>
      </w:r>
      <w:r>
        <w:rPr>
          <w:rFonts w:cs="Arial" w:ascii="Arial Narrow" w:hAnsi="Arial Narrow"/>
          <w:iCs/>
          <w:sz w:val="22"/>
          <w:szCs w:val="22"/>
        </w:rPr>
        <w:t xml:space="preserve"> ръководител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преглежда</w:t>
      </w:r>
      <w:r>
        <w:rPr>
          <w:rFonts w:cs="Arial" w:ascii="Arial Narrow" w:hAnsi="Arial Narrow"/>
          <w:iCs/>
          <w:sz w:val="22"/>
          <w:szCs w:val="22"/>
          <w:lang w:val="bg-BG"/>
        </w:rPr>
        <w:t>т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ята, </w:t>
      </w:r>
      <w:r>
        <w:rPr>
          <w:rFonts w:cs="Arial" w:ascii="Arial Narrow" w:hAnsi="Arial Narrow"/>
          <w:iCs/>
          <w:sz w:val="22"/>
          <w:szCs w:val="22"/>
        </w:rPr>
        <w:t>идентифицирани в техните райони и г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анализира</w:t>
      </w:r>
      <w:r>
        <w:rPr>
          <w:rFonts w:cs="Arial" w:ascii="Arial Narrow" w:hAnsi="Arial Narrow"/>
          <w:iCs/>
          <w:sz w:val="22"/>
          <w:szCs w:val="22"/>
          <w:lang w:val="bg-BG"/>
        </w:rPr>
        <w:t>т</w:t>
      </w:r>
      <w:r>
        <w:rPr>
          <w:rFonts w:cs="Arial" w:ascii="Arial Narrow" w:hAnsi="Arial Narrow"/>
          <w:iCs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Основн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>т</w:t>
      </w:r>
      <w:r>
        <w:rPr>
          <w:rFonts w:cs="Arial" w:ascii="Arial Narrow" w:hAnsi="Arial Narrow"/>
          <w:iCs/>
          <w:sz w:val="22"/>
          <w:szCs w:val="22"/>
          <w:lang w:val="bg-BG"/>
        </w:rPr>
        <w:t>е</w:t>
      </w:r>
      <w:r>
        <w:rPr>
          <w:rFonts w:cs="Arial" w:ascii="Arial Narrow" w:hAnsi="Arial Narrow"/>
          <w:iCs/>
          <w:sz w:val="22"/>
          <w:szCs w:val="22"/>
        </w:rPr>
        <w:t xml:space="preserve"> причин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за несъответствие, са идентифицирани в района като човек, машина, материал, управление (система), пари (</w:t>
      </w:r>
      <w:r>
        <w:rPr>
          <w:rFonts w:cs="Arial" w:ascii="Arial Narrow" w:hAnsi="Arial Narrow"/>
          <w:iCs/>
          <w:sz w:val="22"/>
          <w:szCs w:val="22"/>
          <w:lang w:val="bg-BG"/>
        </w:rPr>
        <w:t>ресурси</w:t>
      </w:r>
      <w:r>
        <w:rPr>
          <w:rFonts w:cs="Arial" w:ascii="Arial Narrow" w:hAnsi="Arial Narrow"/>
          <w:iCs/>
          <w:sz w:val="22"/>
          <w:szCs w:val="22"/>
        </w:rPr>
        <w:t xml:space="preserve">). 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Като се има предвид оценката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 на несъответствието, </w:t>
      </w:r>
      <w:r>
        <w:rPr>
          <w:rFonts w:cs="Arial" w:ascii="Arial Narrow" w:hAnsi="Arial Narrow"/>
          <w:iCs/>
          <w:sz w:val="22"/>
          <w:szCs w:val="22"/>
        </w:rPr>
        <w:t>разходи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за несъответстви</w:t>
      </w:r>
      <w:r>
        <w:rPr>
          <w:rFonts w:cs="Arial" w:ascii="Arial Narrow" w:hAnsi="Arial Narrow"/>
          <w:iCs/>
          <w:sz w:val="22"/>
          <w:szCs w:val="22"/>
          <w:lang w:val="bg-BG"/>
        </w:rPr>
        <w:t>я и</w:t>
      </w:r>
      <w:r>
        <w:rPr>
          <w:rFonts w:cs="Arial" w:ascii="Arial Narrow" w:hAnsi="Arial Narrow"/>
          <w:iCs/>
          <w:sz w:val="22"/>
          <w:szCs w:val="22"/>
        </w:rPr>
        <w:t xml:space="preserve"> предприети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действия, се гарантира, че несъответствията </w:t>
      </w:r>
      <w:r>
        <w:rPr>
          <w:rFonts w:cs="Arial" w:ascii="Arial Narrow" w:hAnsi="Arial Narrow"/>
          <w:iCs/>
          <w:sz w:val="22"/>
          <w:szCs w:val="22"/>
          <w:lang w:val="bg-BG"/>
        </w:rPr>
        <w:t>няма да се повторят.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spacing w:before="80" w:after="0"/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Въз основа на анализ на първопричините за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 несъответствия са предприети</w:t>
      </w:r>
      <w:r>
        <w:rPr>
          <w:rFonts w:cs="Arial" w:ascii="Arial Narrow" w:hAnsi="Arial Narrow"/>
          <w:iCs/>
          <w:sz w:val="22"/>
          <w:szCs w:val="22"/>
        </w:rPr>
        <w:t xml:space="preserve"> коригиращи действия.. Необходимите коригиращи действия се изпълнява</w:t>
      </w:r>
      <w:r>
        <w:rPr>
          <w:rFonts w:cs="Arial" w:ascii="Arial Narrow" w:hAnsi="Arial Narrow"/>
          <w:iCs/>
          <w:sz w:val="22"/>
          <w:szCs w:val="22"/>
          <w:lang w:val="bg-BG"/>
        </w:rPr>
        <w:t>т</w:t>
      </w:r>
      <w:r>
        <w:rPr>
          <w:rFonts w:cs="Arial" w:ascii="Arial Narrow" w:hAnsi="Arial Narrow"/>
          <w:iCs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spacing w:before="80" w:after="0"/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 xml:space="preserve">Резултатите от предприетите действия се записват и се сравняват </w:t>
      </w:r>
      <w:r>
        <w:rPr>
          <w:rFonts w:cs="Arial" w:ascii="Arial Narrow" w:hAnsi="Arial Narrow"/>
          <w:iCs/>
          <w:sz w:val="22"/>
          <w:szCs w:val="22"/>
          <w:lang w:val="bg-BG"/>
        </w:rPr>
        <w:t>с</w:t>
      </w:r>
      <w:r>
        <w:rPr>
          <w:rFonts w:cs="Arial" w:ascii="Arial Narrow" w:hAnsi="Arial Narrow"/>
          <w:iCs/>
          <w:sz w:val="22"/>
          <w:szCs w:val="22"/>
        </w:rPr>
        <w:t xml:space="preserve"> резултати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при откриване на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несъответствие</w:t>
      </w:r>
      <w:r>
        <w:rPr>
          <w:rFonts w:cs="Arial" w:ascii="Arial Narrow" w:hAnsi="Arial Narrow"/>
          <w:iCs/>
          <w:sz w:val="22"/>
          <w:szCs w:val="22"/>
          <w:lang w:val="bg-BG"/>
        </w:rPr>
        <w:t>то</w:t>
      </w:r>
      <w:r>
        <w:rPr>
          <w:rFonts w:cs="Arial" w:ascii="Arial Narrow" w:hAnsi="Arial Narrow"/>
          <w:iCs/>
          <w:sz w:val="22"/>
          <w:szCs w:val="22"/>
        </w:rPr>
        <w:t xml:space="preserve">. Ако се установи, </w:t>
      </w:r>
      <w:r>
        <w:rPr>
          <w:rFonts w:cs="Arial" w:ascii="Arial Narrow" w:hAnsi="Arial Narrow"/>
          <w:iCs/>
          <w:sz w:val="22"/>
          <w:szCs w:val="22"/>
          <w:lang w:val="bg-BG"/>
        </w:rPr>
        <w:t>че не</w:t>
      </w:r>
      <w:r>
        <w:rPr>
          <w:rFonts w:cs="Arial" w:ascii="Arial Narrow" w:hAnsi="Arial Narrow"/>
          <w:iCs/>
          <w:sz w:val="22"/>
          <w:szCs w:val="22"/>
        </w:rPr>
        <w:t xml:space="preserve"> е задоволително, тогава целият процес се повтаря.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1800" w:leader="none"/>
        </w:tabs>
        <w:spacing w:before="80" w:after="0"/>
        <w:ind w:hanging="720" w:start="180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След приключване на коригиращи действия, се изпраща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 формуляр</w:t>
      </w:r>
      <w:r>
        <w:rPr>
          <w:rFonts w:cs="Arial" w:ascii="Arial Narrow" w:hAnsi="Arial Narrow"/>
          <w:iCs/>
          <w:sz w:val="22"/>
          <w:szCs w:val="22"/>
        </w:rPr>
        <w:t xml:space="preserve"> на </w:t>
      </w:r>
      <w:r>
        <w:rPr>
          <w:rFonts w:cs="Arial" w:ascii="Arial Narrow" w:hAnsi="Arial Narrow"/>
          <w:iCs/>
          <w:sz w:val="22"/>
          <w:szCs w:val="22"/>
          <w:lang w:val="bg-BG"/>
        </w:rPr>
        <w:t>представителя на ръководството</w:t>
      </w:r>
      <w:r>
        <w:rPr>
          <w:rFonts w:cs="Arial" w:ascii="Arial Narrow" w:hAnsi="Arial Narrow"/>
          <w:iCs/>
          <w:sz w:val="22"/>
          <w:szCs w:val="22"/>
        </w:rPr>
        <w:t xml:space="preserve"> за преразглеждане на коригиращи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действия. Той прави преглед на ефективността на мерките за преодоляване на </w:t>
      </w:r>
      <w:r>
        <w:rPr>
          <w:rFonts w:cs="Arial" w:ascii="Arial Narrow" w:hAnsi="Arial Narrow"/>
          <w:iCs/>
          <w:sz w:val="22"/>
          <w:szCs w:val="22"/>
          <w:lang w:val="bg-BG"/>
        </w:rPr>
        <w:t>несъответствията.</w:t>
      </w:r>
      <w:r>
        <w:rPr>
          <w:rFonts w:cs="Arial" w:ascii="Arial Narrow" w:hAnsi="Arial Narrow"/>
          <w:iCs/>
          <w:sz w:val="22"/>
          <w:szCs w:val="22"/>
        </w:rPr>
        <w:t xml:space="preserve"> Обобщението на ефективността на коригиращи действия се обсъжда и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 се</w:t>
      </w:r>
      <w:r>
        <w:rPr>
          <w:rFonts w:cs="Arial" w:ascii="Arial Narrow" w:hAnsi="Arial Narrow"/>
          <w:iCs/>
          <w:sz w:val="22"/>
          <w:szCs w:val="22"/>
        </w:rPr>
        <w:t xml:space="preserve"> преразгле</w:t>
      </w:r>
      <w:r>
        <w:rPr>
          <w:rFonts w:cs="Arial" w:ascii="Arial Narrow" w:hAnsi="Arial Narrow"/>
          <w:iCs/>
          <w:sz w:val="22"/>
          <w:szCs w:val="22"/>
          <w:lang w:val="bg-BG"/>
        </w:rPr>
        <w:t>жда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на</w:t>
      </w:r>
      <w:r>
        <w:rPr>
          <w:rFonts w:cs="Arial" w:ascii="Arial Narrow" w:hAnsi="Arial Narrow"/>
          <w:iCs/>
          <w:sz w:val="22"/>
          <w:szCs w:val="22"/>
        </w:rPr>
        <w:t xml:space="preserve"> заседание </w:t>
      </w:r>
      <w:r>
        <w:rPr>
          <w:rFonts w:cs="Arial" w:ascii="Arial Narrow" w:hAnsi="Arial Narrow"/>
          <w:iCs/>
          <w:sz w:val="22"/>
          <w:szCs w:val="22"/>
          <w:lang w:val="bg-BG"/>
        </w:rPr>
        <w:t>на ръководството.</w:t>
      </w:r>
    </w:p>
    <w:p>
      <w:pPr>
        <w:pStyle w:val="Normal"/>
        <w:tabs>
          <w:tab w:val="clear" w:pos="720"/>
          <w:tab w:val="left" w:pos="1080" w:leader="none"/>
        </w:tabs>
        <w:spacing w:before="80" w:after="0"/>
        <w:ind w:hanging="1080" w:start="1080" w:end="-21"/>
        <w:jc w:val="both"/>
        <w:rPr>
          <w:rFonts w:ascii="Arial Narrow" w:hAnsi="Arial Narrow" w:cs="Arial"/>
          <w:iCs/>
          <w:sz w:val="22"/>
          <w:szCs w:val="22"/>
          <w:lang w:val="bg-BG"/>
        </w:rPr>
      </w:pPr>
      <w:r>
        <w:rPr>
          <w:rFonts w:cs="Arial" w:ascii="Arial Narrow" w:hAnsi="Arial Narrow"/>
          <w:iCs/>
          <w:sz w:val="22"/>
          <w:szCs w:val="22"/>
        </w:rPr>
        <w:t>4.14</w:t>
        <w:tab/>
        <w:t>Превантивните методологии се използват от функционални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ръководители за идентифициране на причините за потенциални несъответствия. Примери за такива методики включват анализ на постигането на целите, анализ на данни за потреблението на енергия, специални области, идентифицирани от </w:t>
      </w:r>
      <w:r>
        <w:rPr>
          <w:rFonts w:cs="Arial" w:ascii="Arial Narrow" w:hAnsi="Arial Narrow"/>
          <w:iCs/>
          <w:sz w:val="22"/>
          <w:szCs w:val="22"/>
          <w:lang w:val="bg-BG"/>
        </w:rPr>
        <w:t>ф</w:t>
      </w:r>
      <w:r>
        <w:rPr>
          <w:rFonts w:cs="Arial" w:ascii="Arial Narrow" w:hAnsi="Arial Narrow"/>
          <w:iCs/>
          <w:sz w:val="22"/>
          <w:szCs w:val="22"/>
        </w:rPr>
        <w:t>ункционалн</w:t>
      </w:r>
      <w:r>
        <w:rPr>
          <w:rFonts w:cs="Arial" w:ascii="Arial Narrow" w:hAnsi="Arial Narrow"/>
          <w:iCs/>
          <w:sz w:val="22"/>
          <w:szCs w:val="22"/>
          <w:lang w:val="bg-BG"/>
        </w:rPr>
        <w:t>ите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ръководители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1440" w:leader="none"/>
        </w:tabs>
        <w:spacing w:before="80" w:after="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Въз основа на анализ на различни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данни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от</w:t>
      </w:r>
      <w:r>
        <w:rPr>
          <w:rFonts w:cs="Arial" w:ascii="Arial Narrow" w:hAnsi="Arial Narrow"/>
          <w:iCs/>
          <w:sz w:val="22"/>
          <w:szCs w:val="22"/>
        </w:rPr>
        <w:t xml:space="preserve"> функционалните ръководители 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се </w:t>
      </w:r>
      <w:r>
        <w:rPr>
          <w:rFonts w:cs="Arial" w:ascii="Arial Narrow" w:hAnsi="Arial Narrow"/>
          <w:iCs/>
          <w:sz w:val="22"/>
          <w:szCs w:val="22"/>
        </w:rPr>
        <w:t>определят потенциалните несъответствия. Те инициират действия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, които трябва да получат </w:t>
      </w:r>
      <w:r>
        <w:rPr>
          <w:rFonts w:cs="Arial" w:ascii="Arial Narrow" w:hAnsi="Arial Narrow"/>
          <w:iCs/>
          <w:sz w:val="22"/>
          <w:szCs w:val="22"/>
        </w:rPr>
        <w:t>одобр</w:t>
      </w:r>
      <w:r>
        <w:rPr>
          <w:rFonts w:cs="Arial" w:ascii="Arial Narrow" w:hAnsi="Arial Narrow"/>
          <w:iCs/>
          <w:sz w:val="22"/>
          <w:szCs w:val="22"/>
          <w:lang w:val="bg-BG"/>
        </w:rPr>
        <w:t>ение</w:t>
      </w:r>
      <w:r>
        <w:rPr>
          <w:rFonts w:cs="Arial" w:ascii="Arial Narrow" w:hAnsi="Arial Narrow"/>
          <w:iCs/>
          <w:sz w:val="22"/>
          <w:szCs w:val="22"/>
        </w:rPr>
        <w:t xml:space="preserve"> от </w:t>
      </w:r>
      <w:r>
        <w:rPr>
          <w:rFonts w:cs="Arial" w:ascii="Arial Narrow" w:hAnsi="Arial Narrow"/>
          <w:iCs/>
          <w:sz w:val="22"/>
          <w:szCs w:val="22"/>
          <w:lang w:val="bg-BG"/>
        </w:rPr>
        <w:t>ръководството</w:t>
      </w:r>
      <w:r>
        <w:rPr>
          <w:rFonts w:cs="Arial" w:ascii="Arial Narrow" w:hAnsi="Arial Narrow"/>
          <w:iCs/>
          <w:sz w:val="22"/>
          <w:szCs w:val="22"/>
        </w:rPr>
        <w:t>. Причините за потенциал</w:t>
      </w:r>
      <w:r>
        <w:rPr>
          <w:rFonts w:cs="Arial" w:ascii="Arial Narrow" w:hAnsi="Arial Narrow"/>
          <w:iCs/>
          <w:sz w:val="22"/>
          <w:szCs w:val="22"/>
          <w:lang w:val="bg-BG"/>
        </w:rPr>
        <w:t>ни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</w:t>
      </w:r>
      <w:r>
        <w:rPr>
          <w:rFonts w:cs="Arial" w:ascii="Arial Narrow" w:hAnsi="Arial Narrow"/>
          <w:iCs/>
          <w:sz w:val="22"/>
          <w:szCs w:val="22"/>
          <w:lang w:val="bg-BG"/>
        </w:rPr>
        <w:t>я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могат да</w:t>
      </w:r>
      <w:r>
        <w:rPr>
          <w:rFonts w:cs="Arial" w:ascii="Arial Narrow" w:hAnsi="Arial Narrow"/>
          <w:iCs/>
          <w:sz w:val="22"/>
          <w:szCs w:val="22"/>
        </w:rPr>
        <w:t xml:space="preserve"> бъдат в </w:t>
      </w:r>
      <w:r>
        <w:rPr>
          <w:rFonts w:cs="Arial" w:ascii="Arial Narrow" w:hAnsi="Arial Narrow"/>
          <w:iCs/>
          <w:sz w:val="22"/>
          <w:szCs w:val="22"/>
          <w:lang w:val="bg-BG"/>
        </w:rPr>
        <w:t>резултат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от човек,</w:t>
      </w:r>
      <w:r>
        <w:rPr>
          <w:rFonts w:cs="Arial" w:ascii="Arial Narrow" w:hAnsi="Arial Narrow"/>
          <w:iCs/>
          <w:sz w:val="22"/>
          <w:szCs w:val="22"/>
        </w:rPr>
        <w:t xml:space="preserve"> машина, материал и</w:t>
      </w:r>
      <w:r>
        <w:rPr>
          <w:rFonts w:cs="Arial" w:ascii="Arial Narrow" w:hAnsi="Arial Narrow"/>
          <w:iCs/>
          <w:sz w:val="22"/>
          <w:szCs w:val="22"/>
          <w:lang w:val="bg-BG"/>
        </w:rPr>
        <w:t>ли</w:t>
      </w:r>
      <w:r>
        <w:rPr>
          <w:rFonts w:cs="Arial" w:ascii="Arial Narrow" w:hAnsi="Arial Narrow"/>
          <w:iCs/>
          <w:sz w:val="22"/>
          <w:szCs w:val="22"/>
        </w:rPr>
        <w:t xml:space="preserve"> система. </w:t>
      </w:r>
      <w:r>
        <w:rPr>
          <w:rFonts w:cs="Arial" w:ascii="Arial Narrow" w:hAnsi="Arial Narrow"/>
          <w:iCs/>
          <w:sz w:val="22"/>
          <w:szCs w:val="22"/>
          <w:lang w:val="bg-BG"/>
        </w:rPr>
        <w:t>Това се отчита във формата за коригиращи действия.</w:t>
      </w:r>
    </w:p>
    <w:p>
      <w:pPr>
        <w:pStyle w:val="Normal"/>
        <w:widowControl/>
        <w:numPr>
          <w:ilvl w:val="0"/>
          <w:numId w:val="13"/>
        </w:numPr>
        <w:tabs>
          <w:tab w:val="clear" w:pos="720"/>
          <w:tab w:val="left" w:pos="1440" w:leader="none"/>
        </w:tabs>
        <w:spacing w:before="80" w:after="0"/>
        <w:ind w:hanging="360" w:start="144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Функционалн</w:t>
      </w:r>
      <w:r>
        <w:rPr>
          <w:rFonts w:cs="Arial" w:ascii="Arial Narrow" w:hAnsi="Arial Narrow"/>
          <w:iCs/>
          <w:sz w:val="22"/>
          <w:szCs w:val="22"/>
          <w:lang w:val="bg-BG"/>
        </w:rPr>
        <w:t>ите</w:t>
      </w:r>
      <w:r>
        <w:rPr>
          <w:rFonts w:cs="Arial" w:ascii="Arial Narrow" w:hAnsi="Arial Narrow"/>
          <w:iCs/>
          <w:sz w:val="22"/>
          <w:szCs w:val="22"/>
        </w:rPr>
        <w:t xml:space="preserve"> ръководител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оцен</w:t>
      </w:r>
      <w:r>
        <w:rPr>
          <w:rFonts w:cs="Arial" w:ascii="Arial Narrow" w:hAnsi="Arial Narrow"/>
          <w:iCs/>
          <w:sz w:val="22"/>
          <w:szCs w:val="22"/>
          <w:lang w:val="bg-BG"/>
        </w:rPr>
        <w:t>яват</w:t>
      </w:r>
      <w:r>
        <w:rPr>
          <w:rFonts w:cs="Arial" w:ascii="Arial Narrow" w:hAnsi="Arial Narrow"/>
          <w:iCs/>
          <w:sz w:val="22"/>
          <w:szCs w:val="22"/>
        </w:rPr>
        <w:t xml:space="preserve"> необходимостта да се предприемат действия. </w:t>
      </w:r>
      <w:r>
        <w:rPr>
          <w:rFonts w:cs="Arial" w:ascii="Arial Narrow" w:hAnsi="Arial Narrow"/>
          <w:iCs/>
          <w:sz w:val="22"/>
          <w:szCs w:val="22"/>
          <w:lang w:val="bg-BG"/>
        </w:rPr>
        <w:t>П</w:t>
      </w:r>
      <w:r>
        <w:rPr>
          <w:rFonts w:cs="Arial" w:ascii="Arial Narrow" w:hAnsi="Arial Narrow"/>
          <w:iCs/>
          <w:sz w:val="22"/>
          <w:szCs w:val="22"/>
        </w:rPr>
        <w:t>отенциалн</w:t>
      </w:r>
      <w:r>
        <w:rPr>
          <w:rFonts w:cs="Arial" w:ascii="Arial Narrow" w:hAnsi="Arial Narrow"/>
          <w:iCs/>
          <w:sz w:val="22"/>
          <w:szCs w:val="22"/>
          <w:lang w:val="bg-BG"/>
        </w:rPr>
        <w:t>ите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</w:t>
      </w:r>
      <w:r>
        <w:rPr>
          <w:rFonts w:cs="Arial" w:ascii="Arial Narrow" w:hAnsi="Arial Narrow"/>
          <w:iCs/>
          <w:sz w:val="22"/>
          <w:szCs w:val="22"/>
          <w:lang w:val="bg-BG"/>
        </w:rPr>
        <w:t>я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са</w:t>
      </w:r>
      <w:r>
        <w:rPr>
          <w:rFonts w:cs="Arial" w:ascii="Arial Narrow" w:hAnsi="Arial Narrow"/>
          <w:iCs/>
          <w:sz w:val="22"/>
          <w:szCs w:val="22"/>
        </w:rPr>
        <w:t xml:space="preserve"> свързан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с енергийната ефективност. За малка до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 минимална</w:t>
      </w:r>
      <w:r>
        <w:rPr>
          <w:rFonts w:cs="Arial" w:ascii="Arial Narrow" w:hAnsi="Arial Narrow"/>
          <w:iCs/>
          <w:sz w:val="22"/>
          <w:szCs w:val="22"/>
        </w:rPr>
        <w:t xml:space="preserve"> случайн</w:t>
      </w:r>
      <w:r>
        <w:rPr>
          <w:rFonts w:cs="Arial" w:ascii="Arial Narrow" w:hAnsi="Arial Narrow"/>
          <w:iCs/>
          <w:sz w:val="22"/>
          <w:szCs w:val="22"/>
          <w:lang w:val="bg-BG"/>
        </w:rPr>
        <w:t>ост от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несъответствие не се вземат мерки за защита,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1440" w:leader="none"/>
          <w:tab w:val="left" w:pos="2520" w:leader="none"/>
        </w:tabs>
        <w:ind w:hanging="360" w:start="1440" w:end="0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 xml:space="preserve">Формулярът за </w:t>
      </w:r>
      <w:r>
        <w:rPr>
          <w:rFonts w:cs="Arial" w:ascii="Arial Narrow" w:hAnsi="Arial Narrow"/>
          <w:iCs/>
          <w:sz w:val="22"/>
          <w:szCs w:val="22"/>
          <w:lang w:val="bg-BG"/>
        </w:rPr>
        <w:t>корективни</w:t>
      </w:r>
      <w:r>
        <w:rPr>
          <w:rFonts w:cs="Arial" w:ascii="Arial Narrow" w:hAnsi="Arial Narrow"/>
          <w:iCs/>
          <w:sz w:val="22"/>
          <w:szCs w:val="22"/>
        </w:rPr>
        <w:t xml:space="preserve"> действия се изпраща на </w:t>
      </w:r>
      <w:r>
        <w:rPr>
          <w:rFonts w:cs="Arial" w:ascii="Arial Narrow" w:hAnsi="Arial Narrow"/>
          <w:iCs/>
          <w:sz w:val="22"/>
          <w:szCs w:val="22"/>
          <w:lang w:val="bg-BG"/>
        </w:rPr>
        <w:t>представителя на ръководството</w:t>
      </w:r>
      <w:r>
        <w:rPr>
          <w:rFonts w:cs="Arial" w:ascii="Arial Narrow" w:hAnsi="Arial Narrow"/>
          <w:iCs/>
          <w:sz w:val="22"/>
          <w:szCs w:val="22"/>
        </w:rPr>
        <w:t xml:space="preserve"> след </w:t>
      </w:r>
      <w:r>
        <w:rPr>
          <w:rFonts w:cs="Arial" w:ascii="Arial Narrow" w:hAnsi="Arial Narrow"/>
          <w:iCs/>
          <w:sz w:val="22"/>
          <w:szCs w:val="22"/>
          <w:lang w:val="bg-BG"/>
        </w:rPr>
        <w:t>като бъде оформен</w:t>
      </w:r>
      <w:r>
        <w:rPr>
          <w:rFonts w:cs="Arial" w:ascii="Arial Narrow" w:hAnsi="Arial Narrow"/>
          <w:iCs/>
          <w:sz w:val="22"/>
          <w:szCs w:val="22"/>
        </w:rPr>
        <w:t xml:space="preserve">. Той </w:t>
      </w:r>
      <w:r>
        <w:rPr>
          <w:rFonts w:cs="Arial" w:ascii="Arial Narrow" w:hAnsi="Arial Narrow"/>
          <w:iCs/>
          <w:sz w:val="22"/>
          <w:szCs w:val="22"/>
          <w:lang w:val="bg-BG"/>
        </w:rPr>
        <w:t>го одобрява и го изпраща за преглед от ръководството.</w:t>
      </w:r>
    </w:p>
    <w:p>
      <w:pPr>
        <w:pStyle w:val="Normal"/>
        <w:widowControl/>
        <w:tabs>
          <w:tab w:val="clear" w:pos="720"/>
          <w:tab w:val="left" w:pos="1080" w:leader="none"/>
        </w:tabs>
        <w:spacing w:before="80" w:after="0"/>
        <w:ind w:start="1080" w:end="-14"/>
        <w:jc w:val="both"/>
        <w:rPr>
          <w:rFonts w:ascii="Arial Narrow" w:hAnsi="Arial Narrow" w:cs="Arial"/>
          <w:b/>
          <w:iCs/>
          <w:sz w:val="22"/>
          <w:szCs w:val="22"/>
          <w:lang w:val="bg-BG"/>
        </w:rPr>
      </w:pPr>
      <w:r>
        <w:rPr>
          <w:rFonts w:cs="Arial" w:ascii="Arial Narrow" w:hAnsi="Arial Narrow"/>
          <w:iCs/>
          <w:sz w:val="22"/>
          <w:szCs w:val="22"/>
          <w:lang w:val="bg-BG"/>
        </w:rPr>
        <w:t>В</w:t>
      </w:r>
      <w:r>
        <w:rPr>
          <w:rFonts w:cs="Arial" w:ascii="Arial Narrow" w:hAnsi="Arial Narrow"/>
          <w:iCs/>
          <w:sz w:val="22"/>
          <w:szCs w:val="22"/>
        </w:rPr>
        <w:t xml:space="preserve">сички </w:t>
      </w:r>
      <w:r>
        <w:rPr>
          <w:rFonts w:cs="Arial" w:ascii="Arial Narrow" w:hAnsi="Arial Narrow"/>
          <w:iCs/>
          <w:sz w:val="22"/>
          <w:szCs w:val="22"/>
          <w:lang w:val="bg-BG"/>
        </w:rPr>
        <w:t>извършени действия по одита</w:t>
      </w:r>
      <w:r>
        <w:rPr>
          <w:rFonts w:cs="Arial" w:ascii="Arial Narrow" w:hAnsi="Arial Narrow"/>
          <w:iCs/>
          <w:sz w:val="22"/>
          <w:szCs w:val="22"/>
        </w:rPr>
        <w:t xml:space="preserve"> (както вътрешни, така и външни) 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се </w:t>
      </w:r>
      <w:r>
        <w:rPr>
          <w:rFonts w:cs="Arial" w:ascii="Arial Narrow" w:hAnsi="Arial Narrow"/>
          <w:iCs/>
          <w:sz w:val="22"/>
          <w:szCs w:val="22"/>
        </w:rPr>
        <w:t>запис</w:t>
      </w:r>
      <w:r>
        <w:rPr>
          <w:rFonts w:cs="Arial" w:ascii="Arial Narrow" w:hAnsi="Arial Narrow"/>
          <w:iCs/>
          <w:sz w:val="22"/>
          <w:szCs w:val="22"/>
          <w:lang w:val="bg-BG"/>
        </w:rPr>
        <w:t>ват</w:t>
      </w:r>
      <w:r>
        <w:rPr>
          <w:rFonts w:cs="Arial" w:ascii="Arial Narrow" w:hAnsi="Arial Narrow"/>
          <w:iCs/>
          <w:sz w:val="22"/>
          <w:szCs w:val="22"/>
        </w:rPr>
        <w:t xml:space="preserve"> в </w:t>
      </w:r>
      <w:r>
        <w:rPr>
          <w:rFonts w:cs="Arial" w:ascii="Arial Narrow" w:hAnsi="Arial Narrow"/>
          <w:iCs/>
          <w:sz w:val="22"/>
          <w:szCs w:val="22"/>
          <w:lang w:val="bg-BG"/>
        </w:rPr>
        <w:t>отделна форма.</w:t>
      </w:r>
    </w:p>
    <w:p>
      <w:pPr>
        <w:pStyle w:val="Normal"/>
        <w:widowControl/>
        <w:numPr>
          <w:ilvl w:val="1"/>
          <w:numId w:val="9"/>
        </w:numPr>
        <w:tabs>
          <w:tab w:val="clear" w:pos="720"/>
          <w:tab w:val="left" w:pos="1080" w:leader="none"/>
        </w:tabs>
        <w:spacing w:before="80" w:after="0"/>
        <w:ind w:hanging="1080" w:start="1080" w:end="-14"/>
        <w:jc w:val="both"/>
        <w:rPr>
          <w:rFonts w:ascii="Arial Narrow" w:hAnsi="Arial Narrow" w:cs="Arial"/>
          <w:b/>
          <w:iCs/>
          <w:sz w:val="22"/>
          <w:szCs w:val="22"/>
        </w:rPr>
      </w:pPr>
      <w:r>
        <w:rPr>
          <w:rFonts w:cs="Arial" w:ascii="Arial Narrow" w:hAnsi="Arial Narrow"/>
          <w:b/>
          <w:iCs/>
          <w:sz w:val="22"/>
          <w:szCs w:val="22"/>
          <w:lang w:val="bg-BG"/>
        </w:rPr>
        <w:t>Последващи действия</w:t>
      </w:r>
    </w:p>
    <w:p>
      <w:pPr>
        <w:pStyle w:val="Normal"/>
        <w:tabs>
          <w:tab w:val="clear" w:pos="720"/>
          <w:tab w:val="left" w:pos="1080" w:leader="none"/>
        </w:tabs>
        <w:spacing w:before="100" w:after="0"/>
        <w:ind w:hanging="1080" w:start="1080" w:end="-14"/>
        <w:jc w:val="both"/>
        <w:rPr>
          <w:rFonts w:ascii="Arial Narrow" w:hAnsi="Arial Narrow" w:cs="Arial"/>
          <w:iCs/>
          <w:sz w:val="22"/>
          <w:szCs w:val="22"/>
          <w:lang w:val="bg-BG"/>
        </w:rPr>
      </w:pPr>
      <w:r>
        <w:rPr>
          <w:rFonts w:cs="Arial" w:ascii="Arial Narrow" w:hAnsi="Arial Narrow"/>
          <w:iCs/>
          <w:sz w:val="22"/>
          <w:szCs w:val="22"/>
        </w:rPr>
        <w:t>4.16.1</w:t>
        <w:tab/>
        <w:t xml:space="preserve">Последващ мониторинг се извършва от </w:t>
      </w:r>
      <w:r>
        <w:rPr>
          <w:rFonts w:cs="Arial" w:ascii="Arial Narrow" w:hAnsi="Arial Narrow"/>
          <w:iCs/>
          <w:sz w:val="22"/>
          <w:szCs w:val="22"/>
          <w:lang w:val="bg-BG"/>
        </w:rPr>
        <w:t>представителя на ръководството</w:t>
      </w:r>
      <w:r>
        <w:rPr>
          <w:rFonts w:cs="Arial" w:ascii="Arial Narrow" w:hAnsi="Arial Narrow"/>
          <w:iCs/>
          <w:sz w:val="22"/>
          <w:szCs w:val="22"/>
        </w:rPr>
        <w:t>, енерги</w:t>
      </w:r>
      <w:r>
        <w:rPr>
          <w:rFonts w:cs="Arial" w:ascii="Arial Narrow" w:hAnsi="Arial Narrow"/>
          <w:iCs/>
          <w:sz w:val="22"/>
          <w:szCs w:val="22"/>
          <w:lang w:val="bg-BG"/>
        </w:rPr>
        <w:t>йния</w:t>
      </w:r>
      <w:r>
        <w:rPr>
          <w:rFonts w:cs="Arial" w:ascii="Arial Narrow" w:hAnsi="Arial Narrow"/>
          <w:iCs/>
          <w:sz w:val="22"/>
          <w:szCs w:val="22"/>
        </w:rPr>
        <w:t xml:space="preserve"> мениджър / </w:t>
      </w:r>
      <w:r>
        <w:rPr>
          <w:rFonts w:cs="Arial" w:ascii="Arial Narrow" w:hAnsi="Arial Narrow"/>
          <w:iCs/>
          <w:sz w:val="22"/>
          <w:szCs w:val="22"/>
          <w:lang w:val="bg-BG"/>
        </w:rPr>
        <w:t>ф</w:t>
      </w:r>
      <w:r>
        <w:rPr>
          <w:rFonts w:cs="Arial" w:ascii="Arial Narrow" w:hAnsi="Arial Narrow"/>
          <w:iCs/>
          <w:sz w:val="22"/>
          <w:szCs w:val="22"/>
        </w:rPr>
        <w:t>ункционални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ръководители или т</w:t>
      </w:r>
      <w:r>
        <w:rPr>
          <w:rFonts w:cs="Arial" w:ascii="Arial Narrow" w:hAnsi="Arial Narrow"/>
          <w:iCs/>
          <w:sz w:val="22"/>
          <w:szCs w:val="22"/>
          <w:lang w:val="bg-BG"/>
        </w:rPr>
        <w:t>ехен</w:t>
      </w:r>
      <w:r>
        <w:rPr>
          <w:rFonts w:cs="Arial" w:ascii="Arial Narrow" w:hAnsi="Arial Narrow"/>
          <w:iCs/>
          <w:sz w:val="22"/>
          <w:szCs w:val="22"/>
        </w:rPr>
        <w:t xml:space="preserve"> назначен представител, за да се удостовери, че коригиращи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действия, са изпълнени и </w:t>
      </w:r>
      <w:r>
        <w:rPr>
          <w:rFonts w:cs="Arial" w:ascii="Arial Narrow" w:hAnsi="Arial Narrow"/>
          <w:iCs/>
          <w:sz w:val="22"/>
          <w:szCs w:val="22"/>
          <w:lang w:val="bg-BG"/>
        </w:rPr>
        <w:t>са постигнати желаните цели.</w:t>
      </w:r>
    </w:p>
    <w:p>
      <w:pPr>
        <w:pStyle w:val="Normal"/>
        <w:widowControl/>
        <w:numPr>
          <w:ilvl w:val="2"/>
          <w:numId w:val="10"/>
        </w:numPr>
        <w:tabs>
          <w:tab w:val="clear" w:pos="720"/>
          <w:tab w:val="left" w:pos="1080" w:leader="none"/>
        </w:tabs>
        <w:spacing w:before="100" w:after="0"/>
        <w:ind w:hanging="1080" w:start="1080" w:end="-14"/>
        <w:jc w:val="both"/>
        <w:rPr>
          <w:rFonts w:ascii="Arial Narrow" w:hAnsi="Arial Narrow" w:cs="Arial"/>
          <w:iCs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Ако резултатите не са задоволителни, нов</w:t>
      </w:r>
      <w:r>
        <w:rPr>
          <w:rFonts w:cs="Arial" w:ascii="Arial Narrow" w:hAnsi="Arial Narrow"/>
          <w:iCs/>
          <w:sz w:val="22"/>
          <w:szCs w:val="22"/>
          <w:lang w:val="bg-BG"/>
        </w:rPr>
        <w:t>ото</w:t>
      </w:r>
      <w:r>
        <w:rPr>
          <w:rFonts w:cs="Arial" w:ascii="Arial Narrow" w:hAnsi="Arial Narrow"/>
          <w:iCs/>
          <w:sz w:val="22"/>
          <w:szCs w:val="22"/>
        </w:rPr>
        <w:t xml:space="preserve"> несъответствие се </w:t>
      </w:r>
      <w:r>
        <w:rPr>
          <w:rFonts w:cs="Arial" w:ascii="Arial Narrow" w:hAnsi="Arial Narrow"/>
          <w:iCs/>
          <w:sz w:val="22"/>
          <w:szCs w:val="22"/>
          <w:lang w:val="bg-BG"/>
        </w:rPr>
        <w:t>разглежда</w:t>
      </w:r>
      <w:r>
        <w:rPr>
          <w:rFonts w:cs="Arial" w:ascii="Arial Narrow" w:hAnsi="Arial Narrow"/>
          <w:iCs/>
          <w:sz w:val="22"/>
          <w:szCs w:val="22"/>
        </w:rPr>
        <w:t xml:space="preserve"> по тази процедура.</w:t>
      </w:r>
    </w:p>
    <w:p>
      <w:pPr>
        <w:pStyle w:val="Normal"/>
        <w:widowControl/>
        <w:numPr>
          <w:ilvl w:val="1"/>
          <w:numId w:val="9"/>
        </w:numPr>
        <w:tabs>
          <w:tab w:val="clear" w:pos="720"/>
          <w:tab w:val="left" w:pos="1080" w:leader="none"/>
        </w:tabs>
        <w:spacing w:before="80" w:after="0"/>
        <w:ind w:hanging="1080" w:start="1080" w:end="-14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  <w:lang w:val="bg-BG"/>
        </w:rPr>
        <w:t>Представителят на ръководството</w:t>
      </w:r>
      <w:r>
        <w:rPr>
          <w:rFonts w:cs="Arial" w:ascii="Arial Narrow" w:hAnsi="Arial Narrow"/>
          <w:iCs/>
          <w:sz w:val="22"/>
          <w:szCs w:val="22"/>
        </w:rPr>
        <w:t xml:space="preserve">, 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енергийният мениджър правят оценка на </w:t>
      </w:r>
      <w:r>
        <w:rPr>
          <w:rFonts w:cs="Arial" w:ascii="Arial Narrow" w:hAnsi="Arial Narrow"/>
          <w:iCs/>
          <w:sz w:val="22"/>
          <w:szCs w:val="22"/>
        </w:rPr>
        <w:t xml:space="preserve"> ефективността на коригиращи</w:t>
      </w:r>
      <w:r>
        <w:rPr>
          <w:rFonts w:cs="Arial" w:ascii="Arial Narrow" w:hAnsi="Arial Narrow"/>
          <w:iCs/>
          <w:sz w:val="22"/>
          <w:szCs w:val="22"/>
          <w:lang w:val="bg-BG"/>
        </w:rPr>
        <w:t>те</w:t>
      </w:r>
      <w:r>
        <w:rPr>
          <w:rFonts w:cs="Arial" w:ascii="Arial Narrow" w:hAnsi="Arial Narrow"/>
          <w:iCs/>
          <w:sz w:val="22"/>
          <w:szCs w:val="22"/>
        </w:rPr>
        <w:t xml:space="preserve"> действия</w:t>
      </w:r>
      <w:r>
        <w:rPr>
          <w:rFonts w:cs="Arial" w:ascii="Arial Narrow" w:hAnsi="Arial Narrow"/>
          <w:iCs/>
          <w:sz w:val="22"/>
          <w:szCs w:val="22"/>
          <w:lang w:val="bg-BG"/>
        </w:rPr>
        <w:t>.</w:t>
      </w:r>
    </w:p>
    <w:p>
      <w:pPr>
        <w:pStyle w:val="Normal"/>
        <w:widowControl/>
        <w:numPr>
          <w:ilvl w:val="1"/>
          <w:numId w:val="9"/>
        </w:numPr>
        <w:tabs>
          <w:tab w:val="clear" w:pos="720"/>
          <w:tab w:val="left" w:pos="1080" w:leader="none"/>
        </w:tabs>
        <w:spacing w:before="80" w:after="0"/>
        <w:ind w:hanging="1080" w:start="1080" w:end="-14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iCs/>
          <w:sz w:val="22"/>
          <w:szCs w:val="22"/>
        </w:rPr>
        <w:t>Ако са необходими съществени промени в няко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от съответните документи чрез коригиращи действия, тогава </w:t>
      </w:r>
      <w:r>
        <w:rPr>
          <w:rFonts w:cs="Arial" w:ascii="Arial Narrow" w:hAnsi="Arial Narrow"/>
          <w:iCs/>
          <w:sz w:val="22"/>
          <w:szCs w:val="22"/>
          <w:lang w:val="bg-BG"/>
        </w:rPr>
        <w:t xml:space="preserve">те </w:t>
      </w:r>
      <w:r>
        <w:rPr>
          <w:rFonts w:cs="Arial" w:ascii="Arial Narrow" w:hAnsi="Arial Narrow"/>
          <w:iCs/>
          <w:sz w:val="22"/>
          <w:szCs w:val="22"/>
        </w:rPr>
        <w:t>трябва да бъд</w:t>
      </w:r>
      <w:r>
        <w:rPr>
          <w:rFonts w:cs="Arial" w:ascii="Arial Narrow" w:hAnsi="Arial Narrow"/>
          <w:iCs/>
          <w:sz w:val="22"/>
          <w:szCs w:val="22"/>
          <w:lang w:val="bg-BG"/>
        </w:rPr>
        <w:t>ат</w:t>
      </w:r>
      <w:r>
        <w:rPr>
          <w:rFonts w:cs="Arial" w:ascii="Arial Narrow" w:hAnsi="Arial Narrow"/>
          <w:iCs/>
          <w:sz w:val="22"/>
          <w:szCs w:val="22"/>
        </w:rPr>
        <w:t xml:space="preserve"> направен</w:t>
      </w:r>
      <w:r>
        <w:rPr>
          <w:rFonts w:cs="Arial" w:ascii="Arial Narrow" w:hAnsi="Arial Narrow"/>
          <w:iCs/>
          <w:sz w:val="22"/>
          <w:szCs w:val="22"/>
          <w:lang w:val="bg-BG"/>
        </w:rPr>
        <w:t>и</w:t>
      </w:r>
      <w:r>
        <w:rPr>
          <w:rFonts w:cs="Arial" w:ascii="Arial Narrow" w:hAnsi="Arial Narrow"/>
          <w:iCs/>
          <w:sz w:val="22"/>
          <w:szCs w:val="22"/>
        </w:rPr>
        <w:t xml:space="preserve"> съгласно процедура </w:t>
      </w:r>
      <w:r>
        <w:rPr>
          <w:rFonts w:cs="Arial" w:ascii="Arial Narrow" w:hAnsi="Arial Narrow"/>
          <w:iCs/>
          <w:sz w:val="22"/>
          <w:szCs w:val="22"/>
          <w:lang w:val="bg-BG"/>
        </w:rPr>
        <w:t>за контрол на</w:t>
      </w:r>
      <w:r>
        <w:rPr>
          <w:rFonts w:cs="Arial" w:ascii="Arial Narrow" w:hAnsi="Arial Narrow"/>
          <w:iCs/>
          <w:sz w:val="22"/>
          <w:szCs w:val="22"/>
        </w:rPr>
        <w:t xml:space="preserve"> </w:t>
      </w:r>
      <w:r>
        <w:rPr>
          <w:rFonts w:cs="Arial" w:ascii="Arial Narrow" w:hAnsi="Arial Narrow"/>
          <w:iCs/>
          <w:sz w:val="22"/>
          <w:szCs w:val="22"/>
          <w:lang w:val="bg-BG"/>
        </w:rPr>
        <w:t>документираната информация.</w:t>
      </w:r>
    </w:p>
    <w:p>
      <w:pPr>
        <w:pStyle w:val="Normal"/>
        <w:widowControl/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rFonts w:ascii="Arial Narrow" w:hAnsi="Arial Narrow" w:cs="Arial"/>
          <w:sz w:val="22"/>
          <w:szCs w:val="22"/>
          <w:lang w:val="bg-BG"/>
        </w:rPr>
      </w:pPr>
      <w:r>
        <w:rPr>
          <w:rFonts w:cs="Arial" w:ascii="Arial Narrow" w:hAnsi="Arial Narrow"/>
          <w:b/>
          <w:sz w:val="22"/>
          <w:szCs w:val="22"/>
        </w:rPr>
        <w:t>5.0</w:t>
        <w:tab/>
      </w:r>
      <w:r>
        <w:rPr>
          <w:rFonts w:cs="Arial" w:ascii="Arial Narrow" w:hAnsi="Arial Narrow"/>
          <w:b/>
          <w:sz w:val="22"/>
          <w:szCs w:val="22"/>
          <w:lang w:val="bg-BG"/>
        </w:rPr>
        <w:t>Справка</w:t>
      </w:r>
    </w:p>
    <w:p>
      <w:pPr>
        <w:pStyle w:val="Normal"/>
        <w:widowControl/>
        <w:numPr>
          <w:ilvl w:val="1"/>
          <w:numId w:val="6"/>
        </w:numPr>
        <w:tabs>
          <w:tab w:val="clear" w:pos="720"/>
          <w:tab w:val="left" w:pos="2880" w:leader="none"/>
        </w:tabs>
        <w:spacing w:before="120" w:after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Енергийна политика</w:t>
      </w:r>
    </w:p>
    <w:p>
      <w:pPr>
        <w:pStyle w:val="Normal"/>
        <w:widowControl/>
        <w:numPr>
          <w:ilvl w:val="1"/>
          <w:numId w:val="6"/>
        </w:numPr>
        <w:tabs>
          <w:tab w:val="clear" w:pos="720"/>
          <w:tab w:val="left" w:pos="2880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Вътрешен одит на енергийната система</w:t>
      </w:r>
    </w:p>
    <w:p>
      <w:pPr>
        <w:pStyle w:val="Normal"/>
        <w:widowControl/>
        <w:numPr>
          <w:ilvl w:val="1"/>
          <w:numId w:val="6"/>
        </w:numPr>
        <w:tabs>
          <w:tab w:val="clear" w:pos="720"/>
          <w:tab w:val="left" w:pos="2880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/>
        </w:rPr>
        <w:t>Контрол на документираната информация</w:t>
      </w:r>
      <w:r>
        <w:rPr>
          <w:rFonts w:cs="Arial" w:ascii="Arial Narrow" w:hAnsi="Arial Narrow"/>
          <w:b/>
          <w:sz w:val="22"/>
          <w:szCs w:val="22"/>
        </w:rPr>
        <w:tab/>
      </w:r>
      <w:r>
        <w:rPr>
          <w:rFonts w:cs="Arial" w:ascii="Arial Narrow" w:hAnsi="Arial Narrow"/>
          <w:sz w:val="22"/>
          <w:szCs w:val="22"/>
        </w:rPr>
        <w:t xml:space="preserve"> </w:t>
      </w:r>
    </w:p>
    <w:p>
      <w:pPr>
        <w:pStyle w:val="Normal"/>
        <w:widowControl/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/>
      </w:pPr>
      <w:r>
        <w:rPr>
          <w:rFonts w:cs="Arial" w:ascii="Arial Narrow" w:hAnsi="Arial Narrow"/>
          <w:b/>
          <w:sz w:val="22"/>
          <w:szCs w:val="22"/>
          <w:lang w:val="bg-BG"/>
        </w:rPr>
        <w:t>6</w:t>
      </w:r>
      <w:r>
        <w:rPr>
          <w:rFonts w:cs="Arial" w:ascii="Arial Narrow" w:hAnsi="Arial Narrow"/>
          <w:b/>
          <w:sz w:val="22"/>
          <w:szCs w:val="22"/>
        </w:rPr>
        <w:t>.0</w:t>
        <w:tab/>
      </w:r>
      <w:r>
        <w:rPr>
          <w:rFonts w:cs="Arial" w:ascii="Arial Narrow" w:hAnsi="Arial Narrow"/>
          <w:b/>
          <w:sz w:val="22"/>
          <w:szCs w:val="22"/>
          <w:lang w:val="bg-BG"/>
        </w:rPr>
        <w:t>Формати/Образци</w:t>
      </w:r>
      <w:r>
        <w:rPr>
          <w:rFonts w:cs="Arial" w:ascii="Arial Narrow" w:hAnsi="Arial Narrow"/>
          <w:sz w:val="22"/>
          <w:szCs w:val="22"/>
        </w:rPr>
        <w:t xml:space="preserve"> </w:t>
      </w:r>
    </w:p>
    <w:p>
      <w:pPr>
        <w:pStyle w:val="BodyTextIndent"/>
        <w:numPr>
          <w:ilvl w:val="1"/>
          <w:numId w:val="11"/>
        </w:numPr>
        <w:tabs>
          <w:tab w:val="left" w:pos="2880" w:leader="none"/>
        </w:tabs>
        <w:spacing w:lineRule="auto" w:line="240" w:before="120" w:after="0"/>
        <w:rPr>
          <w:rFonts w:ascii="Arial Narrow" w:hAnsi="Arial Narrow" w:cs="Arial"/>
          <w:sz w:val="22"/>
          <w:szCs w:val="22"/>
        </w:rPr>
      </w:pPr>
      <w:r>
        <w:rPr>
          <w:rFonts w:cs="Arial Narrow" w:ascii="Arial Narrow" w:hAnsi="Arial Narrow"/>
          <w:sz w:val="22"/>
          <w:lang w:val="bg-BG"/>
        </w:rPr>
        <w:t xml:space="preserve">ФЕУ 04.1  </w:t>
      </w:r>
      <w:r>
        <w:rPr>
          <w:rFonts w:cs="Arial" w:ascii="Arial Narrow" w:hAnsi="Arial Narrow"/>
          <w:sz w:val="22"/>
          <w:szCs w:val="22"/>
        </w:rPr>
        <w:t>Доклад за енергийни инциденти и несъответствия</w:t>
      </w:r>
    </w:p>
    <w:p>
      <w:pPr>
        <w:pStyle w:val="BodyTextIndent"/>
        <w:numPr>
          <w:ilvl w:val="1"/>
          <w:numId w:val="11"/>
        </w:numPr>
        <w:tabs>
          <w:tab w:val="left" w:pos="2880" w:leader="none"/>
        </w:tabs>
        <w:spacing w:lineRule="auto" w:line="240" w:before="0" w:after="0"/>
        <w:rPr>
          <w:rFonts w:ascii="Arial Narrow" w:hAnsi="Arial Narrow" w:cs="Arial"/>
          <w:sz w:val="22"/>
          <w:szCs w:val="22"/>
        </w:rPr>
      </w:pPr>
      <w:r>
        <w:rPr>
          <w:rFonts w:cs="Arial Narrow" w:ascii="Arial Narrow" w:hAnsi="Arial Narrow"/>
          <w:sz w:val="22"/>
          <w:lang w:val="bg-BG"/>
        </w:rPr>
        <w:t xml:space="preserve">ФЕУ 04.2  </w:t>
      </w:r>
      <w:r>
        <w:rPr>
          <w:rFonts w:cs="Arial" w:ascii="Arial Narrow" w:hAnsi="Arial Narrow"/>
          <w:sz w:val="22"/>
          <w:szCs w:val="22"/>
          <w:lang w:val="bg-BG"/>
        </w:rPr>
        <w:t>Доклад за коригиращи действия</w:t>
      </w:r>
    </w:p>
    <w:p>
      <w:pPr>
        <w:pStyle w:val="BodyTextIndent"/>
        <w:numPr>
          <w:ilvl w:val="1"/>
          <w:numId w:val="11"/>
        </w:numPr>
        <w:tabs>
          <w:tab w:val="left" w:pos="2880" w:leader="none"/>
        </w:tabs>
        <w:spacing w:lineRule="auto" w:line="240" w:before="0" w:after="0"/>
        <w:rPr>
          <w:rFonts w:ascii="Arial Narrow" w:hAnsi="Arial Narrow" w:cs="Arial"/>
          <w:sz w:val="22"/>
          <w:szCs w:val="22"/>
        </w:rPr>
      </w:pPr>
      <w:r>
        <w:rPr>
          <w:rFonts w:cs="Arial Narrow" w:ascii="Arial Narrow" w:hAnsi="Arial Narrow"/>
          <w:sz w:val="22"/>
          <w:lang w:val="bg-BG"/>
        </w:rPr>
        <w:t xml:space="preserve">ФЕУ 04.3 </w:t>
      </w:r>
      <w:r>
        <w:rPr>
          <w:rFonts w:cs="Arial" w:ascii="Arial Narrow" w:hAnsi="Arial Narrow"/>
          <w:sz w:val="22"/>
          <w:szCs w:val="22"/>
        </w:rPr>
        <w:t xml:space="preserve"> Регистър на несъответствията</w:t>
      </w:r>
    </w:p>
    <w:sectPr>
      <w:footerReference w:type="default" r:id="rId2"/>
      <w:type w:val="nextPage"/>
      <w:pgSz w:w="11906" w:h="16838"/>
      <w:pgMar w:left="950" w:right="950" w:gutter="0" w:header="0" w:top="567" w:footer="720" w:bottom="95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onotype Sorts">
    <w:altName w:val="Symbol"/>
    <w:charset w:val="0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jc w:val="center"/>
      <w:outlineLvl w:val="0"/>
      <w:rPr>
        <w:rFonts w:ascii="Calibri" w:hAnsi="Calibri" w:eastAsia="SimSun;宋体" w:cs="Calibri"/>
        <w:bCs/>
        <w:sz w:val="22"/>
        <w:lang w:val="bg-BG"/>
      </w:rPr>
    </w:pPr>
    <w:r>
      <w:rPr>
        <w:rFonts w:cs="Arial Narrow" w:ascii="Arial Narrow" w:hAnsi="Arial Narrow"/>
        <w:sz w:val="24"/>
        <w:lang w:val="bg-BG"/>
      </w:rPr>
      <w:t>ПЕУ 04</w:t>
      <w:tab/>
      <w:tab/>
      <w:tab/>
      <w:tab/>
      <w:t>Версия: 01</w:t>
      <w:tab/>
      <w:tab/>
      <w:tab/>
      <w:t>Дата на изд.: 09.06.2024г</w:t>
    </w:r>
  </w:p>
  <w:p>
    <w:pPr>
      <w:pStyle w:val="Normal"/>
      <w:rPr>
        <w:rFonts w:ascii="Calibri" w:hAnsi="Calibri" w:eastAsia="SimSun;宋体" w:cs="Calibri"/>
        <w:bCs/>
        <w:sz w:val="4"/>
        <w:lang w:val="bg-BG"/>
      </w:rPr>
    </w:pPr>
    <w:r>
      <w:rPr>
        <w:rFonts w:eastAsia="SimSun;宋体" w:cs="Calibri" w:ascii="Calibri" w:hAnsi="Calibri"/>
        <w:bCs/>
        <w:sz w:val="4"/>
        <w:lang w:val="bg-BG"/>
      </w:rPr>
    </w:r>
  </w:p>
  <w:p>
    <w:pPr>
      <w:pStyle w:val="Footer"/>
      <w:widowControl/>
      <w:rPr>
        <w:sz w:val="2"/>
      </w:rPr>
    </w:pPr>
    <w:r>
      <w:rPr>
        <w:sz w:val="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decimal"/>
      <w:lvlText w:val="%1.0"/>
      <w:lvlJc w:val="start"/>
      <w:pPr>
        <w:tabs>
          <w:tab w:val="num" w:pos="1080"/>
        </w:tabs>
        <w:ind w:start="1080" w:hanging="1080"/>
      </w:pPr>
      <w:rPr/>
    </w:lvl>
    <w:lvl w:ilvl="1">
      <w:start w:val="1"/>
      <w:numFmt w:val="decimal"/>
      <w:lvlText w:val="%1.%2"/>
      <w:lvlJc w:val="start"/>
      <w:pPr>
        <w:tabs>
          <w:tab w:val="num" w:pos="720"/>
        </w:tabs>
        <w:ind w:start="1800" w:hanging="1080"/>
      </w:pPr>
      <w:rPr>
        <w:sz w:val="22"/>
        <w:szCs w:val="22"/>
      </w:rPr>
    </w:lvl>
    <w:lvl w:ilvl="2">
      <w:start w:val="1"/>
      <w:numFmt w:val="decimal"/>
      <w:lvlText w:val="%1.%2.%3"/>
      <w:lvlJc w:val="start"/>
      <w:pPr>
        <w:tabs>
          <w:tab w:val="num" w:pos="2520"/>
        </w:tabs>
        <w:ind w:start="2520" w:hanging="1080"/>
      </w:pPr>
      <w:rPr/>
    </w:lvl>
    <w:lvl w:ilvl="3">
      <w:start w:val="1"/>
      <w:numFmt w:val="decimal"/>
      <w:lvlText w:val="%1.%2.%3.%4"/>
      <w:lvlJc w:val="start"/>
      <w:pPr>
        <w:tabs>
          <w:tab w:val="num" w:pos="3240"/>
        </w:tabs>
        <w:ind w:start="324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396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5040"/>
        </w:tabs>
        <w:ind w:start="50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576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6840"/>
        </w:tabs>
        <w:ind w:start="684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7560"/>
        </w:tabs>
        <w:ind w:start="7560" w:hanging="180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1800"/>
        </w:tabs>
        <w:ind w:start="18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b w:val="false"/>
        <w:i w:val="false"/>
        <w:caps w:val="false"/>
        <w:smallCaps w:val="false"/>
        <w:vanish w:val="false"/>
        <w:sz w:val="22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6">
    <w:lvl w:ilvl="0">
      <w:start w:val="5"/>
      <w:numFmt w:val="decimal"/>
      <w:lvlText w:val="%1"/>
      <w:lvlJc w:val="start"/>
      <w:pPr>
        <w:tabs>
          <w:tab w:val="num" w:pos="1080"/>
        </w:tabs>
        <w:ind w:start="1080" w:hanging="108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1080"/>
      </w:pPr>
      <w:rPr/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1080"/>
      </w:pPr>
      <w:rPr/>
    </w:lvl>
    <w:lvl w:ilvl="3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lowerLetter"/>
      <w:lvlText w:val="%1."/>
      <w:lvlJc w:val="start"/>
      <w:pPr>
        <w:tabs>
          <w:tab w:val="num" w:pos="720"/>
        </w:tabs>
        <w:ind w:start="720" w:hanging="720"/>
      </w:pPr>
    </w:lvl>
  </w:abstractNum>
  <w:abstractNum w:abstractNumId="8">
    <w:lvl w:ilvl="0">
      <w:start w:val="2"/>
      <w:numFmt w:val="upperLetter"/>
      <w:lvlText w:val="%1."/>
      <w:lvlJc w:val="start"/>
      <w:pPr>
        <w:tabs>
          <w:tab w:val="num" w:pos="2880"/>
        </w:tabs>
        <w:ind w:start="2880" w:hanging="720"/>
      </w:pPr>
      <w:rPr/>
    </w:lvl>
  </w:abstractNum>
  <w:abstractNum w:abstractNumId="9">
    <w:lvl w:ilvl="0">
      <w:start w:val="4"/>
      <w:numFmt w:val="decimal"/>
      <w:lvlText w:val="%1"/>
      <w:lvlJc w:val="start"/>
      <w:pPr>
        <w:tabs>
          <w:tab w:val="num" w:pos="0"/>
        </w:tabs>
        <w:ind w:start="420" w:hanging="420"/>
      </w:pPr>
      <w:rPr>
        <w:sz w:val="22"/>
      </w:rPr>
    </w:lvl>
    <w:lvl w:ilvl="1">
      <w:start w:val="15"/>
      <w:numFmt w:val="decimal"/>
      <w:lvlText w:val="%1.%2"/>
      <w:lvlJc w:val="start"/>
      <w:pPr>
        <w:tabs>
          <w:tab w:val="num" w:pos="0"/>
        </w:tabs>
        <w:ind w:start="2220" w:hanging="420"/>
      </w:pPr>
      <w:rPr>
        <w:sz w:val="22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4320" w:hanging="720"/>
      </w:pPr>
      <w:rPr>
        <w:sz w:val="22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6120" w:hanging="720"/>
      </w:pPr>
      <w:rPr>
        <w:sz w:val="22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8280" w:hanging="1080"/>
      </w:pPr>
      <w:rPr>
        <w:sz w:val="22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080" w:hanging="1080"/>
      </w:pPr>
      <w:rPr>
        <w:sz w:val="22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240" w:hanging="1440"/>
      </w:pPr>
      <w:rPr>
        <w:sz w:val="22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040" w:hanging="1440"/>
      </w:pPr>
      <w:rPr>
        <w:sz w:val="22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6200" w:hanging="1800"/>
      </w:pPr>
      <w:rPr>
        <w:sz w:val="22"/>
      </w:rPr>
    </w:lvl>
  </w:abstractNum>
  <w:abstractNum w:abstractNumId="10">
    <w:lvl w:ilvl="0">
      <w:start w:val="4"/>
      <w:numFmt w:val="decimal"/>
      <w:lvlText w:val="%1"/>
      <w:lvlJc w:val="start"/>
      <w:pPr>
        <w:tabs>
          <w:tab w:val="num" w:pos="0"/>
        </w:tabs>
        <w:ind w:start="600" w:hanging="600"/>
      </w:pPr>
      <w:rPr/>
    </w:lvl>
    <w:lvl w:ilvl="1">
      <w:start w:val="16"/>
      <w:numFmt w:val="decimal"/>
      <w:lvlText w:val="%1.%2"/>
      <w:lvlJc w:val="start"/>
      <w:pPr>
        <w:tabs>
          <w:tab w:val="num" w:pos="0"/>
        </w:tabs>
        <w:ind w:start="600" w:hanging="600"/>
      </w:pPr>
      <w:rPr/>
    </w:lvl>
    <w:lvl w:ilvl="2">
      <w:start w:val="2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11">
    <w:lvl w:ilvl="0">
      <w:start w:val="7"/>
      <w:numFmt w:val="decimal"/>
      <w:lvlText w:val="%1"/>
      <w:lvlJc w:val="start"/>
      <w:pPr>
        <w:tabs>
          <w:tab w:val="num" w:pos="1080"/>
        </w:tabs>
        <w:ind w:start="1080" w:hanging="108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1080"/>
      </w:pPr>
      <w:rPr/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1080"/>
      </w:pPr>
      <w:rPr/>
    </w:lvl>
    <w:lvl w:ilvl="3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12">
    <w:lvl w:ilvl="0">
      <w:start w:val="1"/>
      <w:numFmt w:val="decimal"/>
      <w:lvlText w:val="%1.0"/>
      <w:lvlJc w:val="start"/>
      <w:pPr>
        <w:tabs>
          <w:tab w:val="num" w:pos="0"/>
        </w:tabs>
        <w:ind w:start="1080" w:hanging="108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800" w:hanging="108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520" w:hanging="108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324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560" w:hanging="1800"/>
      </w:pPr>
      <w:rPr/>
    </w:lvl>
  </w:abstractNum>
  <w:abstractNum w:abstractNumId="13">
    <w:lvl w:ilvl="0">
      <w:start w:val="1"/>
      <w:numFmt w:val="lowerLetter"/>
      <w:lvlText w:val="%1."/>
      <w:lvlJc w:val="start"/>
      <w:pPr>
        <w:tabs>
          <w:tab w:val="num" w:pos="720"/>
        </w:tabs>
        <w:ind w:start="720" w:hanging="7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00" w:after="0"/>
      <w:jc w:val="center"/>
      <w:outlineLvl w:val="0"/>
    </w:pPr>
    <w:rPr>
      <w:rFonts w:ascii="Arial Narrow" w:hAnsi="Arial Narrow" w:cs="Arial Narrow"/>
      <w:b/>
      <w:i/>
      <w:smallCaps/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40"/>
      <w:jc w:val="center"/>
      <w:outlineLvl w:val="1"/>
    </w:pPr>
    <w:rPr>
      <w:b/>
      <w:spacing w:val="20"/>
      <w:sz w:val="36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spacing w:before="60" w:after="60"/>
      <w:jc w:val="center"/>
      <w:outlineLvl w:val="2"/>
    </w:pPr>
    <w:rPr>
      <w:rFonts w:ascii="Arial" w:hAnsi="Arial" w:cs="Arial"/>
      <w:b/>
      <w:i/>
      <w:smallCaps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spacing w:before="60" w:after="60"/>
      <w:jc w:val="center"/>
      <w:outlineLvl w:val="3"/>
    </w:pPr>
    <w:rPr>
      <w:rFonts w:ascii="Arial" w:hAnsi="Arial" w:cs="Arial"/>
      <w:b/>
      <w:i/>
      <w:smallCaps/>
      <w:sz w:val="22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tabs>
        <w:tab w:val="clear" w:pos="720"/>
        <w:tab w:val="left" w:pos="1080" w:leader="none"/>
      </w:tabs>
      <w:spacing w:lineRule="atLeast" w:line="240" w:before="160" w:after="0"/>
      <w:ind w:hanging="0" w:start="1080" w:end="0"/>
      <w:jc w:val="both"/>
      <w:outlineLvl w:val="4"/>
    </w:pPr>
    <w:rPr>
      <w:rFonts w:ascii="Arial" w:hAnsi="Arial" w:cs="Arial"/>
      <w:b/>
      <w:i/>
      <w:smallCaps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 Narrow" w:hAnsi="Arial Narrow" w:cs="Arial Narrow"/>
      <w:b/>
      <w:i/>
      <w:smallCaps/>
      <w:sz w:val="3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20"/>
        <w:tab w:val="left" w:pos="1080" w:leader="none"/>
      </w:tabs>
      <w:spacing w:before="120" w:after="0"/>
      <w:jc w:val="both"/>
      <w:outlineLvl w:val="6"/>
    </w:pPr>
    <w:rPr>
      <w:rFonts w:ascii="Arial" w:hAnsi="Arial" w:cs="Arial"/>
      <w:b/>
      <w:sz w:val="22"/>
    </w:rPr>
  </w:style>
  <w:style w:type="paragraph" w:styleId="Heading8">
    <w:name w:val="heading 8"/>
    <w:basedOn w:val="Normal"/>
    <w:next w:val="Normal"/>
    <w:qFormat/>
    <w:pPr>
      <w:keepNext w:val="true"/>
      <w:widowControl/>
      <w:numPr>
        <w:ilvl w:val="0"/>
        <w:numId w:val="3"/>
      </w:numPr>
      <w:ind w:hanging="648" w:start="0" w:end="0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 w:val="true"/>
      <w:widowControl/>
      <w:numPr>
        <w:ilvl w:val="0"/>
        <w:numId w:val="8"/>
      </w:numPr>
      <w:tabs>
        <w:tab w:val="clear" w:pos="720"/>
        <w:tab w:val="left" w:pos="1782" w:leader="none"/>
      </w:tabs>
      <w:ind w:hanging="0" w:start="1800" w:end="0"/>
      <w:jc w:val="both"/>
      <w:outlineLvl w:val="8"/>
    </w:pPr>
    <w:rPr>
      <w:rFonts w:ascii="Arial" w:hAnsi="Arial" w:cs="Arial"/>
      <w:b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sz w:val="22"/>
      <w:szCs w:val="22"/>
    </w:rPr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  <w:b w:val="false"/>
      <w:i w:val="false"/>
      <w:caps w:val="false"/>
      <w:smallCaps w:val="false"/>
      <w:vanish w:val="false"/>
      <w:sz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Monotype Sorts;Symbol" w:hAnsi="Monotype Sorts;Symbol" w:cs="Monotype Sorts;Symbol"/>
      <w:color w:val="auto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sz w:val="22"/>
    </w:rPr>
  </w:style>
  <w:style w:type="character" w:styleId="WW8Num12z0">
    <w:name w:val="WW8Num12z0"/>
    <w:qFormat/>
    <w:rPr>
      <w:b/>
    </w:rPr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6">
    <w:name w:val="Горен колонтитул Знак"/>
    <w:qFormat/>
    <w:rPr>
      <w:lang w:val="en-US"/>
    </w:rPr>
  </w:style>
  <w:style w:type="paragraph" w:styleId="Style7">
    <w:name w:val="Заглавие"/>
    <w:basedOn w:val="Normal"/>
    <w:next w:val="BodyText"/>
    <w:qFormat/>
    <w:pPr>
      <w:shd w:fill="000000" w:val="clear"/>
      <w:tabs>
        <w:tab w:val="clear" w:pos="720"/>
        <w:tab w:val="left" w:pos="1080" w:leader="none"/>
      </w:tabs>
      <w:spacing w:lineRule="atLeast" w:line="240"/>
      <w:ind w:hanging="1080" w:start="1080" w:end="0"/>
      <w:jc w:val="center"/>
    </w:pPr>
    <w:rPr>
      <w:rFonts w:ascii="Arial" w:hAnsi="Arial" w:cs="Arial"/>
      <w:b/>
      <w:color w:val="FFFFFF"/>
      <w:sz w:val="32"/>
    </w:rPr>
  </w:style>
  <w:style w:type="paragraph" w:styleId="BodyText">
    <w:name w:val="Body Text"/>
    <w:basedOn w:val="Normal"/>
    <w:pPr>
      <w:spacing w:lineRule="atLeast" w:line="240" w:before="40" w:after="40"/>
      <w:jc w:val="center"/>
    </w:pPr>
    <w:rPr>
      <w:rFonts w:ascii="Arial" w:hAnsi="Arial" w:cs="Arial"/>
      <w:b/>
      <w:i/>
      <w:smallCaps/>
      <w:sz w:val="36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Указател"/>
    <w:basedOn w:val="Normal"/>
    <w:qFormat/>
    <w:pPr>
      <w:suppressLineNumbers/>
    </w:pPr>
    <w:rPr>
      <w:rFonts w:cs="Arial"/>
    </w:rPr>
  </w:style>
  <w:style w:type="paragraph" w:styleId="Style9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widowControl/>
      <w:tabs>
        <w:tab w:val="clear" w:pos="720"/>
        <w:tab w:val="left" w:pos="1080" w:leader="none"/>
      </w:tabs>
      <w:spacing w:lineRule="atLeast" w:line="240" w:before="160" w:after="0"/>
      <w:ind w:hanging="1080" w:start="1080" w:end="0"/>
      <w:jc w:val="both"/>
    </w:pPr>
    <w:rPr>
      <w:rFonts w:ascii="Arial" w:hAnsi="Arial" w:cs="Arial"/>
      <w:sz w:val="24"/>
    </w:rPr>
  </w:style>
  <w:style w:type="paragraph" w:styleId="2">
    <w:name w:val="Основен текст с отстъп 2"/>
    <w:basedOn w:val="Normal"/>
    <w:qFormat/>
    <w:pPr>
      <w:widowControl/>
      <w:tabs>
        <w:tab w:val="clear" w:pos="720"/>
        <w:tab w:val="left" w:pos="1080" w:leader="none"/>
      </w:tabs>
      <w:spacing w:before="120" w:after="0"/>
      <w:ind w:hanging="1080" w:start="1080" w:end="0"/>
      <w:jc w:val="both"/>
    </w:pPr>
    <w:rPr>
      <w:rFonts w:ascii="Arial" w:hAnsi="Arial" w:cs="Arial"/>
      <w:sz w:val="22"/>
    </w:rPr>
  </w:style>
  <w:style w:type="paragraph" w:styleId="3">
    <w:name w:val="Основен текст с отстъп 3"/>
    <w:basedOn w:val="Normal"/>
    <w:qFormat/>
    <w:pPr>
      <w:widowControl/>
      <w:spacing w:before="120" w:after="0"/>
      <w:ind w:hanging="1170" w:start="1170" w:end="0"/>
      <w:jc w:val="both"/>
    </w:pPr>
    <w:rPr>
      <w:rFonts w:ascii="Arial" w:hAnsi="Arial" w:cs="Arial"/>
      <w:sz w:val="22"/>
    </w:rPr>
  </w:style>
  <w:style w:type="paragraph" w:styleId="Style10">
    <w:name w:val="Блоков текст"/>
    <w:basedOn w:val="Normal"/>
    <w:qFormat/>
    <w:pPr>
      <w:widowControl/>
      <w:tabs>
        <w:tab w:val="clear" w:pos="720"/>
        <w:tab w:val="left" w:pos="1080" w:leader="none"/>
      </w:tabs>
      <w:spacing w:lineRule="atLeast" w:line="240" w:before="120" w:after="0"/>
      <w:ind w:hanging="1080" w:start="1080" w:end="-21"/>
      <w:jc w:val="both"/>
    </w:pPr>
    <w:rPr>
      <w:rFonts w:ascii="Arial" w:hAnsi="Arial" w:cs="Arial"/>
      <w:b/>
      <w:i/>
      <w:smallCaps/>
      <w:sz w:val="24"/>
      <w:lang w:val="en-GB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2019-10-16T13:16:00Z</dcterms:created>
  <dc:creator>Punyam</dc:creator>
  <dc:description/>
  <cp:keywords/>
  <dc:language>bg-BG</dc:language>
  <cp:lastModifiedBy>dell</cp:lastModifiedBy>
  <cp:lastPrinted>2014-07-07T17:18:00Z</cp:lastPrinted>
  <dcterms:modified xsi:type="dcterms:W3CDTF">2024-11-07T13:39:00Z</dcterms:modified>
  <cp:revision>15</cp:revision>
  <dc:subject/>
  <dc:title>PROCEDURE FOR MANAGEMENT REVIEW</dc:title>
</cp:coreProperties>
</file>