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text" w:horzAnchor="margin" w:tblpXSpec="center" w:leftFromText="180" w:rightFromText="180" w:tblpY="-14"/>
        <w:tblW w:w="949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19"/>
        <w:gridCol w:w="4978"/>
        <w:gridCol w:w="785"/>
        <w:gridCol w:w="1011"/>
      </w:tblGrid>
      <w:tr>
        <w:trPr>
          <w:trHeight w:val="516" w:hRule="atLeast"/>
          <w:cantSplit/>
        </w:trPr>
        <w:tc>
          <w:tcPr>
            <w:tcW w:w="271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FF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 Narrow" w:hAnsi="Arial Narrow" w:cs="Arial Narrow"/>
                <w:b/>
              </w:rPr>
            </w:pPr>
            <w:r>
              <w:rPr>
                <w:rFonts w:cs="Arial Narrow" w:ascii="Arial Narrow" w:hAnsi="Arial Narrow"/>
                <w:b/>
              </w:rPr>
              <w:t>КОТЕК ЕООД</w:t>
            </w:r>
          </w:p>
        </w:tc>
        <w:tc>
          <w:tcPr>
            <w:tcW w:w="4978" w:type="dxa"/>
            <w:tcBorders>
              <w:top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Heading7"/>
              <w:spacing w:before="240" w:after="60"/>
              <w:ind w:hanging="0" w:start="0"/>
              <w:jc w:val="center"/>
              <w:rPr>
                <w:rFonts w:ascii="Arial Narrow" w:hAnsi="Arial Narrow" w:cs="Arial Narrow"/>
              </w:rPr>
            </w:pPr>
            <w:r>
              <w:rPr>
                <w:rFonts w:cs="Arial Narrow" w:ascii="Arial Narrow" w:hAnsi="Arial Narrow"/>
              </w:rPr>
              <w:t>Процедура за енергийно управление</w:t>
            </w:r>
          </w:p>
        </w:tc>
        <w:tc>
          <w:tcPr>
            <w:tcW w:w="1796" w:type="dxa"/>
            <w:gridSpan w:val="2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FF"/>
              <w:end w:val="single" w:sz="6" w:space="0" w:color="000000"/>
            </w:tcBorders>
            <w:vAlign w:val="center"/>
          </w:tcPr>
          <w:p>
            <w:pPr>
              <w:pStyle w:val="Heading3"/>
              <w:spacing w:before="240" w:after="60"/>
              <w:ind w:hanging="0" w:start="360" w:end="0"/>
              <w:rPr/>
            </w:pPr>
            <w:r>
              <w:rPr>
                <w:rFonts w:cs="Arial Narrow" w:ascii="Arial Narrow" w:hAnsi="Arial Narrow"/>
                <w:sz w:val="24"/>
                <w:szCs w:val="24"/>
              </w:rPr>
              <w:t>ПЕУ 0</w:t>
            </w:r>
            <w:r>
              <w:rPr>
                <w:rFonts w:cs="Arial Narrow" w:ascii="Arial Narrow" w:hAnsi="Arial Narrow"/>
                <w:sz w:val="24"/>
                <w:szCs w:val="24"/>
                <w:lang w:val="en-US"/>
              </w:rPr>
              <w:t>5</w:t>
            </w:r>
          </w:p>
        </w:tc>
      </w:tr>
      <w:tr>
        <w:trPr>
          <w:trHeight w:val="450" w:hRule="atLeast"/>
          <w:cantSplit/>
        </w:trPr>
        <w:tc>
          <w:tcPr>
            <w:tcW w:w="27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FF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sz w:val="24"/>
                <w:szCs w:val="24"/>
                <w:lang w:val="en-US"/>
              </w:rPr>
            </w:pPr>
            <w:r>
              <w:rPr>
                <w:rFonts w:cs="Arial Narrow" w:ascii="Arial Narrow" w:hAnsi="Arial Narrow"/>
                <w:sz w:val="24"/>
                <w:szCs w:val="24"/>
                <w:lang w:val="en-US"/>
              </w:rPr>
            </w:r>
          </w:p>
        </w:tc>
        <w:tc>
          <w:tcPr>
            <w:tcW w:w="4978" w:type="dxa"/>
            <w:vMerge w:val="restart"/>
            <w:tcBorders>
              <w:top w:val="single" w:sz="6" w:space="0" w:color="000000"/>
              <w:bottom w:val="single" w:sz="6" w:space="0" w:color="0000FF"/>
              <w:end w:val="single" w:sz="6" w:space="0" w:color="000000"/>
            </w:tcBorders>
          </w:tcPr>
          <w:p>
            <w:pPr>
              <w:pStyle w:val="Heading3"/>
              <w:snapToGrid w:val="false"/>
              <w:spacing w:before="240" w:after="60"/>
              <w:ind w:hanging="0" w:start="360" w:end="0"/>
              <w:jc w:val="center"/>
              <w:rPr>
                <w:rFonts w:ascii="Arial Narrow" w:hAnsi="Arial Narrow" w:cs="Arial"/>
                <w:b w:val="false"/>
                <w:bCs w:val="false"/>
                <w:smallCaps/>
                <w:sz w:val="24"/>
                <w:szCs w:val="24"/>
              </w:rPr>
            </w:pPr>
            <w:r>
              <w:rPr>
                <w:rFonts w:cs="Arial" w:ascii="Arial Narrow" w:hAnsi="Arial Narrow"/>
                <w:b w:val="false"/>
                <w:bCs w:val="false"/>
                <w:smallCaps/>
                <w:sz w:val="24"/>
                <w:szCs w:val="24"/>
              </w:rPr>
            </w:r>
          </w:p>
          <w:p>
            <w:pPr>
              <w:pStyle w:val="Heading3"/>
              <w:spacing w:before="240" w:after="60"/>
              <w:ind w:hanging="0" w:start="360" w:end="0"/>
              <w:jc w:val="center"/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cs="Arial" w:ascii="Arial Narrow" w:hAnsi="Arial Narrow"/>
                <w:bCs w:val="false"/>
                <w:smallCaps/>
                <w:sz w:val="24"/>
                <w:szCs w:val="24"/>
              </w:rPr>
              <w:t>Процедура за оценка на рисковете свързани с енергийната ефективност.</w:t>
            </w:r>
          </w:p>
        </w:tc>
        <w:tc>
          <w:tcPr>
            <w:tcW w:w="1796" w:type="dxa"/>
            <w:gridSpan w:val="2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FF"/>
              <w:end w:val="single" w:sz="6" w:space="0" w:color="000000"/>
            </w:tcBorders>
            <w:vAlign w:val="center"/>
          </w:tcPr>
          <w:p>
            <w:pPr>
              <w:pStyle w:val="Heading4"/>
              <w:numPr>
                <w:ilvl w:val="0"/>
                <w:numId w:val="0"/>
              </w:numPr>
              <w:snapToGrid w:val="false"/>
              <w:spacing w:before="240" w:after="60"/>
              <w:ind w:hanging="0" w:start="0"/>
              <w:rPr>
                <w:rFonts w:ascii="Arial Narrow" w:hAnsi="Arial Narrow" w:cs="Arial Narrow"/>
                <w:sz w:val="24"/>
                <w:szCs w:val="24"/>
              </w:rPr>
            </w:pPr>
            <w:r>
              <w:rPr>
                <w:rFonts w:cs="Arial Narrow" w:ascii="Arial Narrow" w:hAnsi="Arial Narrow"/>
                <w:sz w:val="24"/>
                <w:szCs w:val="24"/>
              </w:rPr>
            </w:r>
          </w:p>
        </w:tc>
      </w:tr>
      <w:tr>
        <w:trPr>
          <w:trHeight w:val="288" w:hRule="atLeast"/>
          <w:cantSplit/>
        </w:trPr>
        <w:tc>
          <w:tcPr>
            <w:tcW w:w="271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FF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</w:rPr>
            </w:pPr>
            <w:r>
              <w:rPr>
                <w:rFonts w:cs="Arial Narrow" w:ascii="Arial Narrow" w:hAnsi="Arial Narrow"/>
              </w:rPr>
            </w:r>
          </w:p>
        </w:tc>
        <w:tc>
          <w:tcPr>
            <w:tcW w:w="4978" w:type="dxa"/>
            <w:vMerge w:val="continue"/>
            <w:tcBorders>
              <w:top w:val="single" w:sz="6" w:space="0" w:color="000000"/>
              <w:bottom w:val="single" w:sz="6" w:space="0" w:color="0000FF"/>
              <w:end w:val="single" w:sz="6" w:space="0" w:color="000000"/>
            </w:tcBorders>
          </w:tcPr>
          <w:p>
            <w:pPr>
              <w:pStyle w:val="Heading3"/>
              <w:numPr>
                <w:ilvl w:val="0"/>
                <w:numId w:val="0"/>
              </w:numPr>
              <w:snapToGrid w:val="false"/>
              <w:spacing w:before="240" w:after="60"/>
              <w:ind w:hanging="0" w:start="0"/>
              <w:rPr>
                <w:rFonts w:ascii="Arial Narrow" w:hAnsi="Arial Narrow" w:cs="Arial"/>
                <w:b w:val="false"/>
                <w:bCs w:val="false"/>
                <w:smallCaps/>
                <w:sz w:val="24"/>
                <w:szCs w:val="24"/>
              </w:rPr>
            </w:pPr>
            <w:r>
              <w:rPr>
                <w:rFonts w:cs="Arial" w:ascii="Arial Narrow" w:hAnsi="Arial Narrow"/>
                <w:b w:val="false"/>
                <w:bCs w:val="false"/>
                <w:smallCaps/>
                <w:sz w:val="24"/>
                <w:szCs w:val="24"/>
              </w:rPr>
            </w:r>
          </w:p>
        </w:tc>
        <w:tc>
          <w:tcPr>
            <w:tcW w:w="785" w:type="dxa"/>
            <w:tcBorders>
              <w:top w:val="single" w:sz="4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Heading4"/>
              <w:spacing w:before="240" w:after="60"/>
              <w:ind w:hanging="0" w:start="0"/>
              <w:rPr>
                <w:rFonts w:ascii="Arial Narrow" w:hAnsi="Arial Narrow" w:cs="Arial Narrow"/>
                <w:sz w:val="18"/>
                <w:szCs w:val="18"/>
              </w:rPr>
            </w:pPr>
            <w:r>
              <w:rPr>
                <w:rFonts w:cs="Arial Narrow" w:ascii="Arial Narrow" w:hAnsi="Arial Narrow"/>
                <w:sz w:val="18"/>
                <w:szCs w:val="18"/>
              </w:rPr>
              <w:t xml:space="preserve">Стр. </w:t>
            </w:r>
            <w:r>
              <w:rPr>
                <w:rFonts w:cs="Arial Narrow" w:ascii="Arial Narrow" w:hAnsi="Arial Narrow"/>
                <w:sz w:val="18"/>
                <w:szCs w:val="18"/>
              </w:rPr>
              <w:fldChar w:fldCharType="begin"/>
            </w:r>
            <w:r>
              <w:rPr>
                <w:rFonts w:cs="Arial Narrow" w:ascii="Arial Narrow" w:hAnsi="Arial Narrow"/>
                <w:sz w:val="18"/>
                <w:szCs w:val="18"/>
              </w:rPr>
              <w:instrText xml:space="preserve"> PAGE </w:instrText>
            </w:r>
            <w:r>
              <w:rPr>
                <w:rFonts w:cs="Arial Narrow"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cs="Arial Narrow" w:ascii="Arial Narrow" w:hAnsi="Arial Narrow"/>
                <w:sz w:val="18"/>
                <w:szCs w:val="18"/>
              </w:rPr>
              <w:t>1</w:t>
            </w:r>
            <w:r>
              <w:rPr>
                <w:rFonts w:cs="Arial Narrow" w:ascii="Arial Narrow" w:hAnsi="Arial Narrow"/>
                <w:sz w:val="18"/>
                <w:szCs w:val="18"/>
              </w:rPr>
              <w:fldChar w:fldCharType="end"/>
            </w:r>
          </w:p>
        </w:tc>
        <w:tc>
          <w:tcPr>
            <w:tcW w:w="1011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4"/>
              <w:spacing w:before="240" w:after="60"/>
              <w:ind w:hanging="0" w:start="0"/>
              <w:rPr>
                <w:rFonts w:ascii="Arial Narrow" w:hAnsi="Arial Narrow" w:cs="Arial Narrow"/>
                <w:sz w:val="18"/>
                <w:szCs w:val="18"/>
              </w:rPr>
            </w:pPr>
            <w:r>
              <w:rPr>
                <w:rFonts w:cs="Arial Narrow" w:ascii="Arial Narrow" w:hAnsi="Arial Narrow"/>
                <w:sz w:val="18"/>
                <w:szCs w:val="18"/>
              </w:rPr>
              <w:t xml:space="preserve">Вс. стр. </w:t>
            </w:r>
            <w:r>
              <w:rPr>
                <w:rFonts w:cs="Arial Narrow" w:ascii="Arial Narrow" w:hAnsi="Arial Narrow"/>
                <w:sz w:val="18"/>
                <w:szCs w:val="18"/>
              </w:rPr>
              <w:fldChar w:fldCharType="begin"/>
            </w:r>
            <w:r>
              <w:rPr>
                <w:rFonts w:cs="Arial Narrow" w:ascii="Arial Narrow" w:hAnsi="Arial Narrow"/>
                <w:sz w:val="18"/>
                <w:szCs w:val="18"/>
              </w:rPr>
              <w:instrText xml:space="preserve"> NUMPAGES \* ARABIC </w:instrText>
            </w:r>
            <w:r>
              <w:rPr>
                <w:rFonts w:cs="Arial Narrow" w:ascii="Arial Narrow" w:hAnsi="Arial Narrow"/>
                <w:sz w:val="18"/>
                <w:szCs w:val="18"/>
              </w:rPr>
              <w:fldChar w:fldCharType="separate"/>
            </w:r>
            <w:r>
              <w:rPr>
                <w:rFonts w:cs="Arial Narrow" w:ascii="Arial Narrow" w:hAnsi="Arial Narrow"/>
                <w:sz w:val="18"/>
                <w:szCs w:val="18"/>
              </w:rPr>
              <w:t>5</w:t>
            </w:r>
            <w:r>
              <w:rPr>
                <w:rFonts w:cs="Arial Narrow" w:ascii="Arial Narrow" w:hAnsi="Arial Narrow"/>
                <w:sz w:val="18"/>
                <w:szCs w:val="18"/>
              </w:rPr>
              <w:fldChar w:fldCharType="end"/>
            </w:r>
          </w:p>
        </w:tc>
      </w:tr>
    </w:tbl>
    <w:p>
      <w:pPr>
        <w:pStyle w:val="TOC3"/>
        <w:ind w:firstLine="708" w:end="-850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</w:r>
    </w:p>
    <w:p>
      <w:pPr>
        <w:pStyle w:val="TOC3"/>
        <w:ind w:firstLine="708" w:end="-850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>1. ЦЕЛ</w:t>
      </w:r>
    </w:p>
    <w:p>
      <w:pPr>
        <w:pStyle w:val="Normal"/>
        <w:ind w:end="-180"/>
        <w:jc w:val="both"/>
        <w:rPr/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      </w:t>
      </w:r>
      <w:r>
        <w:rPr>
          <w:rFonts w:cs="Arial" w:ascii="Arial Narrow" w:hAnsi="Arial Narrow"/>
          <w:sz w:val="22"/>
          <w:szCs w:val="22"/>
          <w:lang w:eastAsia="en-US"/>
        </w:rPr>
        <w:t xml:space="preserve">Целта на настоящата процедура е идентифициране на опасностите за енергийните характеристики в </w:t>
      </w:r>
      <w:r>
        <w:rPr>
          <w:rFonts w:cs="Arial" w:ascii="Arial Narrow" w:hAnsi="Arial Narrow"/>
          <w:color w:val="000000"/>
          <w:sz w:val="22"/>
          <w:szCs w:val="22"/>
          <w:lang w:eastAsia="en-US"/>
        </w:rPr>
        <w:t>КОТЕК ЕООД</w:t>
      </w:r>
      <w:r>
        <w:rPr>
          <w:rFonts w:cs="Arial" w:ascii="Arial Narrow" w:hAnsi="Arial Narrow"/>
          <w:sz w:val="22"/>
          <w:szCs w:val="22"/>
          <w:lang w:eastAsia="en-US"/>
        </w:rPr>
        <w:t>.</w:t>
      </w:r>
    </w:p>
    <w:p>
      <w:pPr>
        <w:pStyle w:val="Normal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 </w:t>
      </w:r>
    </w:p>
    <w:p>
      <w:pPr>
        <w:pStyle w:val="Normal"/>
        <w:ind w:end="-180"/>
        <w:rPr/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     </w:t>
      </w:r>
      <w:r>
        <w:rPr>
          <w:rFonts w:cs="Arial" w:ascii="Arial Narrow" w:hAnsi="Arial Narrow"/>
          <w:b/>
          <w:sz w:val="22"/>
          <w:szCs w:val="22"/>
          <w:lang w:eastAsia="en-US"/>
        </w:rPr>
        <w:t>2. ОБЛАСТ НА ПРИЛОЖЕНИЕ</w:t>
      </w:r>
    </w:p>
    <w:p>
      <w:pPr>
        <w:pStyle w:val="22"/>
        <w:ind w:start="-60" w:end="-180"/>
        <w:jc w:val="both"/>
        <w:rPr/>
      </w:pPr>
      <w:r>
        <w:rPr>
          <w:rFonts w:cs="Arial" w:ascii="Arial Narrow" w:hAnsi="Arial Narrow"/>
          <w:szCs w:val="22"/>
        </w:rPr>
        <w:t xml:space="preserve">          </w:t>
      </w:r>
      <w:r>
        <w:rPr>
          <w:rFonts w:cs="Arial" w:ascii="Arial Narrow" w:hAnsi="Arial Narrow"/>
          <w:szCs w:val="22"/>
        </w:rPr>
        <w:t xml:space="preserve">Процедурата се отнася за членовете на екипа по енергийна ефективност, ангажирани в идентифицирането и оценяването на риска. Обхваща дейностите по идентифициране на опасностите, в т.ч. и тези при поемане на нови обекти, усвояване и прилагане на нови технологии, създаване и актуализиране на подходяща система за оценка на опасностите и поддържането </w:t>
      </w:r>
      <w:r>
        <w:rPr>
          <w:rFonts w:cs="Calibri" w:ascii="Calibri" w:hAnsi="Calibri"/>
          <w:szCs w:val="22"/>
        </w:rPr>
        <w:t>ѝ</w:t>
      </w:r>
      <w:r>
        <w:rPr>
          <w:rFonts w:cs="Arial" w:ascii="Arial Narrow" w:hAnsi="Arial Narrow"/>
          <w:szCs w:val="22"/>
        </w:rPr>
        <w:t>.</w:t>
      </w:r>
    </w:p>
    <w:p>
      <w:pPr>
        <w:pStyle w:val="Normal"/>
        <w:ind w:end="284"/>
        <w:jc w:val="both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</w:t>
      </w:r>
    </w:p>
    <w:p>
      <w:pPr>
        <w:pStyle w:val="Normal"/>
        <w:ind w:end="-850"/>
        <w:jc w:val="both"/>
        <w:rPr/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      </w:t>
      </w:r>
      <w:r>
        <w:rPr>
          <w:rFonts w:cs="Arial" w:ascii="Arial Narrow" w:hAnsi="Arial Narrow"/>
          <w:b/>
          <w:sz w:val="22"/>
          <w:szCs w:val="22"/>
          <w:lang w:eastAsia="en-US"/>
        </w:rPr>
        <w:t xml:space="preserve">3.ТЕРМИНИ И ОПРЕДЕЛЕНИЯ </w:t>
      </w:r>
    </w:p>
    <w:p>
      <w:pPr>
        <w:pStyle w:val="Normal"/>
        <w:ind w:end="-850"/>
        <w:jc w:val="both"/>
        <w:rPr>
          <w:rFonts w:ascii="Arial Narrow" w:hAnsi="Arial Narrow" w:cs="Arial"/>
          <w:b/>
          <w:sz w:val="22"/>
          <w:szCs w:val="22"/>
          <w:lang w:eastAsia="en-US"/>
        </w:rPr>
      </w:pPr>
      <w:r>
        <w:rPr>
          <w:rFonts w:cs="Arial" w:ascii="Arial Narrow" w:hAnsi="Arial Narrow"/>
          <w:b/>
          <w:sz w:val="22"/>
          <w:szCs w:val="22"/>
          <w:lang w:eastAsia="en-US"/>
        </w:rPr>
      </w:r>
    </w:p>
    <w:p>
      <w:pPr>
        <w:pStyle w:val="Normal"/>
        <w:ind w:end="-850"/>
        <w:jc w:val="both"/>
        <w:rPr/>
      </w:pPr>
      <w:r>
        <w:rPr>
          <w:rFonts w:cs="Arial" w:ascii="Arial Narrow" w:hAnsi="Arial Narrow"/>
          <w:b/>
          <w:bCs/>
          <w:sz w:val="22"/>
          <w:szCs w:val="22"/>
          <w:lang w:eastAsia="en-US"/>
        </w:rPr>
        <w:t>екип за енергиен мениджмънт</w:t>
      </w:r>
    </w:p>
    <w:p>
      <w:pPr>
        <w:pStyle w:val="Normal"/>
        <w:ind w:end="-850"/>
        <w:jc w:val="both"/>
        <w:rPr>
          <w:rFonts w:ascii="Arial Narrow" w:hAnsi="Arial Narrow" w:cs="Arial"/>
          <w:bCs/>
          <w:sz w:val="22"/>
          <w:szCs w:val="22"/>
          <w:lang w:eastAsia="en-US"/>
        </w:rPr>
      </w:pPr>
      <w:r>
        <w:rPr>
          <w:rFonts w:cs="Arial" w:ascii="Arial Narrow" w:hAnsi="Arial Narrow"/>
          <w:bCs/>
          <w:sz w:val="22"/>
          <w:szCs w:val="22"/>
          <w:lang w:eastAsia="en-US"/>
        </w:rPr>
        <w:t>лице (лица), отговорно и упълномощено за ефективно прилагане на система за управление на енергията и за постигане на подобряване на енергийните характеристики</w:t>
      </w:r>
    </w:p>
    <w:p>
      <w:pPr>
        <w:pStyle w:val="Normal"/>
        <w:ind w:end="-850"/>
        <w:jc w:val="both"/>
        <w:rPr>
          <w:rFonts w:ascii="Arial Narrow" w:hAnsi="Arial Narrow" w:cs="Arial"/>
          <w:bCs/>
          <w:sz w:val="22"/>
          <w:szCs w:val="22"/>
          <w:lang w:eastAsia="en-US"/>
        </w:rPr>
      </w:pPr>
      <w:r>
        <w:rPr>
          <w:rFonts w:cs="Arial" w:ascii="Arial Narrow" w:hAnsi="Arial Narrow"/>
          <w:bCs/>
          <w:sz w:val="22"/>
          <w:szCs w:val="22"/>
          <w:lang w:eastAsia="en-US"/>
        </w:rPr>
      </w:r>
    </w:p>
    <w:p>
      <w:pPr>
        <w:pStyle w:val="Normal"/>
        <w:ind w:end="-850"/>
        <w:jc w:val="both"/>
        <w:rPr>
          <w:rFonts w:ascii="Arial Narrow" w:hAnsi="Arial Narrow" w:cs="Arial"/>
          <w:b/>
          <w:bCs/>
          <w:sz w:val="22"/>
          <w:szCs w:val="22"/>
          <w:lang w:eastAsia="en-US"/>
        </w:rPr>
      </w:pPr>
      <w:r>
        <w:rPr>
          <w:rFonts w:cs="Arial" w:ascii="Arial Narrow" w:hAnsi="Arial Narrow"/>
          <w:b/>
          <w:bCs/>
          <w:sz w:val="22"/>
          <w:szCs w:val="22"/>
          <w:lang w:eastAsia="en-US"/>
        </w:rPr>
        <w:t>изискване</w:t>
      </w:r>
    </w:p>
    <w:p>
      <w:pPr>
        <w:pStyle w:val="Normal"/>
        <w:ind w:end="-850"/>
        <w:jc w:val="both"/>
        <w:rPr/>
      </w:pPr>
      <w:r>
        <w:rPr>
          <w:rFonts w:cs="Arial" w:ascii="Arial Narrow" w:hAnsi="Arial Narrow"/>
          <w:bCs/>
          <w:sz w:val="22"/>
          <w:szCs w:val="22"/>
          <w:lang w:eastAsia="en-US"/>
        </w:rPr>
        <w:t>изразена потребност или очакване, което обикновено се подразбира или е задължително</w:t>
      </w:r>
    </w:p>
    <w:p>
      <w:pPr>
        <w:pStyle w:val="Normal"/>
        <w:ind w:end="-850"/>
        <w:jc w:val="both"/>
        <w:rPr>
          <w:rFonts w:ascii="Arial Narrow" w:hAnsi="Arial Narrow" w:cs="Arial"/>
          <w:bCs/>
          <w:sz w:val="22"/>
          <w:szCs w:val="22"/>
          <w:lang w:eastAsia="en-US"/>
        </w:rPr>
      </w:pPr>
      <w:r>
        <w:rPr>
          <w:rFonts w:cs="Arial" w:ascii="Arial Narrow" w:hAnsi="Arial Narrow"/>
          <w:bCs/>
          <w:sz w:val="22"/>
          <w:szCs w:val="22"/>
          <w:lang w:eastAsia="en-US"/>
        </w:rPr>
      </w:r>
    </w:p>
    <w:p>
      <w:pPr>
        <w:pStyle w:val="BodyText"/>
        <w:spacing w:lineRule="exact" w:line="243"/>
        <w:rPr>
          <w:rFonts w:ascii="Arial Narrow" w:hAnsi="Arial Narrow" w:cs="Arial"/>
          <w:b/>
          <w:bCs/>
          <w:sz w:val="22"/>
          <w:szCs w:val="22"/>
          <w:lang w:val="bg-BG"/>
        </w:rPr>
      </w:pPr>
      <w:r>
        <w:rPr>
          <w:rFonts w:cs="Arial" w:ascii="Arial Narrow" w:hAnsi="Arial Narrow"/>
          <w:b/>
          <w:bCs/>
          <w:sz w:val="22"/>
          <w:szCs w:val="22"/>
          <w:lang w:val="bg-BG"/>
        </w:rPr>
        <w:t>мониторинг</w:t>
      </w:r>
    </w:p>
    <w:p>
      <w:pPr>
        <w:pStyle w:val="BodyText"/>
        <w:spacing w:lineRule="exact" w:line="243"/>
        <w:rPr>
          <w:rFonts w:ascii="Arial Narrow" w:hAnsi="Arial Narrow" w:cs="Arial"/>
          <w:bCs/>
          <w:sz w:val="22"/>
          <w:szCs w:val="22"/>
          <w:lang w:val="bg-BG"/>
        </w:rPr>
      </w:pPr>
      <w:r>
        <w:rPr>
          <w:rFonts w:cs="Arial" w:ascii="Arial Narrow" w:hAnsi="Arial Narrow"/>
          <w:bCs/>
          <w:sz w:val="22"/>
          <w:szCs w:val="22"/>
          <w:lang w:val="bg-BG"/>
        </w:rPr>
        <w:t>определяне на състоянието на система, процес или дейност</w:t>
      </w:r>
    </w:p>
    <w:p>
      <w:pPr>
        <w:pStyle w:val="BodyText"/>
        <w:spacing w:lineRule="exact" w:line="243"/>
        <w:ind w:start="672" w:end="0"/>
        <w:rPr>
          <w:rFonts w:ascii="Arial Narrow" w:hAnsi="Arial Narrow" w:cs="Arial"/>
          <w:bCs/>
          <w:sz w:val="22"/>
          <w:szCs w:val="22"/>
          <w:lang w:val="bg-BG"/>
        </w:rPr>
      </w:pPr>
      <w:r>
        <w:rPr>
          <w:rFonts w:cs="Arial" w:ascii="Arial Narrow" w:hAnsi="Arial Narrow"/>
          <w:bCs/>
          <w:sz w:val="22"/>
          <w:szCs w:val="22"/>
          <w:lang w:val="bg-BG"/>
        </w:rPr>
      </w:r>
    </w:p>
    <w:p>
      <w:pPr>
        <w:pStyle w:val="Heading2"/>
        <w:spacing w:lineRule="exact" w:line="236"/>
        <w:ind w:start="0" w:end="0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>измерване</w:t>
      </w:r>
    </w:p>
    <w:p>
      <w:pPr>
        <w:pStyle w:val="BodyText"/>
        <w:spacing w:lineRule="exact" w:line="249"/>
        <w:rPr/>
      </w:pPr>
      <w:r>
        <w:rPr>
          <w:rFonts w:cs="Arial" w:ascii="Arial Narrow" w:hAnsi="Arial Narrow"/>
          <w:bCs/>
          <w:sz w:val="22"/>
          <w:szCs w:val="22"/>
        </w:rPr>
        <w:t>процес</w:t>
      </w:r>
      <w:r>
        <w:rPr>
          <w:rFonts w:cs="Arial" w:ascii="Arial Narrow" w:hAnsi="Arial Narrow"/>
          <w:bCs/>
          <w:spacing w:val="-13"/>
          <w:sz w:val="22"/>
          <w:szCs w:val="22"/>
        </w:rPr>
        <w:t xml:space="preserve"> </w:t>
      </w:r>
      <w:r>
        <w:rPr>
          <w:rFonts w:cs="Arial" w:ascii="Arial Narrow" w:hAnsi="Arial Narrow"/>
          <w:bCs/>
          <w:spacing w:val="-8"/>
          <w:sz w:val="22"/>
          <w:szCs w:val="22"/>
        </w:rPr>
        <w:t xml:space="preserve"> </w:t>
      </w:r>
      <w:r>
        <w:rPr>
          <w:rFonts w:cs="Arial" w:ascii="Arial Narrow" w:hAnsi="Arial Narrow"/>
          <w:bCs/>
          <w:sz w:val="22"/>
          <w:szCs w:val="22"/>
        </w:rPr>
        <w:t>за</w:t>
      </w:r>
      <w:r>
        <w:rPr>
          <w:rFonts w:cs="Arial" w:ascii="Arial Narrow" w:hAnsi="Arial Narrow"/>
          <w:bCs/>
          <w:spacing w:val="-8"/>
          <w:sz w:val="22"/>
          <w:szCs w:val="22"/>
        </w:rPr>
        <w:t xml:space="preserve"> </w:t>
      </w:r>
      <w:r>
        <w:rPr>
          <w:rFonts w:cs="Arial" w:ascii="Arial Narrow" w:hAnsi="Arial Narrow"/>
          <w:bCs/>
          <w:sz w:val="22"/>
          <w:szCs w:val="22"/>
        </w:rPr>
        <w:t>определяне</w:t>
      </w:r>
      <w:r>
        <w:rPr>
          <w:rFonts w:cs="Arial" w:ascii="Arial Narrow" w:hAnsi="Arial Narrow"/>
          <w:bCs/>
          <w:spacing w:val="-8"/>
          <w:sz w:val="22"/>
          <w:szCs w:val="22"/>
        </w:rPr>
        <w:t xml:space="preserve"> </w:t>
      </w:r>
      <w:r>
        <w:rPr>
          <w:rFonts w:cs="Arial" w:ascii="Arial Narrow" w:hAnsi="Arial Narrow"/>
          <w:bCs/>
          <w:sz w:val="22"/>
          <w:szCs w:val="22"/>
        </w:rPr>
        <w:t>на</w:t>
      </w:r>
      <w:r>
        <w:rPr>
          <w:rFonts w:cs="Arial" w:ascii="Arial Narrow" w:hAnsi="Arial Narrow"/>
          <w:bCs/>
          <w:spacing w:val="-9"/>
          <w:sz w:val="22"/>
          <w:szCs w:val="22"/>
        </w:rPr>
        <w:t xml:space="preserve"> </w:t>
      </w:r>
      <w:r>
        <w:rPr>
          <w:rFonts w:cs="Arial" w:ascii="Arial Narrow" w:hAnsi="Arial Narrow"/>
          <w:bCs/>
          <w:sz w:val="22"/>
          <w:szCs w:val="22"/>
        </w:rPr>
        <w:t>стойност</w:t>
      </w:r>
    </w:p>
    <w:p>
      <w:pPr>
        <w:pStyle w:val="Normal"/>
        <w:ind w:end="-850"/>
        <w:jc w:val="both"/>
        <w:rPr>
          <w:rFonts w:ascii="Arial Narrow" w:hAnsi="Arial Narrow" w:cs="Arial"/>
          <w:bCs/>
          <w:sz w:val="22"/>
          <w:szCs w:val="22"/>
          <w:lang w:eastAsia="en-US"/>
        </w:rPr>
      </w:pPr>
      <w:r>
        <w:rPr>
          <w:rFonts w:cs="Arial" w:ascii="Arial Narrow" w:hAnsi="Arial Narrow"/>
          <w:bCs/>
          <w:sz w:val="22"/>
          <w:szCs w:val="22"/>
          <w:lang w:eastAsia="en-US"/>
        </w:rPr>
      </w:r>
    </w:p>
    <w:p>
      <w:pPr>
        <w:pStyle w:val="Normal"/>
        <w:ind w:end="-850"/>
        <w:jc w:val="both"/>
        <w:rPr>
          <w:rFonts w:ascii="Arial Narrow" w:hAnsi="Arial Narrow" w:cs="Arial"/>
          <w:b/>
          <w:bCs/>
          <w:sz w:val="22"/>
          <w:szCs w:val="22"/>
          <w:lang w:eastAsia="en-US"/>
        </w:rPr>
      </w:pPr>
      <w:r>
        <w:rPr>
          <w:rFonts w:cs="Arial" w:ascii="Arial Narrow" w:hAnsi="Arial Narrow"/>
          <w:b/>
          <w:bCs/>
          <w:sz w:val="22"/>
          <w:szCs w:val="22"/>
          <w:lang w:eastAsia="en-US"/>
        </w:rPr>
        <w:t>енергийни характеристики</w:t>
      </w:r>
    </w:p>
    <w:p>
      <w:pPr>
        <w:pStyle w:val="Normal"/>
        <w:ind w:end="-850"/>
        <w:jc w:val="both"/>
        <w:rPr/>
      </w:pPr>
      <w:r>
        <w:rPr>
          <w:rFonts w:cs="Arial" w:ascii="Arial Narrow" w:hAnsi="Arial Narrow"/>
          <w:bCs/>
          <w:sz w:val="22"/>
          <w:szCs w:val="22"/>
          <w:lang w:eastAsia="en-US"/>
        </w:rPr>
        <w:t xml:space="preserve">измерим резултат, свързан с енергийната ефективност , използване на енергията или енергийното потребление </w:t>
      </w:r>
    </w:p>
    <w:p>
      <w:pPr>
        <w:pStyle w:val="Normal"/>
        <w:ind w:end="-850"/>
        <w:jc w:val="both"/>
        <w:rPr>
          <w:rFonts w:ascii="Arial Narrow" w:hAnsi="Arial Narrow" w:cs="Arial"/>
          <w:bCs/>
          <w:sz w:val="22"/>
          <w:szCs w:val="22"/>
          <w:lang w:eastAsia="en-US"/>
        </w:rPr>
      </w:pPr>
      <w:r>
        <w:rPr>
          <w:rFonts w:cs="Arial" w:ascii="Arial Narrow" w:hAnsi="Arial Narrow"/>
          <w:bCs/>
          <w:sz w:val="22"/>
          <w:szCs w:val="22"/>
          <w:lang w:eastAsia="en-US"/>
        </w:rPr>
      </w:r>
    </w:p>
    <w:p>
      <w:pPr>
        <w:pStyle w:val="Normal"/>
        <w:ind w:end="-850"/>
        <w:jc w:val="both"/>
        <w:rPr>
          <w:rFonts w:ascii="Arial Narrow" w:hAnsi="Arial Narrow" w:cs="Arial"/>
          <w:b/>
          <w:bCs/>
          <w:sz w:val="22"/>
          <w:szCs w:val="22"/>
          <w:lang w:eastAsia="en-US"/>
        </w:rPr>
      </w:pPr>
      <w:r>
        <w:rPr>
          <w:rFonts w:cs="Arial" w:ascii="Arial Narrow" w:hAnsi="Arial Narrow"/>
          <w:b/>
          <w:bCs/>
          <w:sz w:val="22"/>
          <w:szCs w:val="22"/>
          <w:lang w:eastAsia="en-US"/>
        </w:rPr>
        <w:t>показател за енергийни характеристики ПЕХ (EnPI)</w:t>
      </w:r>
    </w:p>
    <w:p>
      <w:pPr>
        <w:pStyle w:val="Normal"/>
        <w:ind w:end="-850"/>
        <w:jc w:val="both"/>
        <w:rPr>
          <w:rFonts w:ascii="Arial Narrow" w:hAnsi="Arial Narrow" w:cs="Arial"/>
          <w:bCs/>
          <w:sz w:val="22"/>
          <w:szCs w:val="22"/>
          <w:lang w:eastAsia="en-US"/>
        </w:rPr>
      </w:pPr>
      <w:r>
        <w:rPr>
          <w:rFonts w:cs="Arial" w:ascii="Arial Narrow" w:hAnsi="Arial Narrow"/>
          <w:bCs/>
          <w:sz w:val="22"/>
          <w:szCs w:val="22"/>
          <w:lang w:eastAsia="en-US"/>
        </w:rPr>
        <w:t>количествена стойност или единица мярка за енергийни характеристики, така както е определено от</w:t>
      </w:r>
    </w:p>
    <w:p>
      <w:pPr>
        <w:pStyle w:val="Normal"/>
        <w:ind w:end="-850"/>
        <w:jc w:val="both"/>
        <w:rPr>
          <w:rFonts w:ascii="Arial Narrow" w:hAnsi="Arial Narrow" w:cs="Arial"/>
          <w:bCs/>
          <w:sz w:val="22"/>
          <w:szCs w:val="22"/>
          <w:lang w:eastAsia="en-US"/>
        </w:rPr>
      </w:pPr>
      <w:r>
        <w:rPr>
          <w:rFonts w:cs="Arial" w:ascii="Arial Narrow" w:hAnsi="Arial Narrow"/>
          <w:bCs/>
          <w:sz w:val="22"/>
          <w:szCs w:val="22"/>
          <w:lang w:eastAsia="en-US"/>
        </w:rPr>
        <w:t xml:space="preserve">организацията </w:t>
      </w:r>
    </w:p>
    <w:p>
      <w:pPr>
        <w:pStyle w:val="Normal"/>
        <w:ind w:end="-850"/>
        <w:jc w:val="both"/>
        <w:rPr>
          <w:rFonts w:ascii="Arial Narrow" w:hAnsi="Arial Narrow" w:cs="Arial"/>
          <w:bCs/>
          <w:sz w:val="22"/>
          <w:szCs w:val="22"/>
          <w:lang w:eastAsia="en-US"/>
        </w:rPr>
      </w:pPr>
      <w:r>
        <w:rPr>
          <w:rFonts w:cs="Arial" w:ascii="Arial Narrow" w:hAnsi="Arial Narrow"/>
          <w:bCs/>
          <w:sz w:val="22"/>
          <w:szCs w:val="22"/>
          <w:lang w:eastAsia="en-US"/>
        </w:rPr>
      </w:r>
    </w:p>
    <w:p>
      <w:pPr>
        <w:pStyle w:val="Normal"/>
        <w:ind w:end="-850"/>
        <w:jc w:val="both"/>
        <w:rPr>
          <w:rFonts w:ascii="Arial Narrow" w:hAnsi="Arial Narrow" w:cs="Arial"/>
          <w:b/>
          <w:bCs/>
          <w:sz w:val="22"/>
          <w:szCs w:val="22"/>
          <w:lang w:eastAsia="en-US"/>
        </w:rPr>
      </w:pPr>
      <w:r>
        <w:rPr>
          <w:rFonts w:cs="Arial" w:ascii="Arial Narrow" w:hAnsi="Arial Narrow"/>
          <w:b/>
          <w:bCs/>
          <w:sz w:val="22"/>
          <w:szCs w:val="22"/>
          <w:lang w:eastAsia="en-US"/>
        </w:rPr>
        <w:t>стойност на показател за енергийни характеристики стойност на ПЕХ (EnPI)</w:t>
      </w:r>
    </w:p>
    <w:p>
      <w:pPr>
        <w:pStyle w:val="Normal"/>
        <w:ind w:end="-850"/>
        <w:jc w:val="both"/>
        <w:rPr/>
      </w:pPr>
      <w:r>
        <w:rPr>
          <w:rFonts w:cs="Arial" w:ascii="Arial Narrow" w:hAnsi="Arial Narrow"/>
          <w:bCs/>
          <w:sz w:val="22"/>
          <w:szCs w:val="22"/>
          <w:lang w:eastAsia="en-US"/>
        </w:rPr>
        <w:t>количествено определяне на ПЕХ (EnPI) в дадена точка през или за определен период от време</w:t>
      </w:r>
    </w:p>
    <w:p>
      <w:pPr>
        <w:pStyle w:val="Normal"/>
        <w:ind w:end="-850"/>
        <w:jc w:val="both"/>
        <w:rPr>
          <w:rFonts w:ascii="Arial Narrow" w:hAnsi="Arial Narrow" w:cs="Arial"/>
          <w:bCs/>
          <w:sz w:val="22"/>
          <w:szCs w:val="22"/>
          <w:lang w:eastAsia="en-US"/>
        </w:rPr>
      </w:pPr>
      <w:r>
        <w:rPr>
          <w:rFonts w:cs="Arial" w:ascii="Arial Narrow" w:hAnsi="Arial Narrow"/>
          <w:bCs/>
          <w:sz w:val="22"/>
          <w:szCs w:val="22"/>
          <w:lang w:eastAsia="en-US"/>
        </w:rPr>
      </w:r>
    </w:p>
    <w:p>
      <w:pPr>
        <w:pStyle w:val="Normal"/>
        <w:ind w:end="-850"/>
        <w:jc w:val="both"/>
        <w:rPr>
          <w:rFonts w:ascii="Arial Narrow" w:hAnsi="Arial Narrow" w:cs="Arial"/>
          <w:b/>
          <w:bCs/>
          <w:sz w:val="22"/>
          <w:szCs w:val="22"/>
          <w:lang w:eastAsia="en-US"/>
        </w:rPr>
      </w:pPr>
      <w:r>
        <w:rPr>
          <w:rFonts w:cs="Arial" w:ascii="Arial Narrow" w:hAnsi="Arial Narrow"/>
          <w:b/>
          <w:bCs/>
          <w:sz w:val="22"/>
          <w:szCs w:val="22"/>
          <w:lang w:eastAsia="en-US"/>
        </w:rPr>
        <w:t>риск</w:t>
      </w:r>
    </w:p>
    <w:p>
      <w:pPr>
        <w:pStyle w:val="Normal"/>
        <w:ind w:end="-850"/>
        <w:jc w:val="both"/>
        <w:rPr>
          <w:rFonts w:ascii="Arial Narrow" w:hAnsi="Arial Narrow" w:cs="Arial"/>
          <w:bCs/>
          <w:sz w:val="22"/>
          <w:szCs w:val="22"/>
          <w:lang w:eastAsia="en-US"/>
        </w:rPr>
      </w:pPr>
      <w:r>
        <w:rPr>
          <w:rFonts w:cs="Arial" w:ascii="Arial Narrow" w:hAnsi="Arial Narrow"/>
          <w:bCs/>
          <w:sz w:val="22"/>
          <w:szCs w:val="22"/>
          <w:lang w:eastAsia="en-US"/>
        </w:rPr>
        <w:t>влияние на неопределеността</w:t>
      </w:r>
    </w:p>
    <w:p>
      <w:pPr>
        <w:pStyle w:val="Normal"/>
        <w:ind w:end="-850"/>
        <w:jc w:val="both"/>
        <w:rPr>
          <w:rFonts w:ascii="Arial Narrow" w:hAnsi="Arial Narrow" w:cs="Arial"/>
          <w:bCs/>
          <w:sz w:val="22"/>
          <w:szCs w:val="22"/>
          <w:lang w:eastAsia="en-US"/>
        </w:rPr>
      </w:pPr>
      <w:r>
        <w:rPr>
          <w:rFonts w:cs="Arial" w:ascii="Arial Narrow" w:hAnsi="Arial Narrow"/>
          <w:bCs/>
          <w:sz w:val="22"/>
          <w:szCs w:val="22"/>
          <w:lang w:eastAsia="en-US"/>
        </w:rPr>
      </w:r>
    </w:p>
    <w:p>
      <w:pPr>
        <w:pStyle w:val="Normal"/>
        <w:ind w:end="-850"/>
        <w:jc w:val="both"/>
        <w:rPr>
          <w:rFonts w:ascii="Arial Narrow" w:hAnsi="Arial Narrow" w:cs="Arial"/>
          <w:bCs/>
          <w:sz w:val="22"/>
          <w:szCs w:val="22"/>
          <w:lang w:eastAsia="en-US"/>
        </w:rPr>
      </w:pPr>
      <w:r>
        <w:rPr>
          <w:rFonts w:cs="Arial" w:ascii="Arial Narrow" w:hAnsi="Arial Narrow"/>
          <w:bCs/>
          <w:sz w:val="22"/>
          <w:szCs w:val="22"/>
          <w:lang w:eastAsia="en-US"/>
        </w:rPr>
      </w:r>
    </w:p>
    <w:p>
      <w:pPr>
        <w:pStyle w:val="Normal"/>
        <w:ind w:end="-850"/>
        <w:jc w:val="both"/>
        <w:rPr>
          <w:rFonts w:ascii="Arial Narrow" w:hAnsi="Arial Narrow" w:cs="Arial"/>
          <w:bCs/>
          <w:sz w:val="22"/>
          <w:szCs w:val="22"/>
          <w:lang w:eastAsia="en-US"/>
        </w:rPr>
      </w:pPr>
      <w:r>
        <w:rPr>
          <w:rFonts w:cs="Arial" w:ascii="Arial Narrow" w:hAnsi="Arial Narrow"/>
          <w:bCs/>
          <w:sz w:val="22"/>
          <w:szCs w:val="22"/>
          <w:lang w:eastAsia="en-US"/>
        </w:rPr>
      </w:r>
    </w:p>
    <w:p>
      <w:pPr>
        <w:pStyle w:val="Normal"/>
        <w:ind w:end="-850"/>
        <w:jc w:val="both"/>
        <w:rPr>
          <w:rFonts w:ascii="Arial Narrow" w:hAnsi="Arial Narrow" w:cs="Arial"/>
          <w:b/>
          <w:bCs/>
          <w:sz w:val="22"/>
          <w:szCs w:val="22"/>
          <w:lang w:eastAsia="en-US"/>
        </w:rPr>
      </w:pPr>
      <w:r>
        <w:rPr>
          <w:rFonts w:cs="Arial" w:ascii="Arial Narrow" w:hAnsi="Arial Narrow"/>
          <w:b/>
          <w:bCs/>
          <w:sz w:val="22"/>
          <w:szCs w:val="22"/>
          <w:lang w:eastAsia="en-US"/>
        </w:rPr>
        <w:t>енергийна ефективност</w:t>
      </w:r>
    </w:p>
    <w:p>
      <w:pPr>
        <w:pStyle w:val="Normal"/>
        <w:ind w:end="-850"/>
        <w:jc w:val="both"/>
        <w:rPr/>
      </w:pPr>
      <w:r>
        <w:rPr>
          <w:rFonts w:cs="Arial" w:ascii="Arial Narrow" w:hAnsi="Arial Narrow"/>
          <w:bCs/>
          <w:sz w:val="22"/>
          <w:szCs w:val="22"/>
          <w:lang w:eastAsia="en-US"/>
        </w:rPr>
        <w:t>отношение или друга количествена връзка между изхода, изразен като характеристика, услуга, продукти, стоки или енергия и количеството вложена енергия</w:t>
      </w:r>
    </w:p>
    <w:p>
      <w:pPr>
        <w:pStyle w:val="Normal"/>
        <w:ind w:firstLine="720" w:end="-670"/>
        <w:jc w:val="both"/>
        <w:rPr>
          <w:rFonts w:ascii="Arial Narrow" w:hAnsi="Arial Narrow" w:cs="Arial"/>
          <w:b/>
          <w:bCs/>
          <w:sz w:val="22"/>
          <w:szCs w:val="22"/>
          <w:lang w:eastAsia="en-US"/>
        </w:rPr>
      </w:pPr>
      <w:r>
        <w:rPr>
          <w:rFonts w:cs="Arial" w:ascii="Arial Narrow" w:hAnsi="Arial Narrow"/>
          <w:b/>
          <w:bCs/>
          <w:sz w:val="22"/>
          <w:szCs w:val="22"/>
          <w:lang w:eastAsia="en-US"/>
        </w:rPr>
      </w:r>
    </w:p>
    <w:p>
      <w:pPr>
        <w:pStyle w:val="Normal"/>
        <w:ind w:firstLine="720" w:end="-670"/>
        <w:jc w:val="both"/>
        <w:rPr>
          <w:rFonts w:ascii="Arial Narrow" w:hAnsi="Arial Narrow" w:cs="Arial"/>
          <w:b/>
          <w:sz w:val="22"/>
          <w:szCs w:val="22"/>
          <w:lang w:eastAsia="en-US"/>
        </w:rPr>
      </w:pPr>
      <w:r>
        <w:rPr>
          <w:rFonts w:cs="Arial" w:ascii="Arial Narrow" w:hAnsi="Arial Narrow"/>
          <w:b/>
          <w:sz w:val="22"/>
          <w:szCs w:val="22"/>
          <w:lang w:eastAsia="en-US"/>
        </w:rPr>
        <w:t>4. СЪЩНОСТ И ОБХВАТ НА ПРОЦЕДУРАТА</w:t>
      </w:r>
    </w:p>
    <w:p>
      <w:pPr>
        <w:pStyle w:val="Normal"/>
        <w:ind w:firstLine="567" w:end="-670"/>
        <w:jc w:val="both"/>
        <w:rPr>
          <w:rFonts w:ascii="Arial Narrow" w:hAnsi="Arial Narrow" w:cs="Arial"/>
          <w:b/>
          <w:sz w:val="22"/>
          <w:szCs w:val="22"/>
          <w:lang w:eastAsia="en-US"/>
        </w:rPr>
      </w:pPr>
      <w:r>
        <w:rPr>
          <w:rFonts w:cs="Arial" w:ascii="Arial Narrow" w:hAnsi="Arial Narrow"/>
          <w:b/>
          <w:sz w:val="22"/>
          <w:szCs w:val="22"/>
          <w:lang w:eastAsia="en-US"/>
        </w:rPr>
        <w:br/>
        <w:t xml:space="preserve">        4.1.Използвани документи</w:t>
      </w:r>
    </w:p>
    <w:p>
      <w:pPr>
        <w:pStyle w:val="Normal"/>
        <w:tabs>
          <w:tab w:val="clear" w:pos="708"/>
          <w:tab w:val="left" w:pos="-720" w:leader="none"/>
        </w:tabs>
        <w:ind w:end="-850"/>
        <w:rPr/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ab/>
        <w:t xml:space="preserve">Съгласно </w:t>
      </w:r>
      <w:r>
        <w:rPr>
          <w:rFonts w:cs="Arial" w:ascii="Arial Narrow" w:hAnsi="Arial Narrow"/>
          <w:sz w:val="22"/>
          <w:szCs w:val="22"/>
          <w:lang w:eastAsia="en-US"/>
        </w:rPr>
        <w:t>Ф1-07 „Матрица на държавните документи”</w:t>
      </w:r>
      <w:r>
        <w:rPr>
          <w:rFonts w:cs="Arial" w:ascii="Arial Narrow" w:hAnsi="Arial Narrow"/>
          <w:color w:val="000000"/>
          <w:sz w:val="22"/>
          <w:szCs w:val="22"/>
          <w:lang w:eastAsia="en-US"/>
        </w:rPr>
        <w:t>.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start="300" w:end="-850"/>
        <w:rPr>
          <w:rFonts w:ascii="Arial Narrow" w:hAnsi="Arial Narrow" w:cs="Arial"/>
          <w:b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  <w:t xml:space="preserve">     </w:t>
      </w: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  <w:br/>
        <w:t xml:space="preserve">    4.2.Входни елементи за идентифициране на опасностите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start="300" w:end="-850"/>
        <w:rPr>
          <w:rFonts w:ascii="Arial Narrow" w:hAnsi="Arial Narrow" w:cs="Arial"/>
          <w:b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-720" w:leader="none"/>
          <w:tab w:val="left" w:pos="9639" w:leader="none"/>
        </w:tabs>
        <w:ind w:hanging="360" w:start="1020" w:end="-284"/>
        <w:jc w:val="both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 xml:space="preserve">Нормативни актове 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-720" w:leader="none"/>
          <w:tab w:val="left" w:pos="9639" w:leader="none"/>
        </w:tabs>
        <w:ind w:hanging="360" w:start="1020" w:end="-284"/>
        <w:jc w:val="both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>Информация, предоставяна от национални служби и институции, компетентни в областта на енергетиката;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-720" w:leader="none"/>
          <w:tab w:val="left" w:pos="9639" w:leader="none"/>
        </w:tabs>
        <w:ind w:firstLine="409" w:start="300" w:end="-284"/>
        <w:jc w:val="both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>Данни от проведени наблюдения, измервания и мониторинг;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-720" w:leader="none"/>
          <w:tab w:val="left" w:pos="9639" w:leader="none"/>
        </w:tabs>
        <w:ind w:firstLine="409" w:start="300" w:end="-180"/>
        <w:jc w:val="both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>Данни за инциденти;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-720" w:leader="none"/>
          <w:tab w:val="left" w:pos="9639" w:leader="none"/>
        </w:tabs>
        <w:ind w:firstLine="409" w:start="300" w:end="-180"/>
        <w:jc w:val="both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>Резултати от одити;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-720" w:leader="none"/>
          <w:tab w:val="left" w:pos="9639" w:leader="none"/>
        </w:tabs>
        <w:ind w:hanging="360" w:start="1184" w:end="-180"/>
        <w:jc w:val="both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>Информация за инфраструктурата, процесите и дейностите на КОТЕК ЕООД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-180"/>
        <w:jc w:val="both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start="300" w:end="-180"/>
        <w:rPr>
          <w:rFonts w:ascii="Arial Narrow" w:hAnsi="Arial Narrow" w:cs="Arial"/>
          <w:b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  <w:t xml:space="preserve">       </w:t>
      </w: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  <w:t>4.3.Класификация на дейности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/>
      </w:pP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  <w:tab/>
        <w:t xml:space="preserve">    </w:t>
      </w:r>
      <w:r>
        <w:rPr>
          <w:rFonts w:cs="Arial" w:ascii="Arial Narrow" w:hAnsi="Arial Narrow"/>
          <w:color w:val="000000"/>
          <w:sz w:val="22"/>
          <w:szCs w:val="22"/>
          <w:lang w:eastAsia="en-US"/>
        </w:rPr>
        <w:t xml:space="preserve">       Това е първият етап от дейността, на който се разглеждат работните места и технологичните операции, обединени по групи. Дейността включва: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/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ab/>
        <w:t xml:space="preserve">          -изготвяне на списък на трудовите дейности на оценяваните обекти;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 xml:space="preserve">          </w:t>
      </w:r>
      <w:r>
        <w:rPr>
          <w:rFonts w:cs="Arial" w:ascii="Arial Narrow" w:hAnsi="Arial Narrow"/>
          <w:color w:val="000000"/>
          <w:sz w:val="22"/>
          <w:szCs w:val="22"/>
          <w:lang w:eastAsia="en-US"/>
        </w:rPr>
        <w:t>-групиране по рационален за оценяването на риска начин;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/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 xml:space="preserve">          </w:t>
      </w:r>
      <w:r>
        <w:rPr>
          <w:rFonts w:cs="Arial" w:ascii="Arial Narrow" w:hAnsi="Arial Narrow"/>
          <w:color w:val="000000"/>
          <w:sz w:val="22"/>
          <w:szCs w:val="22"/>
          <w:lang w:eastAsia="en-US"/>
        </w:rPr>
        <w:t>-събиране на необходимата информация за всяко работно място: характерни опасности, нормативни разпоредби, мерки за защита и всякаква друга информация необходима за оценяването.</w:t>
      </w:r>
    </w:p>
    <w:p>
      <w:pPr>
        <w:pStyle w:val="Normal"/>
        <w:tabs>
          <w:tab w:val="clear" w:pos="708"/>
          <w:tab w:val="left" w:pos="-720" w:leader="none"/>
        </w:tabs>
        <w:ind w:hanging="16" w:end="-180"/>
        <w:jc w:val="both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 xml:space="preserve"> </w:t>
      </w:r>
      <w:r>
        <w:rPr>
          <w:rFonts w:cs="Arial" w:ascii="Arial Narrow" w:hAnsi="Arial Narrow"/>
          <w:color w:val="000000"/>
          <w:sz w:val="22"/>
          <w:szCs w:val="22"/>
          <w:lang w:eastAsia="en-US"/>
        </w:rPr>
        <w:tab/>
        <w:t xml:space="preserve">Вземат се в предвид както опасностите и рисковете породени от дейности, извършвани от служителите и работниците на КОТЕК ЕООД, така и опасностите и рисковете възникнали от дейностите на контрагенти и продукти или услуги, доставени от други организации.      </w:t>
      </w:r>
      <w:r>
        <w:rPr>
          <w:rFonts w:cs="Arial" w:ascii="Arial Narrow" w:hAnsi="Arial Narrow"/>
          <w:color w:val="FF0000"/>
          <w:sz w:val="22"/>
          <w:szCs w:val="22"/>
          <w:lang w:eastAsia="en-US"/>
        </w:rPr>
        <w:t xml:space="preserve">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-180"/>
        <w:jc w:val="both"/>
        <w:rPr/>
      </w:pPr>
      <w:r>
        <w:rPr>
          <w:rFonts w:cs="Arial" w:ascii="Arial Narrow" w:hAnsi="Arial Narrow"/>
          <w:color w:val="FF0000"/>
          <w:sz w:val="22"/>
          <w:szCs w:val="22"/>
          <w:lang w:eastAsia="en-US"/>
        </w:rPr>
        <w:t xml:space="preserve">  </w:t>
      </w:r>
      <w:r>
        <w:rPr>
          <w:rFonts w:cs="Arial" w:ascii="Arial Narrow" w:hAnsi="Arial Narrow"/>
          <w:color w:val="000000"/>
          <w:sz w:val="22"/>
          <w:szCs w:val="22"/>
          <w:lang w:eastAsia="en-US"/>
        </w:rPr>
        <w:tab/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start="300" w:end="-180"/>
        <w:rPr>
          <w:rFonts w:ascii="Arial Narrow" w:hAnsi="Arial Narrow" w:cs="Arial"/>
          <w:b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  <w:t xml:space="preserve">       </w:t>
      </w: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  <w:t>4.4.Идентифициране на опасностите</w:t>
      </w:r>
    </w:p>
    <w:p>
      <w:pPr>
        <w:pStyle w:val="BodyText"/>
        <w:ind w:end="-18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 xml:space="preserve">           </w:t>
      </w:r>
    </w:p>
    <w:p>
      <w:pPr>
        <w:pStyle w:val="BodyText"/>
        <w:ind w:firstLine="708" w:end="-18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>4.4.1.Дейностите по определяне на опасностите и оценка на риска се планират  чрез разработване на Програма за оценка на риска. Тази Програма съдържа данни за:</w:t>
      </w:r>
    </w:p>
    <w:p>
      <w:pPr>
        <w:pStyle w:val="BodyText"/>
        <w:ind w:start="360" w:end="-180"/>
        <w:jc w:val="both"/>
        <w:rPr/>
      </w:pPr>
      <w:r>
        <w:rPr>
          <w:rFonts w:cs="Arial" w:ascii="Arial Narrow" w:hAnsi="Arial Narrow"/>
          <w:sz w:val="22"/>
          <w:szCs w:val="22"/>
        </w:rPr>
        <w:t xml:space="preserve">   </w:t>
      </w:r>
      <w:r>
        <w:rPr>
          <w:rFonts w:cs="Arial" w:ascii="Arial Narrow" w:hAnsi="Arial Narrow"/>
          <w:sz w:val="22"/>
          <w:szCs w:val="22"/>
        </w:rPr>
        <w:t>- организирането и координирането на дейностите по оценка на риска;</w:t>
      </w:r>
    </w:p>
    <w:p>
      <w:pPr>
        <w:pStyle w:val="BodyText"/>
        <w:ind w:start="360" w:end="-18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 xml:space="preserve">   </w:t>
      </w:r>
      <w:r>
        <w:rPr>
          <w:rFonts w:cs="Arial" w:ascii="Arial Narrow" w:hAnsi="Arial Narrow"/>
          <w:sz w:val="22"/>
          <w:szCs w:val="22"/>
        </w:rPr>
        <w:t>- етапите, последователността и сроковете за оценяване на риска;</w:t>
      </w:r>
    </w:p>
    <w:p>
      <w:pPr>
        <w:pStyle w:val="BodyText"/>
        <w:ind w:start="360" w:end="-18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 xml:space="preserve">   </w:t>
      </w:r>
      <w:r>
        <w:rPr>
          <w:rFonts w:cs="Arial" w:ascii="Arial Narrow" w:hAnsi="Arial Narrow"/>
          <w:sz w:val="22"/>
          <w:szCs w:val="22"/>
        </w:rPr>
        <w:t>- обхвата на оценката на риска;</w:t>
      </w:r>
    </w:p>
    <w:p>
      <w:pPr>
        <w:pStyle w:val="BodyText"/>
        <w:ind w:start="360" w:end="-18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 xml:space="preserve">   </w:t>
      </w:r>
      <w:r>
        <w:rPr>
          <w:rFonts w:cs="Arial" w:ascii="Arial Narrow" w:hAnsi="Arial Narrow"/>
          <w:sz w:val="22"/>
          <w:szCs w:val="22"/>
        </w:rPr>
        <w:t xml:space="preserve">- правомощията и отговорностите на длъжностните лица, участващи в оценката на риска; </w:t>
      </w:r>
    </w:p>
    <w:p>
      <w:pPr>
        <w:pStyle w:val="BodyText"/>
        <w:ind w:start="360" w:end="-180"/>
        <w:jc w:val="both"/>
        <w:rPr/>
      </w:pPr>
      <w:r>
        <w:rPr>
          <w:rFonts w:cs="Arial" w:ascii="Arial Narrow" w:hAnsi="Arial Narrow"/>
          <w:sz w:val="22"/>
          <w:szCs w:val="22"/>
        </w:rPr>
        <w:t xml:space="preserve">   </w:t>
      </w:r>
      <w:r>
        <w:rPr>
          <w:rFonts w:cs="Arial" w:ascii="Arial Narrow" w:hAnsi="Arial Narrow"/>
          <w:sz w:val="22"/>
          <w:szCs w:val="22"/>
        </w:rPr>
        <w:t>- необходимата информация и начините за нейното осигуряване;</w:t>
      </w:r>
    </w:p>
    <w:p>
      <w:pPr>
        <w:pStyle w:val="BodyText"/>
        <w:ind w:start="360" w:end="-18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 xml:space="preserve">   </w:t>
      </w:r>
      <w:r>
        <w:rPr>
          <w:rFonts w:cs="Arial" w:ascii="Arial Narrow" w:hAnsi="Arial Narrow"/>
          <w:sz w:val="22"/>
          <w:szCs w:val="22"/>
        </w:rPr>
        <w:t>- ресурсите, необходими за оценяване на риска;</w:t>
      </w:r>
    </w:p>
    <w:p>
      <w:pPr>
        <w:pStyle w:val="BodyText"/>
        <w:ind w:end="-85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 xml:space="preserve">         </w:t>
      </w:r>
    </w:p>
    <w:p>
      <w:pPr>
        <w:pStyle w:val="BodyText"/>
        <w:ind w:firstLine="708" w:end="-850"/>
        <w:jc w:val="both"/>
        <w:rPr>
          <w:rFonts w:ascii="Arial Narrow" w:hAnsi="Arial Narrow" w:cs="Arial"/>
          <w:b/>
          <w:sz w:val="22"/>
          <w:szCs w:val="22"/>
        </w:rPr>
      </w:pPr>
      <w:r>
        <w:rPr>
          <w:rFonts w:cs="Arial" w:ascii="Arial Narrow" w:hAnsi="Arial Narrow"/>
          <w:b/>
          <w:sz w:val="22"/>
          <w:szCs w:val="22"/>
        </w:rPr>
        <w:t>4.4.2.Идентифициране на опасностите включва: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/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 xml:space="preserve">          </w:t>
      </w: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  <w:t xml:space="preserve">-установяване на: </w:t>
      </w:r>
      <w:r>
        <w:rPr>
          <w:rFonts w:cs="Arial" w:ascii="Arial Narrow" w:hAnsi="Arial Narrow"/>
          <w:color w:val="000000"/>
          <w:sz w:val="22"/>
          <w:szCs w:val="22"/>
          <w:lang w:eastAsia="en-US"/>
        </w:rPr>
        <w:t>наличие на опасности и сравнителен анализ на опасностите по приоритети; възможни пътища и начини за въздействие на опасностите;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/>
      </w:pP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  <w:t xml:space="preserve">         </w:t>
      </w: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  <w:t xml:space="preserve">-систематично проучване на всички аспекти на дейността: </w:t>
      </w:r>
      <w:r>
        <w:rPr>
          <w:rFonts w:cs="Arial" w:ascii="Arial Narrow" w:hAnsi="Arial Narrow"/>
          <w:color w:val="000000"/>
          <w:sz w:val="22"/>
          <w:szCs w:val="22"/>
          <w:lang w:eastAsia="en-US"/>
        </w:rPr>
        <w:t xml:space="preserve">анализиране на всички дейности, които се извършват на оценявания обект; отчитане на необичайни операции по време на работа; отчитане на непланирани, но предвидими събития; отчитане възможността за възникване на инцидент;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>
          <w:rFonts w:ascii="Arial Narrow" w:hAnsi="Arial Narrow" w:cs="Arial"/>
          <w:b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 xml:space="preserve">         </w:t>
      </w: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  <w:t xml:space="preserve"> </w:t>
      </w: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  <w:t>-отчитане на тези аспекти на дейността, които могат да причинят вреди;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>
          <w:rFonts w:ascii="Arial Narrow" w:hAnsi="Arial Narrow" w:cs="Arial"/>
          <w:b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>
          <w:rFonts w:ascii="Arial Narrow" w:hAnsi="Arial Narrow" w:cs="Arial"/>
          <w:b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>
          <w:rFonts w:ascii="Arial Narrow" w:hAnsi="Arial Narrow" w:cs="Arial"/>
          <w:b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 xml:space="preserve">         </w:t>
      </w: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  <w:t>4.4.3. Определяне на чувствителните енергийни характеристики.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/>
      </w:pP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  <w:t xml:space="preserve">        </w:t>
      </w:r>
      <w:r>
        <w:rPr>
          <w:rFonts w:cs="Arial" w:ascii="Arial Narrow" w:hAnsi="Arial Narrow"/>
          <w:color w:val="000000"/>
          <w:sz w:val="22"/>
          <w:szCs w:val="22"/>
          <w:lang w:eastAsia="en-US"/>
        </w:rPr>
        <w:t xml:space="preserve"> </w:t>
      </w:r>
      <w:r>
        <w:rPr>
          <w:rFonts w:cs="Arial" w:ascii="Arial Narrow" w:hAnsi="Arial Narrow"/>
          <w:color w:val="000000"/>
          <w:sz w:val="22"/>
          <w:szCs w:val="22"/>
          <w:lang w:eastAsia="en-US"/>
        </w:rPr>
        <w:t>При определяне на чувствителните енергийни характеристики се отчитат: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/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 xml:space="preserve">           </w:t>
      </w:r>
      <w:r>
        <w:rPr>
          <w:rFonts w:cs="Arial" w:ascii="Arial Narrow" w:hAnsi="Arial Narrow"/>
          <w:color w:val="000000"/>
          <w:sz w:val="22"/>
          <w:szCs w:val="22"/>
          <w:lang w:eastAsia="en-US"/>
        </w:rPr>
        <w:t>- енергийни характеристики, чиято дейност е пряко свързана с опасността;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/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 xml:space="preserve">           </w:t>
      </w:r>
      <w:r>
        <w:rPr>
          <w:rFonts w:cs="Arial" w:ascii="Arial Narrow" w:hAnsi="Arial Narrow"/>
          <w:color w:val="000000"/>
          <w:sz w:val="22"/>
          <w:szCs w:val="22"/>
          <w:lang w:eastAsia="en-US"/>
        </w:rPr>
        <w:t>- енергийни характеристики, чиято дейност не е свързана с опасността, но могат да бъдат изложени на нейното въздействие;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/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ab/>
        <w:t xml:space="preserve">         </w:t>
      </w:r>
      <w:r>
        <w:rPr>
          <w:rFonts w:cs="Arial" w:ascii="Arial Narrow" w:hAnsi="Arial Narrow"/>
          <w:color w:val="000000"/>
          <w:sz w:val="22"/>
          <w:szCs w:val="22"/>
        </w:rPr>
        <w:t xml:space="preserve">      </w:t>
      </w:r>
    </w:p>
    <w:p>
      <w:pPr>
        <w:pStyle w:val="BodyText"/>
        <w:ind w:end="-180"/>
        <w:jc w:val="both"/>
        <w:rPr/>
      </w:pPr>
      <w:r>
        <w:rPr>
          <w:rFonts w:cs="Arial" w:ascii="Arial Narrow" w:hAnsi="Arial Narrow"/>
          <w:color w:val="000000"/>
          <w:sz w:val="22"/>
          <w:szCs w:val="22"/>
        </w:rPr>
        <w:t xml:space="preserve">           </w:t>
      </w:r>
      <w:r>
        <w:rPr>
          <w:rFonts w:cs="Arial" w:ascii="Arial Narrow" w:hAnsi="Arial Narrow"/>
          <w:b/>
          <w:color w:val="000000"/>
          <w:sz w:val="22"/>
          <w:szCs w:val="22"/>
        </w:rPr>
        <w:t>4.4.4</w:t>
      </w:r>
      <w:r>
        <w:rPr>
          <w:rFonts w:cs="Arial" w:ascii="Arial Narrow" w:hAnsi="Arial Narrow"/>
          <w:b/>
          <w:sz w:val="22"/>
          <w:szCs w:val="22"/>
        </w:rPr>
        <w:t>.Определяне на опасностите се извършва чрез:</w:t>
      </w:r>
    </w:p>
    <w:p>
      <w:pPr>
        <w:pStyle w:val="BodyText"/>
        <w:ind w:end="-180"/>
        <w:jc w:val="both"/>
        <w:rPr/>
      </w:pPr>
      <w:r>
        <w:rPr>
          <w:rFonts w:cs="Arial" w:ascii="Arial Narrow" w:hAnsi="Arial Narrow"/>
          <w:sz w:val="22"/>
          <w:szCs w:val="22"/>
        </w:rPr>
        <w:t xml:space="preserve">         </w:t>
      </w:r>
      <w:r>
        <w:rPr>
          <w:rFonts w:cs="Arial" w:ascii="Arial Narrow" w:hAnsi="Arial Narrow"/>
          <w:sz w:val="22"/>
          <w:szCs w:val="22"/>
        </w:rPr>
        <w:t>-мониторинг и енергиен преглед;</w:t>
      </w:r>
    </w:p>
    <w:p>
      <w:pPr>
        <w:pStyle w:val="BodyText"/>
        <w:ind w:end="-180"/>
        <w:jc w:val="both"/>
        <w:rPr/>
      </w:pPr>
      <w:r>
        <w:rPr>
          <w:rFonts w:cs="Arial" w:ascii="Arial Narrow" w:hAnsi="Arial Narrow"/>
          <w:sz w:val="22"/>
          <w:szCs w:val="22"/>
        </w:rPr>
        <w:t xml:space="preserve">        </w:t>
      </w:r>
      <w:r>
        <w:rPr>
          <w:rFonts w:cs="Arial" w:ascii="Arial Narrow" w:hAnsi="Arial Narrow"/>
          <w:sz w:val="22"/>
          <w:szCs w:val="22"/>
        </w:rPr>
        <w:t xml:space="preserve">-проучване на всяка енергийна характеристика за </w:t>
      </w:r>
      <w:r>
        <w:rPr>
          <w:rFonts w:cs="Arial" w:ascii="Arial Narrow" w:hAnsi="Arial Narrow"/>
          <w:color w:val="000000"/>
          <w:sz w:val="22"/>
          <w:szCs w:val="22"/>
        </w:rPr>
        <w:t>КОТЕК ЕООД</w:t>
      </w:r>
      <w:r>
        <w:rPr>
          <w:rFonts w:cs="Arial" w:ascii="Arial Narrow" w:hAnsi="Arial Narrow"/>
          <w:sz w:val="22"/>
          <w:szCs w:val="22"/>
        </w:rPr>
        <w:t xml:space="preserve">; </w:t>
      </w:r>
    </w:p>
    <w:p>
      <w:pPr>
        <w:pStyle w:val="BodyText"/>
        <w:ind w:end="-180"/>
        <w:jc w:val="both"/>
        <w:rPr/>
      </w:pPr>
      <w:r>
        <w:rPr>
          <w:rFonts w:cs="Arial" w:ascii="Arial Narrow" w:hAnsi="Arial Narrow"/>
          <w:sz w:val="22"/>
          <w:szCs w:val="22"/>
        </w:rPr>
        <w:t xml:space="preserve">        </w:t>
      </w:r>
      <w:r>
        <w:rPr>
          <w:rFonts w:cs="Arial" w:ascii="Arial Narrow" w:hAnsi="Arial Narrow"/>
          <w:sz w:val="22"/>
          <w:szCs w:val="22"/>
        </w:rPr>
        <w:t>-определяне на работните операции и други фактори на работното място, които могат да бъдат източник на опасност за енергийното потребление;</w:t>
      </w:r>
    </w:p>
    <w:p>
      <w:pPr>
        <w:pStyle w:val="BodyText"/>
        <w:ind w:end="-18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 xml:space="preserve">        </w:t>
      </w:r>
      <w:r>
        <w:rPr>
          <w:rFonts w:cs="Arial" w:ascii="Arial Narrow" w:hAnsi="Arial Narrow"/>
          <w:sz w:val="22"/>
          <w:szCs w:val="22"/>
        </w:rPr>
        <w:t>-определяне времетраенето на въздействието на опасността;</w:t>
      </w:r>
    </w:p>
    <w:p>
      <w:pPr>
        <w:pStyle w:val="BodyText"/>
        <w:ind w:end="-18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 xml:space="preserve">       </w:t>
      </w:r>
      <w:r>
        <w:rPr>
          <w:rFonts w:cs="Arial" w:ascii="Arial Narrow" w:hAnsi="Arial Narrow"/>
          <w:sz w:val="22"/>
          <w:szCs w:val="22"/>
        </w:rPr>
        <w:t>-определяне на вероятността от възникване на аварии;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180"/>
        <w:jc w:val="both"/>
        <w:rPr/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   </w:t>
      </w:r>
      <w:r>
        <w:rPr>
          <w:rFonts w:cs="Arial" w:ascii="Arial Narrow" w:hAnsi="Arial Narrow"/>
          <w:sz w:val="22"/>
          <w:szCs w:val="22"/>
          <w:lang w:eastAsia="en-US"/>
        </w:rPr>
        <w:t>-анализ на информацията за регистрирани инциденти.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0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ab/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start="300" w:end="-850"/>
        <w:rPr>
          <w:rFonts w:ascii="Arial Narrow" w:hAnsi="Arial Narrow" w:cs="Arial"/>
          <w:b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  <w:t xml:space="preserve">     </w:t>
      </w:r>
      <w:r>
        <w:rPr>
          <w:rFonts w:cs="Arial" w:ascii="Arial Narrow" w:hAnsi="Arial Narrow"/>
          <w:b/>
          <w:sz w:val="22"/>
          <w:szCs w:val="22"/>
          <w:lang w:eastAsia="en-US"/>
        </w:rPr>
        <w:t xml:space="preserve"> </w:t>
      </w:r>
      <w:r>
        <w:rPr>
          <w:rFonts w:cs="Arial" w:ascii="Arial Narrow" w:hAnsi="Arial Narrow"/>
          <w:b/>
          <w:sz w:val="22"/>
          <w:szCs w:val="22"/>
          <w:lang w:eastAsia="en-US"/>
        </w:rPr>
        <w:t>4.5. Оценяване на риска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-850"/>
        <w:rPr>
          <w:rFonts w:ascii="Arial Narrow" w:hAnsi="Arial Narrow" w:cs="Arial"/>
          <w:b/>
          <w:sz w:val="22"/>
          <w:szCs w:val="22"/>
          <w:lang w:eastAsia="en-US"/>
        </w:rPr>
      </w:pPr>
      <w:r>
        <w:rPr>
          <w:rFonts w:cs="Arial" w:ascii="Arial Narrow" w:hAnsi="Arial Narrow"/>
          <w:b/>
          <w:sz w:val="22"/>
          <w:szCs w:val="22"/>
          <w:lang w:eastAsia="en-US"/>
        </w:rPr>
        <w:t xml:space="preserve">          </w:t>
      </w:r>
    </w:p>
    <w:p>
      <w:pPr>
        <w:pStyle w:val="Normal"/>
        <w:tabs>
          <w:tab w:val="clear" w:pos="708"/>
          <w:tab w:val="left" w:pos="-720" w:leader="none"/>
        </w:tabs>
        <w:ind w:hanging="16" w:end="-284"/>
        <w:jc w:val="both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    </w:t>
      </w:r>
      <w:r>
        <w:rPr>
          <w:rFonts w:cs="Arial" w:ascii="Arial Narrow" w:hAnsi="Arial Narrow"/>
          <w:sz w:val="22"/>
          <w:szCs w:val="22"/>
          <w:lang w:eastAsia="en-US"/>
        </w:rPr>
        <w:t xml:space="preserve">4.5.1.Оценяването на риска в </w:t>
      </w:r>
      <w:r>
        <w:rPr>
          <w:rFonts w:cs="Arial" w:ascii="Arial Narrow" w:hAnsi="Arial Narrow"/>
          <w:color w:val="000000"/>
          <w:sz w:val="22"/>
          <w:szCs w:val="22"/>
          <w:lang w:eastAsia="en-US"/>
        </w:rPr>
        <w:t xml:space="preserve">КОТЕК ЕООД </w:t>
      </w:r>
      <w:r>
        <w:rPr>
          <w:rFonts w:cs="Arial" w:ascii="Arial Narrow" w:hAnsi="Arial Narrow"/>
          <w:sz w:val="22"/>
          <w:szCs w:val="22"/>
          <w:lang w:eastAsia="en-US"/>
        </w:rPr>
        <w:t>включва  оценяване на риска по работни процеси.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jc w:val="both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   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jc w:val="both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   </w:t>
      </w:r>
      <w:r>
        <w:rPr>
          <w:rFonts w:cs="Arial" w:ascii="Arial Narrow" w:hAnsi="Arial Narrow"/>
          <w:sz w:val="22"/>
          <w:szCs w:val="22"/>
          <w:lang w:eastAsia="en-US"/>
        </w:rPr>
        <w:t>4.5.2.Етапи за оценяване на риска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jc w:val="both"/>
        <w:rPr/>
      </w:pPr>
      <w:r>
        <w:rPr/>
        <w:tab/>
        <w:tab/>
        <w:t xml:space="preserve">     </w:t>
      </w:r>
    </w:p>
    <w:tbl>
      <w:tblPr>
        <w:tblW w:w="336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69"/>
      </w:tblGrid>
      <w:tr>
        <w:trPr/>
        <w:tc>
          <w:tcPr>
            <w:tcW w:w="3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 Narrow" w:hAnsi="Arial Narrow" w:cs="Arial"/>
                <w:color w:val="000000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 xml:space="preserve">               № </w:t>
            </w: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>1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-108"/>
              <w:rPr/>
            </w:pP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 xml:space="preserve">Определяне на оценка на риска 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-108"/>
              <w:rPr/>
            </w:pP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>- по работни процеси;</w:t>
            </w:r>
          </w:p>
        </w:tc>
      </w:tr>
    </w:tbl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751205</wp:posOffset>
                </wp:positionH>
                <wp:positionV relativeFrom="paragraph">
                  <wp:posOffset>57785</wp:posOffset>
                </wp:positionV>
                <wp:extent cx="0" cy="0"/>
                <wp:effectExtent l="5080" t="5080" r="508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9.15pt,4.55pt" to="59.15pt,4.5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line">
                  <wp:posOffset>8255</wp:posOffset>
                </wp:positionV>
                <wp:extent cx="0" cy="187325"/>
                <wp:effectExtent l="38100" t="0" r="3810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72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-0.65pt" to="72pt,14.0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tbl>
      <w:tblPr>
        <w:tblW w:w="336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69"/>
      </w:tblGrid>
      <w:tr>
        <w:trPr/>
        <w:tc>
          <w:tcPr>
            <w:tcW w:w="3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 Narrow" w:hAnsi="Arial Narrow" w:cs="Arial"/>
                <w:color w:val="000000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 xml:space="preserve">               № </w:t>
            </w: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>2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rPr>
                <w:rFonts w:ascii="Arial Narrow" w:hAnsi="Arial Narrow" w:cs="Arial"/>
                <w:sz w:val="22"/>
                <w:szCs w:val="22"/>
                <w:lang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6" behindDoc="0" locked="0" layoutInCell="1" allowOverlap="1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360045</wp:posOffset>
                      </wp:positionV>
                      <wp:extent cx="0" cy="179705"/>
                      <wp:effectExtent l="38100" t="0" r="38100" b="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17964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6.6pt,28.35pt" to="66.6pt,42.45pt" stroked="t" o:allowincell="t" style="position:absolute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>Идентифициране на опасностите</w:t>
            </w:r>
          </w:p>
        </w:tc>
      </w:tr>
    </w:tbl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/>
      </w:pPr>
      <w:r>
        <w:rPr/>
        <w:t xml:space="preserve">                                                      </w:t>
      </w:r>
    </w:p>
    <w:tbl>
      <w:tblPr>
        <w:tblW w:w="326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61"/>
      </w:tblGrid>
      <w:tr>
        <w:trPr/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 Narrow" w:hAnsi="Arial Narrow" w:cs="Arial"/>
                <w:color w:val="000000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 xml:space="preserve">               № </w:t>
            </w: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>3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rPr/>
            </w:pP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 xml:space="preserve">Определяне на риска от идентифицирана опасност и възможната вреда върху енергийните характеристики </w:t>
            </w:r>
          </w:p>
        </w:tc>
      </w:tr>
    </w:tbl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/>
      </w:pP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635</wp:posOffset>
                </wp:positionV>
                <wp:extent cx="0" cy="179705"/>
                <wp:effectExtent l="38100" t="0" r="38100" b="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96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0pt" to="72pt,14.1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/>
        <w:t xml:space="preserve">                                                                            </w:t>
      </w:r>
    </w:p>
    <w:tbl>
      <w:tblPr>
        <w:tblW w:w="487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77"/>
      </w:tblGrid>
      <w:tr>
        <w:trPr>
          <w:trHeight w:val="1871" w:hRule="atLeast"/>
        </w:trPr>
        <w:tc>
          <w:tcPr>
            <w:tcW w:w="48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 Narrow" w:hAnsi="Arial Narrow" w:cs="Arial"/>
                <w:color w:val="000000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 xml:space="preserve">               № </w:t>
            </w: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>4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 Narrow" w:hAnsi="Arial Narrow" w:cs="Arial"/>
                <w:color w:val="000000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>Количествено изражение на :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rPr/>
            </w:pP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 xml:space="preserve">- вероятността от възникване на вредата </w:t>
            </w: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>(В);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rPr>
                <w:rFonts w:ascii="Arial Narrow" w:hAnsi="Arial Narrow" w:cs="Arial"/>
                <w:color w:val="000000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>- честота на излагане/ експозиция (Е);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rPr/>
            </w:pP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>-</w:t>
            </w: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 xml:space="preserve"> последици (вреди) (П).</w:t>
            </w:r>
          </w:p>
        </w:tc>
      </w:tr>
    </w:tbl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/>
      </w:pPr>
      <w:r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8255</wp:posOffset>
                </wp:positionV>
                <wp:extent cx="0" cy="179705"/>
                <wp:effectExtent l="38100" t="0" r="38100" b="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96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0.65pt" to="72pt,14.7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  <w:r>
        <w:rPr/>
        <w:t xml:space="preserve">                                                                                                                                                                          </w:t>
      </w:r>
    </w:p>
    <w:tbl>
      <w:tblPr>
        <w:tblW w:w="326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61"/>
      </w:tblGrid>
      <w:tr>
        <w:trPr>
          <w:trHeight w:val="601" w:hRule="atLeas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 Narrow" w:hAnsi="Arial Narrow" w:cs="Arial"/>
                <w:color w:val="000000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 xml:space="preserve">               № </w:t>
            </w: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>5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-108"/>
              <w:rPr/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845820</wp:posOffset>
                      </wp:positionH>
                      <wp:positionV relativeFrom="paragraph">
                        <wp:posOffset>208915</wp:posOffset>
                      </wp:positionV>
                      <wp:extent cx="0" cy="228600"/>
                      <wp:effectExtent l="38100" t="0" r="38100" b="0"/>
                      <wp:wrapNone/>
                      <wp:docPr id="6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6.6pt,16.45pt" to="66.6pt,34.4pt" stroked="t" o:allowincell="t" style="position:absolute">
                      <v:stroke color="black" weight="9360" endarrow="block" endarrowwidth="medium" endarrowlength="medium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 xml:space="preserve">    </w:t>
            </w: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 xml:space="preserve">Оценка на риска </w:t>
            </w:r>
          </w:p>
        </w:tc>
      </w:tr>
    </w:tbl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283"/>
        <w:jc w:val="both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</w:r>
    </w:p>
    <w:tbl>
      <w:tblPr>
        <w:tblW w:w="326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61"/>
      </w:tblGrid>
      <w:tr>
        <w:trPr>
          <w:trHeight w:val="854" w:hRule="atLeast"/>
        </w:trPr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/>
            </w:pP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 xml:space="preserve">               № </w:t>
            </w: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>6</w:t>
            </w:r>
          </w:p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 Narrow" w:hAnsi="Arial Narrow" w:cs="Arial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>М</w:t>
            </w:r>
            <w:r>
              <w:rPr>
                <w:rFonts w:cs="Arial" w:ascii="Arial Narrow" w:hAnsi="Arial Narrow"/>
                <w:color w:val="000000"/>
                <w:sz w:val="22"/>
                <w:szCs w:val="22"/>
                <w:lang w:eastAsia="en-US"/>
              </w:rPr>
              <w:t>ерки за ликвидиране или намаляване на риска</w:t>
            </w:r>
          </w:p>
        </w:tc>
      </w:tr>
    </w:tbl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283"/>
        <w:jc w:val="both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283"/>
        <w:jc w:val="both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283"/>
        <w:jc w:val="both"/>
        <w:rPr/>
      </w:pP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  <w:t xml:space="preserve">  </w:t>
      </w:r>
      <w:r>
        <w:rPr>
          <w:rFonts w:cs="Arial" w:ascii="Arial Narrow" w:hAnsi="Arial Narrow"/>
          <w:b/>
          <w:sz w:val="22"/>
          <w:szCs w:val="22"/>
          <w:lang w:eastAsia="en-US"/>
        </w:rPr>
        <w:t>4.5.3.</w:t>
      </w:r>
      <w:r>
        <w:rPr>
          <w:rFonts w:cs="Arial" w:ascii="Arial Narrow" w:hAnsi="Arial Narrow"/>
          <w:b/>
          <w:color w:val="FF0000"/>
          <w:sz w:val="22"/>
          <w:szCs w:val="22"/>
          <w:lang w:eastAsia="en-US"/>
        </w:rPr>
        <w:t xml:space="preserve"> </w:t>
      </w:r>
      <w:r>
        <w:rPr>
          <w:rFonts w:cs="Arial" w:ascii="Arial Narrow" w:hAnsi="Arial Narrow"/>
          <w:b/>
          <w:sz w:val="22"/>
          <w:szCs w:val="22"/>
          <w:lang w:eastAsia="en-US"/>
        </w:rPr>
        <w:t xml:space="preserve">За всяка идентифицирана опасност се определят елементите на риска, които тя създава: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  <w:tab/>
        <w:t xml:space="preserve">            - вероятност  (В) 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        </w:t>
      </w:r>
      <w:r>
        <w:rPr>
          <w:rFonts w:cs="Arial" w:ascii="Arial Narrow" w:hAnsi="Arial Narrow"/>
          <w:sz w:val="22"/>
          <w:szCs w:val="22"/>
          <w:lang w:eastAsia="en-US"/>
        </w:rPr>
        <w:t>- честота на излагане/ експозиция (Е);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/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        </w:t>
      </w:r>
      <w:r>
        <w:rPr>
          <w:rFonts w:cs="Arial" w:ascii="Arial Narrow" w:hAnsi="Arial Narrow"/>
          <w:sz w:val="22"/>
          <w:szCs w:val="22"/>
          <w:lang w:eastAsia="en-US"/>
        </w:rPr>
        <w:t xml:space="preserve">- последици (тежестта на вредата) (П).      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  <w:t xml:space="preserve"> </w:t>
      </w:r>
    </w:p>
    <w:p>
      <w:pPr>
        <w:pStyle w:val="22"/>
        <w:spacing w:lineRule="auto" w:line="264" w:before="0" w:after="100"/>
        <w:rPr/>
      </w:pPr>
      <w:r>
        <w:rPr/>
        <w:t>4.5.4. Определяне на стойностите на елементите, характеризиращи риска</w:t>
      </w:r>
    </w:p>
    <w:tbl>
      <w:tblPr>
        <w:tblW w:w="779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60"/>
        <w:gridCol w:w="2037"/>
      </w:tblGrid>
      <w:tr>
        <w:trPr>
          <w:cantSplit/>
        </w:trPr>
        <w:tc>
          <w:tcPr>
            <w:tcW w:w="77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Вероятност (В)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Едва забележима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0,1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Практически невъзможна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0,2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Малко възможна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0,5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Малко възможна, но възможна в ограничени случаи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1,0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Ниска вероятност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3,0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Напълно възможна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6,0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Относително висока вероятност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10,0</w:t>
            </w:r>
          </w:p>
        </w:tc>
      </w:tr>
    </w:tbl>
    <w:p>
      <w:pPr>
        <w:pStyle w:val="Normal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</w:r>
    </w:p>
    <w:tbl>
      <w:tblPr>
        <w:tblW w:w="7797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760"/>
        <w:gridCol w:w="2037"/>
      </w:tblGrid>
      <w:tr>
        <w:trPr>
          <w:cantSplit/>
        </w:trPr>
        <w:tc>
          <w:tcPr>
            <w:tcW w:w="779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Честота на излагане/ експозиция (Е)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Твърде ниска (по-малка от 1 път месечно)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0,5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Много ниска ( до 1 час седмично)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1,0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Ниска (по 1 час на ден)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2,0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Средна (по 1/3 от работното време)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3,0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Достатъчно висока ( 1/2 от работното време)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6,0</w:t>
            </w:r>
          </w:p>
        </w:tc>
      </w:tr>
      <w:tr>
        <w:trPr/>
        <w:tc>
          <w:tcPr>
            <w:tcW w:w="57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Непрекъснато, през цялото работно време</w:t>
            </w:r>
          </w:p>
        </w:tc>
        <w:tc>
          <w:tcPr>
            <w:tcW w:w="20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10,0</w:t>
            </w:r>
          </w:p>
        </w:tc>
      </w:tr>
    </w:tbl>
    <w:p>
      <w:pPr>
        <w:pStyle w:val="Normal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</w:r>
    </w:p>
    <w:tbl>
      <w:tblPr>
        <w:tblW w:w="78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60"/>
        <w:gridCol w:w="3600"/>
        <w:gridCol w:w="2040"/>
      </w:tblGrid>
      <w:tr>
        <w:trPr>
          <w:cantSplit/>
        </w:trPr>
        <w:tc>
          <w:tcPr>
            <w:tcW w:w="7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Последици (тежест на вредата) (П)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Малки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/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 xml:space="preserve">  </w:t>
            </w: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Без загуби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1,0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bookmarkStart w:id="0" w:name="_Hlk68011753"/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Значителни</w:t>
            </w:r>
            <w:bookmarkEnd w:id="0"/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С минимални загуби до 10%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3,0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Сериозни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 xml:space="preserve">  </w:t>
            </w: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Със Загуби до 20%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7,0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Опасни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 xml:space="preserve">  </w:t>
            </w: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Със Загуби над 20%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15,0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Катастрофални</w:t>
            </w:r>
          </w:p>
        </w:tc>
        <w:tc>
          <w:tcPr>
            <w:tcW w:w="3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 xml:space="preserve">  </w:t>
            </w: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Със Загуби над 40%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40,0</w:t>
            </w:r>
          </w:p>
        </w:tc>
      </w:tr>
    </w:tbl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283"/>
        <w:jc w:val="both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10800" w:leader="none"/>
        </w:tabs>
        <w:ind w:hanging="16" w:end="140"/>
        <w:jc w:val="both"/>
        <w:rPr/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     </w:t>
      </w:r>
      <w:r>
        <w:rPr>
          <w:rFonts w:cs="Arial" w:ascii="Arial Narrow" w:hAnsi="Arial Narrow"/>
          <w:sz w:val="22"/>
          <w:szCs w:val="22"/>
          <w:lang w:eastAsia="en-US"/>
        </w:rPr>
        <w:t>Вероятността за нанасяне на вреда се преценява по: честотата, продължителността и спецификата на експозиция; вероятността от възникване на определено събитие; техническите възможности за ограничаване на/или избягване на вредата;.</w:t>
      </w:r>
    </w:p>
    <w:p>
      <w:pPr>
        <w:pStyle w:val="Normal"/>
        <w:tabs>
          <w:tab w:val="clear" w:pos="708"/>
          <w:tab w:val="left" w:pos="-720" w:leader="none"/>
          <w:tab w:val="left" w:pos="10800" w:leader="none"/>
        </w:tabs>
        <w:ind w:hanging="16" w:end="140"/>
        <w:jc w:val="both"/>
        <w:rPr/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     </w:t>
      </w:r>
      <w:r>
        <w:rPr>
          <w:rFonts w:cs="Arial" w:ascii="Arial Narrow" w:hAnsi="Arial Narrow"/>
          <w:sz w:val="22"/>
          <w:szCs w:val="22"/>
          <w:lang w:eastAsia="en-US"/>
        </w:rPr>
        <w:t>Тежестта на вредата се преценява съобразно степента на значимостта на въздействие:</w:t>
      </w:r>
    </w:p>
    <w:p>
      <w:pPr>
        <w:pStyle w:val="Normal"/>
        <w:tabs>
          <w:tab w:val="clear" w:pos="708"/>
          <w:tab w:val="left" w:pos="-720" w:leader="none"/>
          <w:tab w:val="left" w:pos="10800" w:leader="none"/>
        </w:tabs>
        <w:ind w:hanging="16" w:end="140"/>
        <w:jc w:val="both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10800" w:leader="none"/>
        </w:tabs>
        <w:ind w:end="140"/>
        <w:jc w:val="both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  <w:t>-малки- без загуби. Това са последици без сериозни загуби;</w:t>
      </w:r>
    </w:p>
    <w:p>
      <w:pPr>
        <w:pStyle w:val="Style14"/>
        <w:jc w:val="both"/>
        <w:rPr>
          <w:rFonts w:ascii="Arial Narrow" w:hAnsi="Arial Narrow" w:cs="Arial"/>
          <w:b w:val="false"/>
          <w:bCs w:val="false"/>
          <w:sz w:val="22"/>
          <w:szCs w:val="22"/>
        </w:rPr>
      </w:pPr>
      <w:r>
        <w:rPr>
          <w:rFonts w:cs="Arial" w:ascii="Arial Narrow" w:hAnsi="Arial Narrow"/>
          <w:b w:val="false"/>
          <w:bCs w:val="false"/>
          <w:sz w:val="22"/>
          <w:szCs w:val="22"/>
        </w:rPr>
        <w:t>-</w:t>
      </w:r>
      <w:r>
        <w:rPr>
          <w:rFonts w:cs="Arial Narrow" w:ascii="Arial Narrow" w:hAnsi="Arial Narrow"/>
          <w:b w:val="false"/>
          <w:bCs w:val="false"/>
          <w:sz w:val="22"/>
          <w:szCs w:val="22"/>
        </w:rPr>
        <w:t xml:space="preserve"> </w:t>
      </w:r>
      <w:r>
        <w:rPr>
          <w:rFonts w:cs="Arial" w:ascii="Arial Narrow" w:hAnsi="Arial Narrow"/>
          <w:b w:val="false"/>
          <w:bCs w:val="false"/>
          <w:sz w:val="22"/>
          <w:szCs w:val="22"/>
        </w:rPr>
        <w:t>значителни - С минимални загуби до 10%;</w:t>
      </w:r>
    </w:p>
    <w:p>
      <w:pPr>
        <w:pStyle w:val="Style14"/>
        <w:jc w:val="both"/>
        <w:rPr/>
      </w:pPr>
      <w:r>
        <w:rPr>
          <w:rFonts w:cs="Arial" w:ascii="Arial Narrow" w:hAnsi="Arial Narrow"/>
          <w:b w:val="false"/>
          <w:bCs w:val="false"/>
          <w:sz w:val="22"/>
          <w:szCs w:val="22"/>
        </w:rPr>
        <w:t xml:space="preserve">-сериозни- Със Загуби до 20%. </w:t>
      </w:r>
    </w:p>
    <w:p>
      <w:pPr>
        <w:pStyle w:val="Style17"/>
        <w:spacing w:before="0" w:after="0"/>
        <w:jc w:val="both"/>
        <w:rPr/>
      </w:pPr>
      <w:r>
        <w:rPr>
          <w:rFonts w:cs="Arial" w:ascii="Arial Narrow" w:hAnsi="Arial Narrow"/>
          <w:sz w:val="22"/>
          <w:szCs w:val="22"/>
          <w:lang w:val="bg-BG" w:eastAsia="en-US"/>
        </w:rPr>
        <w:t xml:space="preserve">- опасни - </w:t>
      </w:r>
      <w:r>
        <w:rPr>
          <w:rFonts w:cs="Arial" w:ascii="Arial Narrow" w:hAnsi="Arial Narrow"/>
          <w:sz w:val="22"/>
          <w:szCs w:val="22"/>
        </w:rPr>
        <w:t>Със Загуби над 20%</w:t>
      </w:r>
    </w:p>
    <w:p>
      <w:pPr>
        <w:pStyle w:val="Style17"/>
        <w:spacing w:before="0" w:after="0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  <w:lang w:val="bg-BG" w:eastAsia="en-US"/>
        </w:rPr>
        <w:t xml:space="preserve">- катастрофални - </w:t>
      </w:r>
      <w:r>
        <w:rPr>
          <w:rFonts w:cs="Arial" w:ascii="Arial Narrow" w:hAnsi="Arial Narrow"/>
          <w:sz w:val="22"/>
          <w:szCs w:val="22"/>
        </w:rPr>
        <w:t>Със Загуби над 40%</w:t>
      </w:r>
    </w:p>
    <w:p>
      <w:pPr>
        <w:pStyle w:val="Style17"/>
        <w:spacing w:before="0" w:after="0"/>
        <w:jc w:val="both"/>
        <w:rPr>
          <w:rFonts w:ascii="Arial Narrow" w:hAnsi="Arial Narrow" w:cs="Arial"/>
          <w:sz w:val="22"/>
          <w:szCs w:val="22"/>
          <w:lang w:val="bg-BG" w:eastAsia="en-US"/>
        </w:rPr>
      </w:pPr>
      <w:r>
        <w:rPr>
          <w:rFonts w:cs="Arial" w:ascii="Arial Narrow" w:hAnsi="Arial Narrow"/>
          <w:sz w:val="22"/>
          <w:szCs w:val="22"/>
          <w:lang w:val="bg-BG"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/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      </w:t>
      </w:r>
      <w:r>
        <w:rPr>
          <w:rFonts w:cs="Arial" w:ascii="Arial Narrow" w:hAnsi="Arial Narrow"/>
          <w:b/>
          <w:sz w:val="22"/>
          <w:szCs w:val="22"/>
          <w:lang w:eastAsia="en-US"/>
        </w:rPr>
        <w:t>4.5.5.Изчисляване на риска се извършва, съгласно</w:t>
      </w:r>
      <w:r>
        <w:rPr>
          <w:rFonts w:cs="Arial" w:ascii="Arial Narrow" w:hAnsi="Arial Narrow"/>
          <w:b/>
          <w:color w:val="FF0000"/>
          <w:sz w:val="22"/>
          <w:szCs w:val="22"/>
          <w:lang w:eastAsia="en-US"/>
        </w:rPr>
        <w:t xml:space="preserve"> </w:t>
      </w:r>
      <w:r>
        <w:rPr>
          <w:rFonts w:cs="Arial" w:ascii="Arial Narrow" w:hAnsi="Arial Narrow"/>
          <w:b/>
          <w:sz w:val="22"/>
          <w:szCs w:val="22"/>
          <w:lang w:eastAsia="en-US"/>
        </w:rPr>
        <w:t>белгийската практика, по</w:t>
      </w:r>
      <w:r>
        <w:rPr>
          <w:rFonts w:cs="Arial" w:ascii="Arial Narrow" w:hAnsi="Arial Narrow"/>
          <w:b/>
          <w:color w:val="FF0000"/>
          <w:sz w:val="22"/>
          <w:szCs w:val="22"/>
          <w:lang w:eastAsia="en-US"/>
        </w:rPr>
        <w:t xml:space="preserve"> </w:t>
      </w:r>
      <w:r>
        <w:rPr>
          <w:rFonts w:cs="Arial" w:ascii="Arial Narrow" w:hAnsi="Arial Narrow"/>
          <w:b/>
          <w:sz w:val="22"/>
          <w:szCs w:val="22"/>
          <w:lang w:eastAsia="en-US"/>
        </w:rPr>
        <w:t xml:space="preserve">следната формула:  </w:t>
      </w:r>
      <w:r>
        <w:rPr>
          <w:rFonts w:cs="Arial" w:ascii="Arial Narrow" w:hAnsi="Arial Narrow"/>
          <w:b/>
          <w:bCs/>
          <w:color w:val="000000"/>
          <w:spacing w:val="-4"/>
          <w:w w:val="136"/>
          <w:sz w:val="22"/>
          <w:szCs w:val="22"/>
          <w:lang w:eastAsia="en-US"/>
        </w:rPr>
        <w:t xml:space="preserve">   Р = В </w:t>
      </w:r>
      <w:r>
        <w:rPr>
          <w:rFonts w:cs="Arial" w:ascii="Arial Narrow" w:hAnsi="Arial Narrow"/>
          <w:bCs/>
          <w:color w:val="000000"/>
          <w:spacing w:val="-4"/>
          <w:w w:val="136"/>
          <w:sz w:val="22"/>
          <w:szCs w:val="22"/>
          <w:lang w:eastAsia="en-US"/>
        </w:rPr>
        <w:t xml:space="preserve">х </w:t>
      </w:r>
      <w:r>
        <w:rPr>
          <w:rFonts w:cs="Arial" w:ascii="Arial Narrow" w:hAnsi="Arial Narrow"/>
          <w:b/>
          <w:bCs/>
          <w:color w:val="000000"/>
          <w:spacing w:val="-4"/>
          <w:w w:val="136"/>
          <w:sz w:val="22"/>
          <w:szCs w:val="22"/>
          <w:lang w:eastAsia="en-US"/>
        </w:rPr>
        <w:t xml:space="preserve">Е </w:t>
      </w:r>
      <w:r>
        <w:rPr>
          <w:rFonts w:cs="Arial" w:ascii="Arial Narrow" w:hAnsi="Arial Narrow"/>
          <w:bCs/>
          <w:color w:val="000000"/>
          <w:spacing w:val="-4"/>
          <w:w w:val="136"/>
          <w:sz w:val="22"/>
          <w:szCs w:val="22"/>
          <w:lang w:eastAsia="en-US"/>
        </w:rPr>
        <w:t xml:space="preserve">х </w:t>
      </w:r>
      <w:r>
        <w:rPr>
          <w:rFonts w:cs="Arial" w:ascii="Arial Narrow" w:hAnsi="Arial Narrow"/>
          <w:b/>
          <w:bCs/>
          <w:color w:val="000000"/>
          <w:spacing w:val="-4"/>
          <w:w w:val="136"/>
          <w:sz w:val="22"/>
          <w:szCs w:val="22"/>
          <w:lang w:eastAsia="en-US"/>
        </w:rPr>
        <w:t xml:space="preserve">П 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>
          <w:rFonts w:ascii="Arial Narrow" w:hAnsi="Arial Narrow" w:cs="Arial"/>
          <w:b/>
          <w:bCs/>
          <w:color w:val="FF0000"/>
          <w:spacing w:val="-4"/>
          <w:w w:val="136"/>
          <w:sz w:val="22"/>
          <w:szCs w:val="22"/>
          <w:lang w:eastAsia="en-US"/>
        </w:rPr>
      </w:pPr>
      <w:r>
        <w:rPr>
          <w:rFonts w:cs="Arial" w:ascii="Arial Narrow" w:hAnsi="Arial Narrow"/>
          <w:b/>
          <w:bCs/>
          <w:color w:val="FF0000"/>
          <w:spacing w:val="-4"/>
          <w:w w:val="136"/>
          <w:sz w:val="22"/>
          <w:szCs w:val="22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>
          <w:rFonts w:ascii="Arial Narrow" w:hAnsi="Arial Narrow" w:cs="Arial"/>
          <w:color w:val="FF0000"/>
          <w:sz w:val="22"/>
          <w:szCs w:val="22"/>
          <w:lang w:eastAsia="en-US"/>
        </w:rPr>
      </w:pPr>
      <w:r>
        <w:rPr>
          <w:rFonts w:cs="Arial" w:ascii="Arial Narrow" w:hAnsi="Arial Narrow"/>
          <w:color w:val="FF0000"/>
          <w:sz w:val="22"/>
          <w:szCs w:val="22"/>
          <w:lang w:eastAsia="en-US"/>
        </w:rPr>
        <w:tab/>
        <w:t xml:space="preserve">           </w:t>
      </w:r>
      <w:r>
        <w:rPr>
          <w:rFonts w:cs="Arial" w:ascii="Arial Narrow" w:hAnsi="Arial Narrow"/>
          <w:sz w:val="22"/>
          <w:szCs w:val="22"/>
          <w:lang w:eastAsia="en-US"/>
        </w:rPr>
        <w:t xml:space="preserve">Където:       </w:t>
      </w:r>
      <w:r>
        <w:rPr>
          <w:rFonts w:cs="Arial" w:ascii="Arial Narrow" w:hAnsi="Arial Narrow"/>
          <w:b/>
          <w:bCs/>
          <w:color w:val="000000"/>
          <w:spacing w:val="3"/>
          <w:sz w:val="22"/>
          <w:szCs w:val="22"/>
          <w:lang w:eastAsia="en-US"/>
        </w:rPr>
        <w:t xml:space="preserve">Р </w:t>
      </w:r>
      <w:r>
        <w:rPr>
          <w:rFonts w:cs="Arial" w:ascii="Arial Narrow" w:hAnsi="Arial Narrow"/>
          <w:color w:val="000000"/>
          <w:spacing w:val="3"/>
          <w:sz w:val="22"/>
          <w:szCs w:val="22"/>
          <w:lang w:eastAsia="en-US"/>
        </w:rPr>
        <w:t>– риск,</w:t>
      </w:r>
    </w:p>
    <w:p>
      <w:pPr>
        <w:pStyle w:val="Normal"/>
        <w:shd w:fill="FFFFFF" w:val="clear"/>
        <w:spacing w:lineRule="exact" w:line="322"/>
        <w:ind w:firstLine="720" w:end="-811"/>
        <w:rPr>
          <w:rFonts w:ascii="Arial Narrow" w:hAnsi="Arial Narrow" w:cs="Arial"/>
          <w:color w:val="000000"/>
          <w:spacing w:val="3"/>
          <w:sz w:val="22"/>
          <w:szCs w:val="22"/>
          <w:lang w:eastAsia="en-US"/>
        </w:rPr>
      </w:pPr>
      <w:r>
        <w:rPr>
          <w:rFonts w:cs="Arial" w:ascii="Arial Narrow" w:hAnsi="Arial Narrow"/>
          <w:b/>
          <w:color w:val="000000"/>
          <w:spacing w:val="7"/>
          <w:sz w:val="22"/>
          <w:szCs w:val="22"/>
          <w:lang w:eastAsia="en-US"/>
        </w:rPr>
        <w:t xml:space="preserve">                  </w:t>
      </w:r>
      <w:r>
        <w:rPr>
          <w:rFonts w:cs="Arial" w:ascii="Arial Narrow" w:hAnsi="Arial Narrow"/>
          <w:b/>
          <w:color w:val="000000"/>
          <w:spacing w:val="7"/>
          <w:sz w:val="22"/>
          <w:szCs w:val="22"/>
          <w:lang w:eastAsia="en-US"/>
        </w:rPr>
        <w:t xml:space="preserve">В </w:t>
      </w:r>
      <w:r>
        <w:rPr>
          <w:rFonts w:cs="Arial" w:ascii="Arial Narrow" w:hAnsi="Arial Narrow"/>
          <w:color w:val="000000"/>
          <w:spacing w:val="7"/>
          <w:sz w:val="22"/>
          <w:szCs w:val="22"/>
          <w:lang w:eastAsia="en-US"/>
        </w:rPr>
        <w:t xml:space="preserve">– вероятност, </w:t>
      </w:r>
    </w:p>
    <w:p>
      <w:pPr>
        <w:pStyle w:val="Normal"/>
        <w:shd w:fill="FFFFFF" w:val="clear"/>
        <w:spacing w:lineRule="exact" w:line="322"/>
        <w:ind w:firstLine="720" w:end="-811"/>
        <w:rPr/>
      </w:pPr>
      <w:r>
        <w:rPr>
          <w:rFonts w:cs="Arial" w:ascii="Arial Narrow" w:hAnsi="Arial Narrow"/>
          <w:b/>
          <w:color w:val="000000"/>
          <w:spacing w:val="1"/>
          <w:sz w:val="22"/>
          <w:szCs w:val="22"/>
          <w:lang w:eastAsia="en-US"/>
        </w:rPr>
        <w:t xml:space="preserve">                    </w:t>
      </w:r>
      <w:r>
        <w:rPr>
          <w:rFonts w:cs="Arial" w:ascii="Arial Narrow" w:hAnsi="Arial Narrow"/>
          <w:b/>
          <w:color w:val="000000"/>
          <w:spacing w:val="1"/>
          <w:sz w:val="22"/>
          <w:szCs w:val="22"/>
          <w:lang w:eastAsia="en-US"/>
        </w:rPr>
        <w:t xml:space="preserve">E </w:t>
      </w:r>
      <w:r>
        <w:rPr>
          <w:rFonts w:cs="Arial" w:ascii="Arial Narrow" w:hAnsi="Arial Narrow"/>
          <w:color w:val="000000"/>
          <w:spacing w:val="1"/>
          <w:sz w:val="22"/>
          <w:szCs w:val="22"/>
          <w:lang w:eastAsia="en-US"/>
        </w:rPr>
        <w:t xml:space="preserve">- честота на излагане/експозиция/, </w:t>
      </w:r>
    </w:p>
    <w:p>
      <w:pPr>
        <w:pStyle w:val="Normal"/>
        <w:shd w:fill="FFFFFF" w:val="clear"/>
        <w:spacing w:lineRule="exact" w:line="322"/>
        <w:ind w:firstLine="720" w:end="-811"/>
        <w:rPr>
          <w:rFonts w:ascii="Arial Narrow" w:hAnsi="Arial Narrow" w:cs="Arial"/>
          <w:color w:val="000000"/>
          <w:spacing w:val="3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pacing w:val="1"/>
          <w:sz w:val="22"/>
          <w:szCs w:val="22"/>
          <w:lang w:eastAsia="en-US"/>
        </w:rPr>
        <w:t xml:space="preserve">                    </w:t>
      </w:r>
      <w:r>
        <w:rPr>
          <w:rFonts w:cs="Arial" w:ascii="Arial Narrow" w:hAnsi="Arial Narrow"/>
          <w:b/>
          <w:color w:val="000000"/>
          <w:spacing w:val="3"/>
          <w:sz w:val="22"/>
          <w:szCs w:val="22"/>
          <w:lang w:eastAsia="en-US"/>
        </w:rPr>
        <w:t xml:space="preserve">П </w:t>
      </w:r>
      <w:r>
        <w:rPr>
          <w:rFonts w:cs="Arial" w:ascii="Arial Narrow" w:hAnsi="Arial Narrow"/>
          <w:color w:val="000000"/>
          <w:spacing w:val="3"/>
          <w:sz w:val="22"/>
          <w:szCs w:val="22"/>
          <w:lang w:eastAsia="en-US"/>
        </w:rPr>
        <w:t>– последици /тежест на вредата/.</w:t>
      </w:r>
    </w:p>
    <w:p>
      <w:pPr>
        <w:pStyle w:val="Normal"/>
        <w:shd w:fill="FFFFFF" w:val="clear"/>
        <w:spacing w:lineRule="exact" w:line="322"/>
        <w:ind w:firstLine="720" w:end="-811"/>
        <w:rPr>
          <w:rFonts w:ascii="Arial Narrow" w:hAnsi="Arial Narrow" w:cs="Arial"/>
          <w:color w:val="000000"/>
          <w:spacing w:val="3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pacing w:val="3"/>
          <w:sz w:val="22"/>
          <w:szCs w:val="22"/>
          <w:lang w:eastAsia="en-US"/>
        </w:rPr>
      </w:r>
    </w:p>
    <w:p>
      <w:pPr>
        <w:pStyle w:val="Normal"/>
        <w:shd w:fill="FFFFFF" w:val="clear"/>
        <w:spacing w:lineRule="exact" w:line="322"/>
        <w:ind w:firstLine="720" w:end="-811"/>
        <w:rPr>
          <w:rFonts w:ascii="Arial Narrow" w:hAnsi="Arial Narrow" w:cs="Arial"/>
          <w:color w:val="000000"/>
          <w:spacing w:val="3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pacing w:val="3"/>
          <w:sz w:val="22"/>
          <w:szCs w:val="22"/>
          <w:lang w:eastAsia="en-US"/>
        </w:rPr>
      </w:r>
    </w:p>
    <w:p>
      <w:pPr>
        <w:pStyle w:val="Normal"/>
        <w:shd w:fill="FFFFFF" w:val="clear"/>
        <w:spacing w:lineRule="exact" w:line="322"/>
        <w:ind w:firstLine="720" w:end="-811"/>
        <w:rPr>
          <w:rFonts w:ascii="Arial Narrow" w:hAnsi="Arial Narrow" w:cs="Arial"/>
          <w:color w:val="000000"/>
          <w:spacing w:val="3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pacing w:val="3"/>
          <w:sz w:val="22"/>
          <w:szCs w:val="22"/>
          <w:lang w:eastAsia="en-US"/>
        </w:rPr>
      </w:r>
    </w:p>
    <w:p>
      <w:pPr>
        <w:pStyle w:val="Normal"/>
        <w:shd w:fill="FFFFFF" w:val="clear"/>
        <w:spacing w:lineRule="exact" w:line="322"/>
        <w:ind w:firstLine="720" w:end="-811"/>
        <w:rPr>
          <w:rFonts w:ascii="Arial Narrow" w:hAnsi="Arial Narrow" w:cs="Arial"/>
          <w:color w:val="000000"/>
          <w:spacing w:val="3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pacing w:val="3"/>
          <w:sz w:val="22"/>
          <w:szCs w:val="22"/>
          <w:lang w:eastAsia="en-US"/>
        </w:rPr>
      </w:r>
    </w:p>
    <w:p>
      <w:pPr>
        <w:pStyle w:val="Normal"/>
        <w:shd w:fill="FFFFFF" w:val="clear"/>
        <w:spacing w:lineRule="exact" w:line="322"/>
        <w:ind w:firstLine="720" w:end="-811"/>
        <w:rPr>
          <w:rFonts w:ascii="Arial Narrow" w:hAnsi="Arial Narrow" w:cs="Arial"/>
          <w:color w:val="000000"/>
          <w:spacing w:val="3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pacing w:val="3"/>
          <w:sz w:val="22"/>
          <w:szCs w:val="22"/>
          <w:lang w:eastAsia="en-US"/>
        </w:rPr>
      </w:r>
    </w:p>
    <w:p>
      <w:pPr>
        <w:pStyle w:val="Normal"/>
        <w:shd w:fill="FFFFFF" w:val="clear"/>
        <w:spacing w:lineRule="exact" w:line="322"/>
        <w:ind w:start="734" w:end="0"/>
        <w:rPr>
          <w:rFonts w:ascii="Arial Narrow" w:hAnsi="Arial Narrow" w:cs="Arial"/>
          <w:b/>
          <w:color w:val="000000"/>
          <w:spacing w:val="3"/>
          <w:sz w:val="22"/>
          <w:szCs w:val="22"/>
          <w:lang w:eastAsia="en-US"/>
        </w:rPr>
      </w:pPr>
      <w:r>
        <w:rPr>
          <w:rFonts w:cs="Arial" w:ascii="Arial Narrow" w:hAnsi="Arial Narrow"/>
          <w:b/>
          <w:color w:val="000000"/>
          <w:spacing w:val="3"/>
          <w:sz w:val="22"/>
          <w:szCs w:val="22"/>
          <w:lang w:eastAsia="en-US"/>
        </w:rPr>
        <w:t xml:space="preserve">4.5.6.Решения за управление на риска се вземат съгласно табл. № 1 и табл.№ 2 </w:t>
      </w:r>
    </w:p>
    <w:p>
      <w:pPr>
        <w:pStyle w:val="Normal"/>
        <w:shd w:fill="FFFFFF" w:val="clear"/>
        <w:spacing w:lineRule="exact" w:line="322"/>
        <w:ind w:hanging="7306" w:start="7920" w:end="-271"/>
        <w:rPr/>
      </w:pPr>
      <w:r>
        <w:rPr>
          <w:rFonts w:cs="Arial" w:ascii="Arial Narrow" w:hAnsi="Arial Narrow"/>
          <w:color w:val="000000"/>
          <w:spacing w:val="3"/>
          <w:sz w:val="22"/>
          <w:szCs w:val="22"/>
          <w:lang w:eastAsia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shd w:fill="FFFFFF" w:val="clear"/>
        <w:spacing w:lineRule="exact" w:line="322"/>
        <w:ind w:hanging="7306" w:start="7920" w:end="-271"/>
        <w:rPr/>
      </w:pPr>
      <w:r>
        <w:rPr/>
        <w:t>Таблица № 1</w:t>
      </w:r>
    </w:p>
    <w:tbl>
      <w:tblPr>
        <w:tblW w:w="942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20"/>
        <w:gridCol w:w="4500"/>
        <w:gridCol w:w="3300"/>
      </w:tblGrid>
      <w:tr>
        <w:trPr>
          <w:trHeight w:val="106" w:hRule="atLeast"/>
          <w:cantSplit/>
        </w:trPr>
        <w:tc>
          <w:tcPr>
            <w:tcW w:w="94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iCs/>
                <w:sz w:val="22"/>
                <w:szCs w:val="22"/>
              </w:rPr>
            </w:pPr>
            <w:r>
              <w:rPr>
                <w:rFonts w:cs="Arial" w:ascii="Arial Narrow" w:hAnsi="Arial Narrow"/>
                <w:iCs/>
                <w:sz w:val="22"/>
                <w:szCs w:val="22"/>
              </w:rPr>
              <w:t>Превенция на риска</w:t>
            </w:r>
          </w:p>
        </w:tc>
      </w:tr>
      <w:tr>
        <w:trPr>
          <w:trHeight w:val="106" w:hRule="atLeast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4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Риск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4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Заключение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4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Действия</w:t>
            </w:r>
          </w:p>
        </w:tc>
      </w:tr>
      <w:tr>
        <w:trPr>
          <w:trHeight w:val="148" w:hRule="atLeast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Р &lt; 20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Рискът е незначителен и не се очаква увеличие в близко бъдеще.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Не са необходими действия.</w:t>
            </w:r>
          </w:p>
        </w:tc>
      </w:tr>
      <w:tr>
        <w:trPr>
          <w:trHeight w:val="94" w:hRule="atLeast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20 &lt; Р &lt; 70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Рискът е овладян на едно приемливо ниво, но може да се увеличи в бъдеще.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Не са необходими действия. Рискът трябва да се следи.</w:t>
            </w:r>
          </w:p>
        </w:tc>
      </w:tr>
      <w:tr>
        <w:trPr>
          <w:trHeight w:val="61" w:hRule="atLeast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70 &lt; Р &lt; 200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/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Незадоволително и неефективно овладян риск.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Рискът следва да се отстрани.</w:t>
            </w:r>
          </w:p>
        </w:tc>
      </w:tr>
      <w:tr>
        <w:trPr>
          <w:trHeight w:val="61" w:hRule="atLeast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200 &lt; Р &lt; 400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Повишен риск, който е незадоволително и неефективно овладян риск.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/>
            </w:pPr>
            <w:r>
              <w:rPr>
                <w:rFonts w:cs="Arial" w:ascii="Arial Narrow" w:hAnsi="Arial Narrow"/>
                <w:b w:val="false"/>
                <w:sz w:val="22"/>
                <w:szCs w:val="22"/>
              </w:rPr>
              <w:t>Незабавно вземане и прилагане на временни мерки, за да се предотврати и овладее излагането на тази опасност</w:t>
            </w:r>
          </w:p>
        </w:tc>
      </w:tr>
      <w:tr>
        <w:trPr>
          <w:trHeight w:val="61" w:hRule="atLeast"/>
        </w:trPr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Р &gt; 400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Голям риск, неефективно овладян</w:t>
            </w:r>
          </w:p>
        </w:tc>
        <w:tc>
          <w:tcPr>
            <w:tcW w:w="3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4"/>
              <w:jc w:val="start"/>
              <w:rPr>
                <w:rFonts w:ascii="Arial Narrow" w:hAnsi="Arial Narrow" w:cs="Arial"/>
                <w:b w:val="false"/>
                <w:sz w:val="22"/>
                <w:szCs w:val="22"/>
              </w:rPr>
            </w:pPr>
            <w:r>
              <w:rPr>
                <w:rFonts w:cs="Arial" w:ascii="Arial Narrow" w:hAnsi="Arial Narrow"/>
                <w:b w:val="false"/>
                <w:bCs w:val="false"/>
                <w:sz w:val="22"/>
                <w:szCs w:val="22"/>
              </w:rPr>
              <w:t>Да се прекъсне дейността. Да се предприемат незабавни мерки за отстраняването му.</w:t>
            </w:r>
          </w:p>
        </w:tc>
      </w:tr>
    </w:tbl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-331"/>
        <w:jc w:val="both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                                                                                                 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-331"/>
        <w:jc w:val="both"/>
        <w:rPr/>
      </w:pPr>
      <w:r>
        <w:rPr/>
        <w:t>Таблица № 2</w:t>
      </w:r>
    </w:p>
    <w:tbl>
      <w:tblPr>
        <w:tblW w:w="944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00"/>
        <w:gridCol w:w="2338"/>
        <w:gridCol w:w="5206"/>
      </w:tblGrid>
      <w:tr>
        <w:trPr>
          <w:trHeight w:val="233" w:hRule="atLeast"/>
        </w:trPr>
        <w:tc>
          <w:tcPr>
            <w:tcW w:w="944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/>
            </w:pP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 xml:space="preserve">                                                           </w:t>
            </w:r>
            <w:r>
              <w:rPr>
                <w:rFonts w:cs="Arial" w:ascii="Arial Narrow" w:hAnsi="Arial Narrow"/>
                <w:b/>
                <w:sz w:val="22"/>
                <w:szCs w:val="22"/>
                <w:lang w:eastAsia="en-US"/>
              </w:rPr>
              <w:t>Спепен на риска</w:t>
            </w:r>
          </w:p>
        </w:tc>
      </w:tr>
      <w:tr>
        <w:trPr>
          <w:trHeight w:val="233" w:hRule="atLeast"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start="-38" w:end="-108"/>
              <w:rPr>
                <w:rFonts w:ascii="Arial Narrow" w:hAnsi="Arial Narrow" w:cs="Arial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>Първа –        І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 Narrow" w:hAnsi="Arial Narrow" w:cs="Arial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 xml:space="preserve">             </w:t>
            </w: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>До   20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 Narrow" w:hAnsi="Arial Narrow" w:cs="Arial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>Твърде ограничен, приемлив риск</w:t>
            </w:r>
          </w:p>
        </w:tc>
      </w:tr>
      <w:tr>
        <w:trPr>
          <w:trHeight w:val="233" w:hRule="atLeast"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start="-38" w:end="-108"/>
              <w:rPr>
                <w:rFonts w:ascii="Arial Narrow" w:hAnsi="Arial Narrow" w:cs="Arial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>Втора –        ІІ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 Narrow" w:hAnsi="Arial Narrow" w:cs="Arial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>От 20   До   70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108" w:leader="none"/>
                <w:tab w:val="left" w:pos="9639" w:leader="none"/>
              </w:tabs>
              <w:ind w:hanging="513" w:start="-108" w:end="283"/>
              <w:jc w:val="both"/>
              <w:rPr>
                <w:rFonts w:ascii="Arial Narrow" w:hAnsi="Arial Narrow" w:cs="Arial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>Ннн   Неголям риск, необходимо е внимание</w:t>
            </w:r>
          </w:p>
        </w:tc>
      </w:tr>
      <w:tr>
        <w:trPr>
          <w:trHeight w:val="246" w:hRule="atLeast"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start="-38" w:end="-108"/>
              <w:rPr>
                <w:rFonts w:ascii="Arial Narrow" w:hAnsi="Arial Narrow" w:cs="Arial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>Трета  –      ІІІ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 Narrow" w:hAnsi="Arial Narrow" w:cs="Arial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>От 70   До 200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/>
            </w:pP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>Необходими са мерки за намаляване на риска</w:t>
            </w:r>
          </w:p>
        </w:tc>
      </w:tr>
      <w:tr>
        <w:trPr>
          <w:trHeight w:val="233" w:hRule="atLeast"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start="-38" w:end="-48"/>
              <w:rPr>
                <w:rFonts w:ascii="Arial Narrow" w:hAnsi="Arial Narrow" w:cs="Arial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>Четвърта – ІV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-44"/>
              <w:jc w:val="both"/>
              <w:rPr>
                <w:rFonts w:ascii="Arial Narrow" w:hAnsi="Arial Narrow" w:cs="Arial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>От 200  До 400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rPr>
                <w:rFonts w:ascii="Arial Narrow" w:hAnsi="Arial Narrow" w:cs="Arial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>Необходимо е незабавно подобряване на условията на труд</w:t>
            </w:r>
          </w:p>
        </w:tc>
      </w:tr>
      <w:tr>
        <w:trPr>
          <w:trHeight w:val="233" w:hRule="atLeast"/>
        </w:trPr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1534" w:leader="none"/>
                <w:tab w:val="left" w:pos="9639" w:leader="none"/>
              </w:tabs>
              <w:ind w:start="-38" w:end="-48"/>
              <w:rPr>
                <w:rFonts w:ascii="Arial Narrow" w:hAnsi="Arial Narrow" w:cs="Arial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>Пета  –        V</w:t>
            </w:r>
          </w:p>
        </w:tc>
        <w:tc>
          <w:tcPr>
            <w:tcW w:w="2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 Narrow" w:hAnsi="Arial Narrow" w:cs="Arial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 xml:space="preserve">           </w:t>
            </w: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>Над 400</w:t>
            </w:r>
          </w:p>
        </w:tc>
        <w:tc>
          <w:tcPr>
            <w:tcW w:w="52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-720" w:leader="none"/>
                <w:tab w:val="left" w:pos="9639" w:leader="none"/>
              </w:tabs>
              <w:ind w:end="283"/>
              <w:jc w:val="both"/>
              <w:rPr>
                <w:rFonts w:ascii="Arial Narrow" w:hAnsi="Arial Narrow" w:cs="Arial"/>
                <w:sz w:val="22"/>
                <w:szCs w:val="22"/>
                <w:lang w:eastAsia="en-US"/>
              </w:rPr>
            </w:pPr>
            <w:r>
              <w:rPr>
                <w:rFonts w:cs="Arial" w:ascii="Arial Narrow" w:hAnsi="Arial Narrow"/>
                <w:sz w:val="22"/>
                <w:szCs w:val="22"/>
                <w:lang w:eastAsia="en-US"/>
              </w:rPr>
              <w:t>Прекратяване на дейността до отстраняване на риска</w:t>
            </w:r>
          </w:p>
        </w:tc>
      </w:tr>
    </w:tbl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283"/>
        <w:jc w:val="both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  <w:t xml:space="preserve">  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283"/>
        <w:jc w:val="both"/>
        <w:rPr/>
      </w:pPr>
      <w:r>
        <w:rPr>
          <w:rFonts w:cs="Arial" w:ascii="Arial Narrow" w:hAnsi="Arial Narrow"/>
          <w:sz w:val="22"/>
          <w:szCs w:val="22"/>
          <w:lang w:eastAsia="en-US"/>
        </w:rPr>
        <w:t xml:space="preserve"> </w:t>
      </w:r>
      <w:r>
        <w:rPr>
          <w:rFonts w:cs="Arial" w:ascii="Arial Narrow" w:hAnsi="Arial Narrow"/>
          <w:b/>
          <w:sz w:val="22"/>
          <w:szCs w:val="22"/>
          <w:lang w:eastAsia="en-US"/>
        </w:rPr>
        <w:t>4.6. Планиране на мерки за предотвратяване на риска</w:t>
      </w:r>
    </w:p>
    <w:p>
      <w:pPr>
        <w:pStyle w:val="Normal"/>
        <w:jc w:val="both"/>
        <w:rPr/>
      </w:pPr>
      <w:r>
        <w:rPr>
          <w:rFonts w:cs="Arial" w:ascii="Arial Narrow" w:hAnsi="Arial Narrow"/>
          <w:b/>
          <w:sz w:val="22"/>
          <w:szCs w:val="22"/>
          <w:lang w:eastAsia="en-US"/>
        </w:rPr>
        <w:t xml:space="preserve">    </w:t>
      </w:r>
      <w:r>
        <w:rPr>
          <w:rFonts w:cs="Arial" w:ascii="Arial Narrow" w:hAnsi="Arial Narrow"/>
          <w:b/>
          <w:color w:val="FF0000"/>
          <w:sz w:val="22"/>
          <w:szCs w:val="22"/>
          <w:lang w:eastAsia="en-US"/>
        </w:rPr>
        <w:t xml:space="preserve">      </w:t>
      </w:r>
      <w:r>
        <w:rPr>
          <w:rFonts w:cs="Arial" w:ascii="Arial Narrow" w:hAnsi="Arial Narrow"/>
          <w:color w:val="000000"/>
          <w:sz w:val="22"/>
          <w:szCs w:val="22"/>
          <w:lang w:eastAsia="en-US"/>
        </w:rPr>
        <w:t>4.6.1.На о</w:t>
      </w:r>
      <w:r>
        <w:rPr>
          <w:rFonts w:cs="Arial" w:ascii="Arial Narrow" w:hAnsi="Arial Narrow"/>
          <w:sz w:val="22"/>
          <w:szCs w:val="22"/>
          <w:lang w:eastAsia="en-US"/>
        </w:rPr>
        <w:t xml:space="preserve">снование на оценката на риска се изготвя Ф2-09 „Програма за намаляване на риска”, в която се степенуват по приоритети мерките, сроковете и </w:t>
      </w:r>
      <w:r>
        <w:rPr>
          <w:rFonts w:cs="Arial" w:ascii="Arial Narrow" w:hAnsi="Arial Narrow"/>
          <w:color w:val="000000"/>
          <w:sz w:val="22"/>
          <w:szCs w:val="22"/>
          <w:lang w:eastAsia="en-US"/>
        </w:rPr>
        <w:t>отговорни лица, контрол за изпълнение и необходимите ресурси.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jc w:val="both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 xml:space="preserve">           </w:t>
      </w:r>
      <w:r>
        <w:rPr>
          <w:rFonts w:cs="Arial" w:ascii="Arial Narrow" w:hAnsi="Arial Narrow"/>
          <w:color w:val="000000"/>
          <w:sz w:val="22"/>
          <w:szCs w:val="22"/>
          <w:lang w:eastAsia="en-US"/>
        </w:rPr>
        <w:t xml:space="preserve">4.6.2.Задължително условие при откриване на ново работно място е за него да се състави Карта за оценка на риска за обекта. В противен случай преди започване на работа, управителят разпорежда  изготвяне на  оценка на риска. Ако оценката на риска е над допустимите граници, допълнително се изготвя </w:t>
      </w:r>
      <w:r>
        <w:rPr>
          <w:rFonts w:cs="Arial" w:ascii="Arial Narrow" w:hAnsi="Arial Narrow"/>
          <w:sz w:val="22"/>
          <w:szCs w:val="22"/>
          <w:lang w:eastAsia="en-US"/>
        </w:rPr>
        <w:t>Ф2-09 „Програма за намаляване на риска”.</w:t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  <w:t xml:space="preserve">           </w:t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</w:r>
    </w:p>
    <w:p>
      <w:pPr>
        <w:pStyle w:val="Normal"/>
        <w:rPr>
          <w:rFonts w:ascii="Arial Narrow" w:hAnsi="Arial Narrow" w:cs="Arial"/>
          <w:color w:val="000000"/>
          <w:sz w:val="22"/>
          <w:szCs w:val="22"/>
          <w:lang w:eastAsia="en-US"/>
        </w:rPr>
      </w:pPr>
      <w:r>
        <w:rPr>
          <w:rFonts w:cs="Arial" w:ascii="Arial Narrow" w:hAnsi="Arial Narrow"/>
          <w:color w:val="000000"/>
          <w:sz w:val="22"/>
          <w:szCs w:val="22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  <w:tab/>
        <w:t xml:space="preserve">            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283"/>
        <w:jc w:val="both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  <w:tab/>
        <w:t xml:space="preserve">    4.7. Преглед на идентифицирането на опасностите, оценяване на риска и овладяване на риска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end="283"/>
        <w:jc w:val="both"/>
        <w:rPr/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        </w:t>
      </w:r>
      <w:r>
        <w:rPr>
          <w:rFonts w:cs="Arial" w:ascii="Arial Narrow" w:hAnsi="Arial Narrow"/>
          <w:sz w:val="22"/>
          <w:szCs w:val="22"/>
          <w:lang w:eastAsia="en-US"/>
        </w:rPr>
        <w:t>Идентификация на опасностите и оценка на риска се извършва: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start="300" w:end="0"/>
        <w:jc w:val="both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    </w:t>
      </w:r>
      <w:r>
        <w:rPr>
          <w:rFonts w:cs="Arial" w:ascii="Arial Narrow" w:hAnsi="Arial Narrow"/>
          <w:sz w:val="22"/>
          <w:szCs w:val="22"/>
          <w:lang w:eastAsia="en-US"/>
        </w:rPr>
        <w:t>- не по-малко от веднъж годишно;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0"/>
        <w:jc w:val="both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        </w:t>
      </w:r>
      <w:r>
        <w:rPr>
          <w:rFonts w:cs="Arial" w:ascii="Arial Narrow" w:hAnsi="Arial Narrow"/>
          <w:sz w:val="22"/>
          <w:szCs w:val="22"/>
          <w:lang w:eastAsia="en-US"/>
        </w:rPr>
        <w:t>- при промени в дейността, входящите суровини и материали; промени в условията на извършване на дейността, усвояване на нови технологии, машини, след инциденти, злополуки и др.;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ind w:hanging="16" w:end="0"/>
        <w:jc w:val="both"/>
        <w:rPr/>
      </w:pPr>
      <w:r>
        <w:rPr>
          <w:rFonts w:cs="Arial" w:ascii="Arial Narrow" w:hAnsi="Arial Narrow"/>
          <w:sz w:val="22"/>
          <w:szCs w:val="22"/>
          <w:lang w:eastAsia="en-US"/>
        </w:rPr>
        <w:tab/>
        <w:t xml:space="preserve">            - при отваряне на нова работна площадка.</w:t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jc w:val="both"/>
        <w:rPr>
          <w:rFonts w:ascii="Arial Narrow" w:hAnsi="Arial Narrow" w:cs="Arial"/>
          <w:b/>
          <w:sz w:val="22"/>
          <w:szCs w:val="22"/>
          <w:lang w:eastAsia="en-US"/>
        </w:rPr>
      </w:pPr>
      <w:r>
        <w:rPr>
          <w:rFonts w:cs="Arial" w:ascii="Arial Narrow" w:hAnsi="Arial Narrow"/>
          <w:b/>
          <w:sz w:val="22"/>
          <w:szCs w:val="22"/>
          <w:lang w:eastAsia="en-US"/>
        </w:rPr>
      </w:r>
    </w:p>
    <w:p>
      <w:pPr>
        <w:pStyle w:val="Normal"/>
        <w:tabs>
          <w:tab w:val="clear" w:pos="708"/>
          <w:tab w:val="left" w:pos="-720" w:leader="none"/>
          <w:tab w:val="left" w:pos="9639" w:leader="none"/>
        </w:tabs>
        <w:jc w:val="both"/>
        <w:rPr>
          <w:rFonts w:ascii="Arial Narrow" w:hAnsi="Arial Narrow" w:cs="Arial"/>
          <w:b/>
          <w:sz w:val="22"/>
          <w:szCs w:val="22"/>
          <w:lang w:eastAsia="en-US"/>
        </w:rPr>
      </w:pPr>
      <w:r>
        <w:rPr>
          <w:rFonts w:cs="Arial" w:ascii="Arial Narrow" w:hAnsi="Arial Narrow"/>
          <w:b/>
          <w:sz w:val="22"/>
          <w:szCs w:val="22"/>
          <w:lang w:eastAsia="en-US"/>
        </w:rPr>
      </w:r>
    </w:p>
    <w:p>
      <w:pPr>
        <w:pStyle w:val="Normal"/>
        <w:jc w:val="both"/>
        <w:rPr>
          <w:rFonts w:ascii="Arial Narrow" w:hAnsi="Arial Narrow" w:cs="Arial"/>
          <w:b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      </w:t>
      </w:r>
      <w:r>
        <w:rPr>
          <w:rFonts w:cs="Arial" w:ascii="Arial Narrow" w:hAnsi="Arial Narrow"/>
          <w:b/>
          <w:sz w:val="22"/>
          <w:szCs w:val="22"/>
          <w:lang w:eastAsia="en-US"/>
        </w:rPr>
        <w:t>Съпътстващи документи</w:t>
      </w:r>
      <w:r>
        <w:rPr>
          <w:rFonts w:cs="Arial" w:ascii="Arial Narrow" w:hAnsi="Arial Narrow"/>
          <w:b/>
          <w:color w:val="000000"/>
          <w:sz w:val="22"/>
          <w:szCs w:val="22"/>
          <w:lang w:eastAsia="en-US"/>
        </w:rPr>
        <w:t xml:space="preserve">  </w:t>
      </w:r>
    </w:p>
    <w:p>
      <w:pPr>
        <w:pStyle w:val="Header"/>
        <w:numPr>
          <w:ilvl w:val="0"/>
          <w:numId w:val="3"/>
        </w:numPr>
        <w:tabs>
          <w:tab w:val="clear" w:pos="4536"/>
          <w:tab w:val="clear" w:pos="9072"/>
          <w:tab w:val="center" w:pos="4153" w:leader="none"/>
          <w:tab w:val="right" w:pos="8306" w:leader="none"/>
        </w:tabs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 Narrow" w:ascii="Arial Narrow" w:hAnsi="Arial Narrow"/>
          <w:sz w:val="22"/>
        </w:rPr>
        <w:t>ФЕУ 05.1</w:t>
      </w:r>
      <w:r>
        <w:rPr>
          <w:rFonts w:cs="Arial" w:ascii="Arial Narrow" w:hAnsi="Arial Narrow"/>
          <w:sz w:val="22"/>
          <w:szCs w:val="22"/>
          <w:lang w:eastAsia="en-US"/>
        </w:rPr>
        <w:t xml:space="preserve"> „Оценка на риска";</w:t>
      </w:r>
    </w:p>
    <w:p>
      <w:pPr>
        <w:pStyle w:val="Header"/>
        <w:numPr>
          <w:ilvl w:val="0"/>
          <w:numId w:val="3"/>
        </w:numPr>
        <w:tabs>
          <w:tab w:val="clear" w:pos="4536"/>
          <w:tab w:val="clear" w:pos="9072"/>
          <w:tab w:val="center" w:pos="4153" w:leader="none"/>
          <w:tab w:val="right" w:pos="8306" w:leader="none"/>
        </w:tabs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 Narrow" w:ascii="Arial Narrow" w:hAnsi="Arial Narrow"/>
          <w:sz w:val="22"/>
        </w:rPr>
        <w:t xml:space="preserve">ФЕУ 05.2 </w:t>
      </w:r>
      <w:r>
        <w:rPr>
          <w:rFonts w:cs="Arial" w:ascii="Arial Narrow" w:hAnsi="Arial Narrow"/>
          <w:sz w:val="22"/>
          <w:szCs w:val="22"/>
          <w:lang w:eastAsia="en-US"/>
        </w:rPr>
        <w:t>„Програма за намаляване на риска”.</w:t>
      </w:r>
    </w:p>
    <w:p>
      <w:pPr>
        <w:pStyle w:val="Header"/>
        <w:tabs>
          <w:tab w:val="clear" w:pos="4536"/>
          <w:tab w:val="clear" w:pos="9072"/>
          <w:tab w:val="center" w:pos="4153" w:leader="none"/>
          <w:tab w:val="right" w:pos="8306" w:leader="none"/>
        </w:tabs>
        <w:ind w:start="720" w:end="0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</w:r>
    </w:p>
    <w:p>
      <w:pPr>
        <w:pStyle w:val="Normal"/>
        <w:jc w:val="both"/>
        <w:rPr>
          <w:rFonts w:ascii="Arial Narrow" w:hAnsi="Arial Narrow" w:cs="Arial"/>
          <w:sz w:val="22"/>
          <w:szCs w:val="22"/>
          <w:lang w:eastAsia="en-US"/>
        </w:rPr>
      </w:pPr>
      <w:r>
        <w:rPr>
          <w:rFonts w:cs="Arial" w:ascii="Arial Narrow" w:hAnsi="Arial Narrow"/>
          <w:sz w:val="22"/>
          <w:szCs w:val="22"/>
          <w:lang w:eastAsia="en-US"/>
        </w:rPr>
        <w:t xml:space="preserve">     </w:t>
      </w:r>
      <w:r>
        <w:rPr>
          <w:rFonts w:cs="Arial" w:ascii="Arial Narrow" w:hAnsi="Arial Narrow"/>
          <w:b/>
          <w:sz w:val="22"/>
          <w:szCs w:val="22"/>
          <w:lang w:eastAsia="en-US"/>
        </w:rPr>
        <w:t xml:space="preserve">    </w:t>
      </w:r>
      <w:r>
        <w:rPr>
          <w:rFonts w:cs="Arial" w:ascii="Arial Narrow" w:hAnsi="Arial Narrow"/>
          <w:b/>
          <w:sz w:val="22"/>
          <w:szCs w:val="22"/>
          <w:lang w:eastAsia="en-US"/>
        </w:rPr>
        <w:t>Отговорности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-720" w:leader="none"/>
          <w:tab w:val="left" w:pos="993" w:leader="none"/>
        </w:tabs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b/>
          <w:sz w:val="22"/>
          <w:szCs w:val="22"/>
        </w:rPr>
        <w:t>Управител</w:t>
      </w:r>
      <w:r>
        <w:rPr>
          <w:rFonts w:cs="Arial" w:ascii="Arial Narrow" w:hAnsi="Arial Narrow"/>
          <w:sz w:val="22"/>
          <w:szCs w:val="22"/>
        </w:rPr>
        <w:t xml:space="preserve"> </w:t>
      </w:r>
    </w:p>
    <w:p>
      <w:pPr>
        <w:pStyle w:val="BodyText"/>
        <w:tabs>
          <w:tab w:val="clear" w:pos="708"/>
          <w:tab w:val="left" w:pos="-720" w:leader="none"/>
        </w:tabs>
        <w:ind w:start="360" w:end="0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sz w:val="22"/>
          <w:szCs w:val="22"/>
        </w:rPr>
        <w:t xml:space="preserve">      </w:t>
      </w:r>
      <w:r>
        <w:rPr>
          <w:rFonts w:cs="Arial" w:ascii="Arial Narrow" w:hAnsi="Arial Narrow"/>
          <w:b/>
          <w:sz w:val="22"/>
          <w:szCs w:val="22"/>
        </w:rPr>
        <w:t xml:space="preserve">Представител от ръководството по здраве и безопасност при работа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-720" w:leader="none"/>
          <w:tab w:val="left" w:pos="993" w:leader="none"/>
          <w:tab w:val="left" w:pos="9639" w:leader="none"/>
        </w:tabs>
        <w:ind w:hanging="360" w:start="1080" w:end="425"/>
        <w:jc w:val="both"/>
        <w:rPr>
          <w:rFonts w:ascii="Arial Narrow" w:hAnsi="Arial Narrow" w:cs="Arial"/>
          <w:sz w:val="22"/>
          <w:szCs w:val="22"/>
        </w:rPr>
      </w:pPr>
      <w:r>
        <w:rPr>
          <w:rFonts w:cs="Arial" w:ascii="Arial Narrow" w:hAnsi="Arial Narrow"/>
          <w:b/>
          <w:sz w:val="22"/>
          <w:szCs w:val="22"/>
        </w:rPr>
        <w:t>Екип по енергийна ефективност</w:t>
      </w:r>
    </w:p>
    <w:p>
      <w:pPr>
        <w:pStyle w:val="Normal"/>
        <w:rPr>
          <w:rFonts w:ascii="Arial" w:hAnsi="Arial" w:cs="Arial"/>
          <w:sz w:val="22"/>
          <w:szCs w:val="22"/>
          <w:lang w:val="en-US" w:eastAsia="en-US"/>
        </w:rPr>
      </w:pPr>
      <w:r>
        <w:rPr>
          <w:rFonts w:cs="Arial" w:ascii="Arial" w:hAnsi="Arial"/>
          <w:sz w:val="22"/>
          <w:szCs w:val="22"/>
          <w:lang w:val="en-US" w:eastAsia="en-US"/>
        </w:rPr>
      </w:r>
    </w:p>
    <w:p>
      <w:pPr>
        <w:pStyle w:val="Normal"/>
        <w:rPr>
          <w:rFonts w:ascii="Arial" w:hAnsi="Arial" w:cs="Arial"/>
          <w:lang w:val="en-US" w:eastAsia="en-US"/>
        </w:rPr>
      </w:pPr>
      <w:r>
        <w:rPr>
          <w:rFonts w:cs="Arial" w:ascii="Arial" w:hAnsi="Arial"/>
          <w:lang w:val="en-US" w:eastAsia="en-US"/>
        </w:rPr>
      </w:r>
    </w:p>
    <w:sectPr>
      <w:type w:val="nextPage"/>
      <w:pgSz w:w="11906" w:h="16838"/>
      <w:pgMar w:left="1417" w:right="1417" w:gutter="0" w:header="0" w:top="567" w:footer="0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Tahoma">
    <w:charset w:val="00" w:characterSet="windows-1252"/>
    <w:family w:val="swiss"/>
    <w:pitch w:val="variable"/>
  </w:font>
  <w:font w:name="Calibri Light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Arial">
    <w:charset w:val="cc" w:characterSet="windows-1251"/>
    <w:family w:val="swiss"/>
    <w:pitch w:val="variable"/>
  </w:font>
  <w:font w:name="TmsCyr">
    <w:altName w:val="Times New Roman"/>
    <w:charset w:val="00" w:characterSet="windows-1252"/>
    <w:family w:val="roman"/>
    <w:pitch w:val="variable"/>
  </w:font>
  <w:font w:name="Arial Narrow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020"/>
        </w:tabs>
        <w:ind w:start="10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184"/>
        </w:tabs>
        <w:ind w:start="1184" w:hanging="360"/>
      </w:pPr>
      <w:rPr>
        <w:rFonts w:ascii="Symbol" w:hAnsi="Symbol" w:cs="Symbol" w:hint="default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bg-BG" w:eastAsia="bg-BG" w:bidi="ar-SA"/>
    </w:rPr>
  </w:style>
  <w:style w:type="paragraph" w:styleId="Heading2">
    <w:name w:val="heading 2"/>
    <w:basedOn w:val="Normal"/>
    <w:next w:val="BodyText"/>
    <w:qFormat/>
    <w:pPr>
      <w:widowControl w:val="false"/>
      <w:numPr>
        <w:ilvl w:val="1"/>
        <w:numId w:val="1"/>
      </w:numPr>
      <w:autoSpaceDE w:val="false"/>
      <w:ind w:hanging="0" w:start="106" w:end="0"/>
      <w:outlineLvl w:val="1"/>
    </w:pPr>
    <w:rPr>
      <w:rFonts w:ascii="Tahoma" w:hAnsi="Tahoma" w:eastAsia="Tahoma" w:cs="Tahoma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libri Light" w:hAnsi="Calibri Light" w:eastAsia="Times New Roman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Times New Roman"/>
      <w:b/>
      <w:bCs/>
      <w:sz w:val="28"/>
      <w:szCs w:val="28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 w:eastAsia="Times New Roman" w:cs="Times New Roma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5z4">
    <w:name w:val="WW8Num5z4"/>
    <w:qFormat/>
    <w:rPr>
      <w:rFonts w:ascii="Courier New" w:hAnsi="Courier New" w:cs="Courier New"/>
    </w:rPr>
  </w:style>
  <w:style w:type="character" w:styleId="WW8Num6z0">
    <w:name w:val="WW8Num6z0"/>
    <w:qFormat/>
    <w:rPr>
      <w:rFonts w:ascii="Symbol" w:hAnsi="Symbol" w:cs="Symbol"/>
      <w:color w:val="000000"/>
    </w:rPr>
  </w:style>
  <w:style w:type="character" w:styleId="Style10">
    <w:name w:val="Шрифт на абзаца по подразбиране"/>
    <w:qFormat/>
    <w:rPr/>
  </w:style>
  <w:style w:type="character" w:styleId="PageNumber">
    <w:name w:val="page number"/>
    <w:basedOn w:val="Style10"/>
    <w:rPr/>
  </w:style>
  <w:style w:type="character" w:styleId="Style11">
    <w:name w:val="Основен текст Знак"/>
    <w:qFormat/>
    <w:rPr>
      <w:rFonts w:ascii="Arial" w:hAnsi="Arial" w:cs="Arial"/>
      <w:sz w:val="16"/>
    </w:rPr>
  </w:style>
  <w:style w:type="character" w:styleId="2">
    <w:name w:val="Основен текст 2 Знак"/>
    <w:qFormat/>
    <w:rPr>
      <w:rFonts w:ascii="Arial" w:hAnsi="Arial" w:cs="Arial"/>
      <w:sz w:val="22"/>
    </w:rPr>
  </w:style>
  <w:style w:type="character" w:styleId="Style12">
    <w:name w:val="Заглавие Знак"/>
    <w:qFormat/>
    <w:rPr>
      <w:b/>
      <w:bCs/>
      <w:sz w:val="24"/>
      <w:szCs w:val="24"/>
    </w:rPr>
  </w:style>
  <w:style w:type="character" w:styleId="21">
    <w:name w:val="Заглавие 2 Знак"/>
    <w:qFormat/>
    <w:rPr>
      <w:rFonts w:ascii="Tahoma" w:hAnsi="Tahoma" w:eastAsia="Tahoma" w:cs="Tahoma"/>
      <w:b/>
      <w:bCs/>
    </w:rPr>
  </w:style>
  <w:style w:type="character" w:styleId="3">
    <w:name w:val="Заглавие 3 Знак"/>
    <w:qFormat/>
    <w:rPr>
      <w:rFonts w:ascii="Calibri Light" w:hAnsi="Calibri Light" w:eastAsia="Times New Roman" w:cs="Times New Roman"/>
      <w:b/>
      <w:bCs/>
      <w:sz w:val="26"/>
      <w:szCs w:val="26"/>
      <w:lang w:val="bg-BG" w:eastAsia="bg-BG"/>
    </w:rPr>
  </w:style>
  <w:style w:type="character" w:styleId="4">
    <w:name w:val="Заглавие 4 Знак"/>
    <w:qFormat/>
    <w:rPr>
      <w:rFonts w:ascii="Calibri" w:hAnsi="Calibri" w:eastAsia="Times New Roman" w:cs="Times New Roman"/>
      <w:b/>
      <w:bCs/>
      <w:sz w:val="28"/>
      <w:szCs w:val="28"/>
      <w:lang w:val="bg-BG" w:eastAsia="bg-BG"/>
    </w:rPr>
  </w:style>
  <w:style w:type="character" w:styleId="7">
    <w:name w:val="Заглавие 7 Знак"/>
    <w:qFormat/>
    <w:rPr>
      <w:rFonts w:ascii="Calibri" w:hAnsi="Calibri" w:eastAsia="Times New Roman" w:cs="Times New Roman"/>
      <w:sz w:val="24"/>
      <w:szCs w:val="24"/>
      <w:lang w:val="bg-BG" w:eastAsia="bg-BG"/>
    </w:rPr>
  </w:style>
  <w:style w:type="character" w:styleId="Style13">
    <w:name w:val="Горен колонтитул Знак"/>
    <w:qFormat/>
    <w:rPr>
      <w:sz w:val="24"/>
      <w:szCs w:val="24"/>
      <w:lang w:val="bg-BG" w:eastAsia="bg-BG"/>
    </w:rPr>
  </w:style>
  <w:style w:type="paragraph" w:styleId="Style14">
    <w:name w:val="Заглавие"/>
    <w:basedOn w:val="Normal"/>
    <w:next w:val="BodyText"/>
    <w:qFormat/>
    <w:pPr>
      <w:jc w:val="center"/>
    </w:pPr>
    <w:rPr>
      <w:b/>
      <w:bCs/>
    </w:rPr>
  </w:style>
  <w:style w:type="paragraph" w:styleId="BodyText">
    <w:name w:val="Body Text"/>
    <w:basedOn w:val="Normal"/>
    <w:pPr/>
    <w:rPr>
      <w:rFonts w:ascii="Arial" w:hAnsi="Arial" w:cs="Arial"/>
      <w:sz w:val="16"/>
      <w:szCs w:val="20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Char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Subtitle">
    <w:name w:val="Subtitle"/>
    <w:basedOn w:val="Normal"/>
    <w:next w:val="BodyText"/>
    <w:qFormat/>
    <w:pPr>
      <w:jc w:val="center"/>
    </w:pPr>
    <w:rPr>
      <w:sz w:val="28"/>
      <w:szCs w:val="20"/>
    </w:rPr>
  </w:style>
  <w:style w:type="paragraph" w:styleId="Style17">
    <w:name w:val="Нормален (уеб)"/>
    <w:basedOn w:val="Normal"/>
    <w:qFormat/>
    <w:pPr>
      <w:spacing w:before="280" w:after="280"/>
    </w:pPr>
    <w:rPr>
      <w:color w:val="000000"/>
      <w:lang w:val="en-GB"/>
    </w:rPr>
  </w:style>
  <w:style w:type="paragraph" w:styleId="22">
    <w:name w:val="Основен текст 2"/>
    <w:basedOn w:val="Normal"/>
    <w:qFormat/>
    <w:pPr>
      <w:numPr>
        <w:ilvl w:val="0"/>
        <w:numId w:val="0"/>
      </w:numPr>
      <w:ind w:hanging="0" w:start="0" w:end="0"/>
    </w:pPr>
    <w:rPr>
      <w:rFonts w:ascii="Arial" w:hAnsi="Arial" w:cs="Arial"/>
      <w:sz w:val="22"/>
      <w:szCs w:val="20"/>
    </w:rPr>
  </w:style>
  <w:style w:type="paragraph" w:styleId="TOC3">
    <w:name w:val="toc 3"/>
    <w:basedOn w:val="Normal"/>
    <w:pPr>
      <w:ind w:firstLine="284" w:start="0" w:end="0"/>
    </w:pPr>
    <w:rPr>
      <w:rFonts w:ascii="TmsCyr;Times New Roman" w:hAnsi="TmsCyr;Times New Roman" w:cs="TmsCyr;Times New Roman"/>
      <w:b/>
      <w:szCs w:val="20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2021-03-30T15:19:00Z</dcterms:created>
  <dc:creator>Trenkov</dc:creator>
  <dc:description/>
  <cp:keywords/>
  <dc:language>bg-BG</dc:language>
  <cp:lastModifiedBy>dell</cp:lastModifiedBy>
  <dcterms:modified xsi:type="dcterms:W3CDTF">2024-11-07T13:38:00Z</dcterms:modified>
  <cp:revision>26</cp:revision>
  <dc:subject/>
  <dc:title/>
</cp:coreProperties>
</file>