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lang w:val="bg-BG"/>
        </w:rPr>
      </w:pPr>
      <w:r>
        <w:rPr>
          <w:b/>
          <w:bCs/>
          <w:lang w:val="bg-BG"/>
        </w:rPr>
      </w:r>
    </w:p>
    <w:p>
      <w:pPr>
        <w:pStyle w:val="Normal"/>
        <w:ind w:end="18"/>
        <w:jc w:val="center"/>
        <w:rPr>
          <w:b/>
          <w:bCs/>
          <w:sz w:val="40"/>
          <w:szCs w:val="40"/>
          <w:lang w:val="bg-BG"/>
        </w:rPr>
      </w:pPr>
      <w:r>
        <w:rPr>
          <w:b/>
          <w:bCs/>
          <w:sz w:val="40"/>
          <w:szCs w:val="40"/>
          <w:lang w:val="bg-BG"/>
        </w:rPr>
      </w:r>
    </w:p>
    <w:p>
      <w:pPr>
        <w:pStyle w:val="Normal"/>
        <w:ind w:end="18"/>
        <w:jc w:val="center"/>
        <w:rPr>
          <w:b/>
          <w:sz w:val="40"/>
          <w:szCs w:val="40"/>
          <w:lang w:val="bg-BG"/>
        </w:rPr>
      </w:pPr>
      <w:r>
        <w:rPr>
          <w:b/>
          <w:sz w:val="40"/>
          <w:szCs w:val="40"/>
          <w:lang w:val="bg-BG"/>
        </w:rPr>
        <w:t>ПЛАН</w:t>
      </w:r>
    </w:p>
    <w:p>
      <w:pPr>
        <w:pStyle w:val="Normal"/>
        <w:ind w:end="18"/>
        <w:jc w:val="center"/>
        <w:rPr/>
      </w:pPr>
      <w:r>
        <w:rPr>
          <w:b/>
        </w:rPr>
        <w:t xml:space="preserve">ЗА УПРАВЛЕНИЕ НА РИСКА </w:t>
      </w:r>
      <w:r>
        <w:rPr>
          <w:b/>
          <w:lang w:val="bg-BG"/>
        </w:rPr>
        <w:t>В</w:t>
      </w:r>
      <w:r>
        <w:rPr>
          <w:b/>
        </w:rPr>
        <w:t xml:space="preserve"> </w:t>
      </w:r>
    </w:p>
    <w:p>
      <w:pPr>
        <w:pStyle w:val="Normal"/>
        <w:jc w:val="center"/>
        <w:rPr>
          <w:b/>
          <w:bCs/>
          <w:lang w:val="bg-BG"/>
        </w:rPr>
      </w:pPr>
      <w:r>
        <w:rPr>
          <w:b/>
          <w:bCs/>
          <w:lang w:val="bg-BG"/>
        </w:rPr>
        <w:t>“</w:t>
      </w:r>
      <w:r>
        <w:rPr>
          <w:b/>
          <w:bCs/>
          <w:lang w:val="bg-BG"/>
        </w:rPr>
        <w:t>Артпласт” ЕООД</w:t>
      </w:r>
    </w:p>
    <w:p>
      <w:pPr>
        <w:pStyle w:val="Normal"/>
        <w:numPr>
          <w:ilvl w:val="0"/>
          <w:numId w:val="4"/>
        </w:numPr>
        <w:jc w:val="both"/>
        <w:rPr>
          <w:b/>
          <w:bCs/>
          <w:lang w:val="bg-BG"/>
        </w:rPr>
      </w:pPr>
      <w:r>
        <w:rPr>
          <w:b/>
          <w:bCs/>
          <w:lang w:val="bg-BG"/>
        </w:rPr>
        <w:t>ОСНОВНИ ПОЛОЖЕНИЯ</w:t>
      </w:r>
    </w:p>
    <w:p>
      <w:pPr>
        <w:pStyle w:val="Normal"/>
        <w:ind w:start="360" w:end="0"/>
        <w:jc w:val="both"/>
        <w:rPr/>
      </w:pPr>
      <w:r>
        <w:rPr>
          <w:lang w:val="bg-BG"/>
        </w:rPr>
        <w:t>Настоящият план за управление на риска съдържа:</w:t>
      </w:r>
    </w:p>
    <w:p>
      <w:pPr>
        <w:pStyle w:val="Normal"/>
        <w:ind w:start="360" w:end="0"/>
        <w:jc w:val="both"/>
        <w:rPr/>
      </w:pPr>
      <w:r>
        <w:rPr>
          <w:lang w:val="bg-BG"/>
        </w:rPr>
        <w:t>1.</w:t>
        <w:tab/>
        <w:t>Политика и процедури за установяване на рисковете, свързани с дейностите, за определяне на допустимото ниво на риск, ако такова може да бъде установено.</w:t>
      </w:r>
    </w:p>
    <w:p>
      <w:pPr>
        <w:pStyle w:val="Normal"/>
        <w:ind w:start="360" w:end="0"/>
        <w:jc w:val="both"/>
        <w:rPr/>
      </w:pPr>
      <w:r>
        <w:rPr>
          <w:lang w:val="bg-BG"/>
        </w:rPr>
        <w:t>2.</w:t>
        <w:tab/>
        <w:t>Ефективни процедури и мерки за управление на рисковете, свързани с дейностите, процедурите и системите.</w:t>
      </w:r>
    </w:p>
    <w:p>
      <w:pPr>
        <w:pStyle w:val="Normal"/>
        <w:ind w:start="360" w:end="0"/>
        <w:jc w:val="both"/>
        <w:rPr>
          <w:lang w:val="bg-BG"/>
        </w:rPr>
      </w:pPr>
      <w:r>
        <w:rPr>
          <w:lang w:val="bg-BG"/>
        </w:rPr>
        <w:t>3.</w:t>
        <w:tab/>
        <w:t>Механизми за осъществяване на наблюдение върху адекватността и ефективността на политиката и процедурите по т.1 и т.2;</w:t>
      </w:r>
    </w:p>
    <w:p>
      <w:pPr>
        <w:pStyle w:val="Normal"/>
        <w:ind w:start="360" w:end="0"/>
        <w:jc w:val="both"/>
        <w:rPr>
          <w:lang w:val="bg-BG"/>
        </w:rPr>
      </w:pPr>
      <w:r>
        <w:rPr>
          <w:lang w:val="bg-BG"/>
        </w:rPr>
        <w:t>4.</w:t>
        <w:tab/>
        <w:t xml:space="preserve">Механизми за наблюдение върху адекватността и ефективността на предприетите мерки за отстраняване на констатирани несъответствия в политиката и процедурите по т. 1 и процедурите и мерките по т. 2. </w:t>
      </w:r>
    </w:p>
    <w:p>
      <w:pPr>
        <w:pStyle w:val="Normal"/>
        <w:ind w:start="360" w:end="0"/>
        <w:jc w:val="both"/>
        <w:rPr>
          <w:b/>
          <w:lang w:val="bg-BG"/>
        </w:rPr>
      </w:pPr>
      <w:r>
        <w:rPr>
          <w:b/>
          <w:lang w:val="bg-BG"/>
        </w:rPr>
      </w:r>
    </w:p>
    <w:p>
      <w:pPr>
        <w:pStyle w:val="Normal"/>
        <w:ind w:start="360" w:end="0"/>
        <w:jc w:val="both"/>
        <w:rPr>
          <w:b/>
          <w:lang w:val="bg-BG"/>
        </w:rPr>
      </w:pPr>
      <w:r>
        <w:rPr>
          <w:b/>
          <w:lang w:val="bg-BG"/>
        </w:rPr>
        <w:t xml:space="preserve">II. ПОЛИТИКА ЗА УПРАВЛЕНИЕ НА РИСКA НА“Артпласт” ЕООД </w:t>
      </w:r>
    </w:p>
    <w:p>
      <w:pPr>
        <w:pStyle w:val="Normal"/>
        <w:ind w:start="360" w:end="0"/>
        <w:jc w:val="both"/>
        <w:rPr>
          <w:lang w:val="bg-BG"/>
        </w:rPr>
      </w:pPr>
      <w:r>
        <w:rPr>
          <w:lang w:val="bg-BG"/>
        </w:rPr>
        <w:t>1. Политиката по управление на риска на</w:t>
      </w:r>
      <w:r>
        <w:rPr>
          <w:b/>
          <w:lang w:val="ru-RU"/>
        </w:rPr>
        <w:t xml:space="preserve">“Артпласт” ЕООД  </w:t>
      </w:r>
      <w:r>
        <w:rPr>
          <w:lang w:val="bg-BG"/>
        </w:rPr>
        <w:t xml:space="preserve">действа и се прилага интегрирано с всички вътрешно-нормативни документи. </w:t>
      </w:r>
    </w:p>
    <w:p>
      <w:pPr>
        <w:pStyle w:val="Normal"/>
        <w:ind w:start="360" w:end="0"/>
        <w:jc w:val="both"/>
        <w:rPr/>
      </w:pPr>
      <w:r>
        <w:rPr>
          <w:lang w:val="bg-BG"/>
        </w:rPr>
        <w:t>2.Целта на настоящата политиката е да се документират процедурите по установяване, управление, наблюдение и оценка на рисковете, свързани с дейностите, процедурите и системите.</w:t>
      </w:r>
    </w:p>
    <w:p>
      <w:pPr>
        <w:pStyle w:val="Normal"/>
        <w:ind w:start="360" w:end="0"/>
        <w:jc w:val="both"/>
        <w:rPr/>
      </w:pPr>
      <w:r>
        <w:rPr>
          <w:rFonts w:eastAsia="Times New Roman CYR"/>
          <w:b/>
          <w:bCs/>
          <w:lang w:val="bg-BG"/>
        </w:rPr>
        <w:t>„</w:t>
      </w:r>
      <w:r>
        <w:rPr>
          <w:rFonts w:eastAsia="Times New Roman CYR"/>
          <w:b/>
          <w:bCs/>
          <w:lang w:val="bg-BG"/>
        </w:rPr>
        <w:t xml:space="preserve">Артпласт” ЕООД  </w:t>
      </w:r>
      <w:r>
        <w:rPr>
          <w:lang w:val="bg-BG"/>
        </w:rPr>
        <w:t>разграничава следните видове рискове, свързани с дейностите, процедурите и системите:</w:t>
      </w:r>
    </w:p>
    <w:p>
      <w:pPr>
        <w:pStyle w:val="Header"/>
        <w:jc w:val="center"/>
        <w:rPr>
          <w:b/>
        </w:rPr>
      </w:pPr>
      <w:r>
        <w:rPr>
          <w:b/>
          <w:lang w:val="bg-BG"/>
        </w:rPr>
        <w:t>Вътрешни</w:t>
      </w:r>
      <w:r>
        <w:rPr>
          <w:lang w:val="bg-BG"/>
        </w:rPr>
        <w:t xml:space="preserve"> - свързани с организацията на работа на </w:t>
      </w:r>
      <w:r>
        <w:rPr>
          <w:b/>
          <w:lang w:val="bg-BG"/>
        </w:rPr>
        <w:t xml:space="preserve">„Артпласт” ЕООД  </w:t>
      </w:r>
    </w:p>
    <w:p>
      <w:pPr>
        <w:pStyle w:val="Normal"/>
        <w:numPr>
          <w:ilvl w:val="0"/>
          <w:numId w:val="3"/>
        </w:numPr>
        <w:jc w:val="both"/>
        <w:rPr>
          <w:lang w:val="bg-BG"/>
        </w:rPr>
      </w:pPr>
      <w:r>
        <w:rPr>
          <w:lang w:val="bg-BG"/>
        </w:rPr>
        <w:t xml:space="preserve">. </w:t>
      </w:r>
    </w:p>
    <w:p>
      <w:pPr>
        <w:pStyle w:val="Normal"/>
        <w:ind w:start="360" w:end="0"/>
        <w:jc w:val="both"/>
        <w:rPr/>
      </w:pPr>
      <w:r>
        <w:rPr>
          <w:lang w:val="bg-BG"/>
        </w:rPr>
        <w:t>Вътрешните рискове се състоят от, без да се ограничават до:</w:t>
      </w:r>
    </w:p>
    <w:p>
      <w:pPr>
        <w:pStyle w:val="Normal"/>
        <w:ind w:start="360" w:end="0"/>
        <w:jc w:val="both"/>
        <w:rPr>
          <w:lang w:val="bg-BG"/>
        </w:rPr>
      </w:pPr>
      <w:r>
        <w:rPr>
          <w:lang w:val="bg-BG"/>
        </w:rPr>
        <w:t xml:space="preserve">а) Рискове, свързани с персонала; </w:t>
      </w:r>
    </w:p>
    <w:p>
      <w:pPr>
        <w:pStyle w:val="Normal"/>
        <w:ind w:start="360" w:end="0"/>
        <w:jc w:val="both"/>
        <w:rPr>
          <w:lang w:val="bg-BG"/>
        </w:rPr>
      </w:pPr>
      <w:r>
        <w:rPr>
          <w:lang w:val="bg-BG"/>
        </w:rPr>
        <w:t xml:space="preserve">б) Рискове, свързани с процесите; </w:t>
      </w:r>
    </w:p>
    <w:p>
      <w:pPr>
        <w:pStyle w:val="Normal"/>
        <w:ind w:start="360" w:end="0"/>
        <w:jc w:val="both"/>
        <w:rPr>
          <w:lang w:val="bg-BG"/>
        </w:rPr>
      </w:pPr>
      <w:r>
        <w:rPr>
          <w:lang w:val="bg-BG"/>
        </w:rPr>
        <w:t>в) Рискове, свързани със системите;</w:t>
      </w:r>
    </w:p>
    <w:p>
      <w:pPr>
        <w:pStyle w:val="Normal"/>
        <w:ind w:start="360" w:end="0"/>
        <w:jc w:val="both"/>
        <w:rPr>
          <w:b/>
          <w:lang w:val="bg-BG"/>
        </w:rPr>
      </w:pPr>
      <w:r>
        <w:rPr>
          <w:lang w:val="bg-BG"/>
        </w:rPr>
        <w:t>2.</w:t>
        <w:tab/>
      </w:r>
      <w:r>
        <w:rPr>
          <w:b/>
          <w:lang w:val="bg-BG"/>
        </w:rPr>
        <w:t>Външни</w:t>
      </w:r>
      <w:r>
        <w:rPr>
          <w:lang w:val="bg-BG"/>
        </w:rPr>
        <w:t xml:space="preserve"> - свързани с макроикономически, политически и други фактори, които оказват и/или могат да окажат влияние върху дейността на </w:t>
      </w:r>
      <w:r>
        <w:rPr>
          <w:b/>
          <w:lang w:val="bg-BG"/>
        </w:rPr>
        <w:t xml:space="preserve">„Артпласт” ЕООД </w:t>
      </w:r>
    </w:p>
    <w:p>
      <w:pPr>
        <w:pStyle w:val="Normal"/>
        <w:ind w:start="360" w:end="0"/>
        <w:jc w:val="both"/>
        <w:rPr/>
      </w:pPr>
      <w:r>
        <w:rPr>
          <w:lang w:val="bg-BG"/>
        </w:rPr>
        <w:t>Външните рискове се състоят от, без да се ограничават до:</w:t>
      </w:r>
    </w:p>
    <w:p>
      <w:pPr>
        <w:pStyle w:val="Normal"/>
        <w:ind w:start="360" w:end="0"/>
        <w:jc w:val="both"/>
        <w:rPr>
          <w:lang w:val="bg-BG"/>
        </w:rPr>
      </w:pPr>
      <w:r>
        <w:rPr>
          <w:lang w:val="bg-BG"/>
        </w:rPr>
        <w:t>а) Риск на обкръжаващата среда;</w:t>
      </w:r>
    </w:p>
    <w:p>
      <w:pPr>
        <w:pStyle w:val="Normal"/>
        <w:ind w:start="360" w:end="0"/>
        <w:jc w:val="both"/>
        <w:rPr>
          <w:lang w:val="bg-BG"/>
        </w:rPr>
      </w:pPr>
      <w:r>
        <w:rPr>
          <w:lang w:val="bg-BG"/>
        </w:rPr>
        <w:t>б) Риск от физическо вмешателство;</w:t>
      </w:r>
    </w:p>
    <w:p>
      <w:pPr>
        <w:pStyle w:val="Normal"/>
        <w:ind w:start="360" w:end="0"/>
        <w:jc w:val="both"/>
        <w:rPr>
          <w:lang w:val="bg-BG"/>
        </w:rPr>
      </w:pPr>
      <w:r>
        <w:rPr>
          <w:lang w:val="bg-BG"/>
        </w:rPr>
      </w:r>
    </w:p>
    <w:p>
      <w:pPr>
        <w:pStyle w:val="Normal"/>
        <w:ind w:start="360" w:end="0"/>
        <w:jc w:val="both"/>
        <w:rPr>
          <w:b/>
          <w:lang w:val="bg-BG"/>
        </w:rPr>
      </w:pPr>
      <w:r>
        <w:rPr>
          <w:lang w:val="bg-BG"/>
        </w:rPr>
        <w:t xml:space="preserve">Оценката на рисковете се отчита от представителят на ръководството, въз основа на резултатите от описаната по-долу „Процедура по идентификация, оценка и контрол на риска”, прилагана от всички функционални звена на </w:t>
      </w:r>
      <w:r>
        <w:rPr>
          <w:b/>
          <w:lang w:val="bg-BG"/>
        </w:rPr>
        <w:t>„Артпласт” ЕООД .</w:t>
      </w:r>
    </w:p>
    <w:p>
      <w:pPr>
        <w:pStyle w:val="Normal"/>
        <w:ind w:start="360" w:end="0"/>
        <w:jc w:val="both"/>
        <w:rPr>
          <w:lang w:val="bg-BG"/>
        </w:rPr>
      </w:pPr>
      <w:r>
        <w:rPr>
          <w:lang w:val="bg-BG"/>
        </w:rPr>
        <w:t xml:space="preserve"> </w:t>
      </w:r>
    </w:p>
    <w:p>
      <w:pPr>
        <w:pStyle w:val="Normal"/>
        <w:ind w:start="360" w:end="0"/>
        <w:jc w:val="both"/>
        <w:rPr/>
      </w:pPr>
      <w:r>
        <w:rPr>
          <w:lang w:val="bg-BG"/>
        </w:rPr>
        <w:t>Въз основа на отчетените резултати, съгласно процедурата, представителят на ръководството отчита допустимо ниво на риск за организацията и осигурява извършването на дейността да бъде в рамките на определеното допустимо ниво.</w:t>
      </w:r>
    </w:p>
    <w:p>
      <w:pPr>
        <w:pStyle w:val="Normal"/>
        <w:ind w:start="360" w:end="0"/>
        <w:jc w:val="both"/>
        <w:rPr>
          <w:lang w:val="bg-BG"/>
        </w:rPr>
      </w:pPr>
      <w:r>
        <w:rPr>
          <w:lang w:val="bg-BG"/>
        </w:rPr>
      </w:r>
    </w:p>
    <w:p>
      <w:pPr>
        <w:pStyle w:val="Normal"/>
        <w:ind w:start="360" w:end="0"/>
        <w:jc w:val="both"/>
        <w:rPr>
          <w:b/>
          <w:lang w:val="bg-BG"/>
        </w:rPr>
      </w:pPr>
      <w:r>
        <w:rPr>
          <w:b/>
          <w:lang w:val="bg-BG"/>
        </w:rPr>
        <w:t>Рискове, свързани с персонала, свързани със загуби от:</w:t>
      </w:r>
    </w:p>
    <w:p>
      <w:pPr>
        <w:pStyle w:val="Normal"/>
        <w:ind w:start="360" w:end="0"/>
        <w:jc w:val="both"/>
        <w:rPr/>
      </w:pPr>
      <w:r>
        <w:rPr>
          <w:lang w:val="bg-BG"/>
        </w:rPr>
        <w:t>1.</w:t>
        <w:tab/>
        <w:t xml:space="preserve">Измами и кражби на лица, работещи по договор за </w:t>
      </w:r>
      <w:r>
        <w:rPr>
          <w:b/>
          <w:lang w:val="bg-BG"/>
        </w:rPr>
        <w:t>„Артпласт” ЕООД ;</w:t>
      </w:r>
    </w:p>
    <w:p>
      <w:pPr>
        <w:pStyle w:val="Normal"/>
        <w:ind w:start="360" w:end="0"/>
        <w:jc w:val="both"/>
        <w:rPr>
          <w:lang w:val="bg-BG"/>
        </w:rPr>
      </w:pPr>
      <w:r>
        <w:rPr>
          <w:lang w:val="bg-BG"/>
        </w:rPr>
        <w:t>2.</w:t>
        <w:tab/>
        <w:t xml:space="preserve">Недобросъвестно поведение от страна на служителите на </w:t>
      </w:r>
      <w:r>
        <w:rPr>
          <w:b/>
          <w:lang w:val="bg-BG"/>
        </w:rPr>
        <w:t xml:space="preserve">„Артпласт” ЕООД </w:t>
      </w:r>
      <w:r>
        <w:rPr>
          <w:lang w:val="bg-BG"/>
        </w:rPr>
        <w:t xml:space="preserve">, както и некоректно отношение на ръководния персонал към служителите; </w:t>
      </w:r>
    </w:p>
    <w:p>
      <w:pPr>
        <w:pStyle w:val="Normal"/>
        <w:ind w:start="360" w:end="0"/>
        <w:jc w:val="both"/>
        <w:rPr>
          <w:lang w:val="bg-BG"/>
        </w:rPr>
      </w:pPr>
      <w:r>
        <w:rPr>
          <w:lang w:val="bg-BG"/>
        </w:rPr>
        <w:t>3.</w:t>
        <w:tab/>
        <w:t xml:space="preserve">Недостатъчна квалификация и липса на подготовка на лицата, работещи по договор за </w:t>
      </w:r>
      <w:r>
        <w:rPr>
          <w:b/>
          <w:lang w:val="bg-BG"/>
        </w:rPr>
        <w:t xml:space="preserve">„Артпласт” ЕООД </w:t>
      </w:r>
      <w:r>
        <w:rPr>
          <w:lang w:val="bg-BG"/>
        </w:rPr>
        <w:t xml:space="preserve">; </w:t>
      </w:r>
    </w:p>
    <w:p>
      <w:pPr>
        <w:pStyle w:val="Normal"/>
        <w:ind w:start="360" w:end="0"/>
        <w:jc w:val="both"/>
        <w:rPr>
          <w:lang w:val="bg-BG"/>
        </w:rPr>
      </w:pPr>
      <w:r>
        <w:rPr>
          <w:lang w:val="bg-BG"/>
        </w:rPr>
        <w:t>4.</w:t>
        <w:tab/>
        <w:t>Неблагоприятни изменения в трудовото законодателство;</w:t>
      </w:r>
    </w:p>
    <w:p>
      <w:pPr>
        <w:pStyle w:val="Normal"/>
        <w:ind w:start="360" w:end="0"/>
        <w:jc w:val="both"/>
        <w:rPr>
          <w:lang w:val="bg-BG"/>
        </w:rPr>
      </w:pPr>
      <w:r>
        <w:rPr>
          <w:lang w:val="bg-BG"/>
        </w:rPr>
        <w:t>5.</w:t>
        <w:tab/>
        <w:t>Неосигурена безопасност на трудовата среда;</w:t>
      </w:r>
    </w:p>
    <w:p>
      <w:pPr>
        <w:pStyle w:val="Normal"/>
        <w:ind w:start="360" w:end="0"/>
        <w:jc w:val="both"/>
        <w:rPr>
          <w:lang w:val="bg-BG"/>
        </w:rPr>
      </w:pPr>
      <w:r>
        <w:rPr>
          <w:lang w:val="bg-BG"/>
        </w:rPr>
        <w:t>6.</w:t>
        <w:tab/>
        <w:t>Текучество;</w:t>
      </w:r>
    </w:p>
    <w:p>
      <w:pPr>
        <w:pStyle w:val="Normal"/>
        <w:ind w:start="360" w:end="0"/>
        <w:jc w:val="both"/>
        <w:rPr>
          <w:lang w:val="bg-BG"/>
        </w:rPr>
      </w:pPr>
      <w:r>
        <w:rPr>
          <w:lang w:val="bg-BG"/>
        </w:rPr>
        <w:t>7.</w:t>
        <w:tab/>
        <w:t>Нарушаване на правилата за вътрешна организация по отношение на злоупотреби с вътрешна информация;</w:t>
      </w:r>
    </w:p>
    <w:p>
      <w:pPr>
        <w:pStyle w:val="Normal"/>
        <w:ind w:start="360" w:end="0"/>
        <w:jc w:val="both"/>
        <w:rPr>
          <w:lang w:val="bg-BG"/>
        </w:rPr>
      </w:pPr>
      <w:r>
        <w:rPr>
          <w:lang w:val="bg-BG"/>
        </w:rPr>
      </w:r>
    </w:p>
    <w:p>
      <w:pPr>
        <w:pStyle w:val="Normal"/>
        <w:ind w:start="360" w:end="0"/>
        <w:jc w:val="both"/>
        <w:rPr>
          <w:lang w:val="bg-BG"/>
        </w:rPr>
      </w:pPr>
      <w:r>
        <w:rPr>
          <w:lang w:val="bg-BG"/>
        </w:rPr>
        <w:t>Процедурите и мерките за управление на рисковете, свързани с персонала включват:</w:t>
      </w:r>
    </w:p>
    <w:p>
      <w:pPr>
        <w:pStyle w:val="Normal"/>
        <w:ind w:start="360" w:end="0"/>
        <w:jc w:val="both"/>
        <w:rPr>
          <w:lang w:val="bg-BG"/>
        </w:rPr>
      </w:pPr>
      <w:r>
        <w:rPr>
          <w:lang w:val="bg-BG"/>
        </w:rPr>
        <w:t>1.</w:t>
        <w:tab/>
        <w:t>Ясно дефиниране на вътрешни правила относно правата и задълженията на служителите, както и изготвяне и запознаване на служителите с индивидуални длъжностни характеристики;</w:t>
      </w:r>
    </w:p>
    <w:p>
      <w:pPr>
        <w:pStyle w:val="Normal"/>
        <w:ind w:start="360" w:end="0"/>
        <w:jc w:val="both"/>
        <w:rPr>
          <w:lang w:val="bg-BG"/>
        </w:rPr>
      </w:pPr>
      <w:r>
        <w:rPr>
          <w:lang w:val="bg-BG"/>
        </w:rPr>
        <w:t>2.</w:t>
        <w:tab/>
        <w:t xml:space="preserve">Ясно дефинирани нива за достъп до информационните системи и бази данни на </w:t>
      </w:r>
      <w:r>
        <w:rPr>
          <w:b/>
          <w:lang w:val="bg-BG"/>
        </w:rPr>
        <w:t xml:space="preserve">„Артпласт” ЕООД </w:t>
      </w:r>
      <w:r>
        <w:rPr>
          <w:lang w:val="bg-BG"/>
        </w:rPr>
        <w:t xml:space="preserve">; </w:t>
      </w:r>
    </w:p>
    <w:p>
      <w:pPr>
        <w:pStyle w:val="Normal"/>
        <w:ind w:start="360" w:end="0"/>
        <w:jc w:val="both"/>
        <w:rPr>
          <w:lang w:val="bg-BG"/>
        </w:rPr>
      </w:pPr>
      <w:r>
        <w:rPr>
          <w:lang w:val="bg-BG"/>
        </w:rPr>
        <w:t>3.</w:t>
        <w:tab/>
        <w:t>Регулярни обучения на персонала по теми свързани с: финансова теория и практика, управление на риска, нормативната база, имаща отношение към дейността на инвестиционните посредници, информационни технологии и сигурност, други;</w:t>
      </w:r>
    </w:p>
    <w:p>
      <w:pPr>
        <w:pStyle w:val="Normal"/>
        <w:ind w:start="360" w:end="0"/>
        <w:jc w:val="both"/>
        <w:rPr/>
      </w:pPr>
      <w:r>
        <w:rPr>
          <w:lang w:val="bg-BG"/>
        </w:rPr>
        <w:t>4.</w:t>
        <w:tab/>
        <w:t xml:space="preserve">Регулярни срещи между отделните звена на </w:t>
      </w:r>
      <w:r>
        <w:rPr>
          <w:b/>
          <w:lang w:val="bg-BG"/>
        </w:rPr>
        <w:t xml:space="preserve">„Артпласт” ЕООД  </w:t>
      </w:r>
      <w:r>
        <w:rPr>
          <w:lang w:val="bg-BG"/>
        </w:rPr>
        <w:t>за обмяна на опит, впечатления и препоръки, по отношение на източниците на риск и търсене на решения за управлението и минимизирането им;</w:t>
      </w:r>
    </w:p>
    <w:p>
      <w:pPr>
        <w:pStyle w:val="Normal"/>
        <w:ind w:start="360" w:end="0"/>
        <w:jc w:val="both"/>
        <w:rPr>
          <w:lang w:val="bg-BG"/>
        </w:rPr>
      </w:pPr>
      <w:r>
        <w:rPr>
          <w:lang w:val="bg-BG"/>
        </w:rPr>
        <w:t>5.</w:t>
        <w:tab/>
        <w:t>Регулярни събеседвания и оценка на персонала;</w:t>
      </w:r>
    </w:p>
    <w:p>
      <w:pPr>
        <w:pStyle w:val="Normal"/>
        <w:ind w:start="360" w:end="0"/>
        <w:jc w:val="both"/>
        <w:rPr>
          <w:lang w:val="bg-BG"/>
        </w:rPr>
      </w:pPr>
      <w:r>
        <w:rPr>
          <w:lang w:val="bg-BG"/>
        </w:rPr>
        <w:t>6.</w:t>
        <w:tab/>
        <w:t>Поддържане на отворени, открити комуникации между различните звена;</w:t>
      </w:r>
    </w:p>
    <w:p>
      <w:pPr>
        <w:pStyle w:val="Normal"/>
        <w:ind w:start="360" w:end="0"/>
        <w:jc w:val="both"/>
        <w:rPr>
          <w:lang w:val="bg-BG"/>
        </w:rPr>
      </w:pPr>
      <w:r>
        <w:rPr>
          <w:lang w:val="bg-BG"/>
        </w:rPr>
        <w:t>7.</w:t>
        <w:tab/>
        <w:t>Извършване на начален и периодичен инструктаж, свързан с безопасните условия на труд.</w:t>
      </w:r>
    </w:p>
    <w:p>
      <w:pPr>
        <w:pStyle w:val="Normal"/>
        <w:ind w:start="360" w:end="0"/>
        <w:jc w:val="both"/>
        <w:rPr>
          <w:lang w:val="bg-BG"/>
        </w:rPr>
      </w:pPr>
      <w:r>
        <w:rPr>
          <w:lang w:val="bg-BG"/>
        </w:rPr>
      </w:r>
    </w:p>
    <w:p>
      <w:pPr>
        <w:pStyle w:val="Normal"/>
        <w:ind w:start="360" w:end="0"/>
        <w:jc w:val="both"/>
        <w:rPr>
          <w:b/>
          <w:lang w:val="bg-BG"/>
        </w:rPr>
      </w:pPr>
      <w:r>
        <w:rPr>
          <w:b/>
          <w:lang w:val="bg-BG"/>
        </w:rPr>
        <w:t>Рискове, свързани с процесите са рисковете, възникващи от накърняване интереса на клиента в резултат на:</w:t>
      </w:r>
    </w:p>
    <w:p>
      <w:pPr>
        <w:pStyle w:val="Normal"/>
        <w:ind w:start="360" w:end="0"/>
        <w:jc w:val="both"/>
        <w:rPr>
          <w:lang w:val="bg-BG"/>
        </w:rPr>
      </w:pPr>
      <w:r>
        <w:rPr>
          <w:lang w:val="bg-BG"/>
        </w:rPr>
        <w:t>1.</w:t>
        <w:tab/>
        <w:t>Действия в нарушение на определената инвестиционна стратегия;</w:t>
      </w:r>
    </w:p>
    <w:p>
      <w:pPr>
        <w:pStyle w:val="Normal"/>
        <w:ind w:start="360" w:end="0"/>
        <w:jc w:val="both"/>
        <w:rPr/>
      </w:pPr>
      <w:r>
        <w:rPr>
          <w:lang w:val="bg-BG"/>
        </w:rPr>
        <w:t>2.</w:t>
        <w:tab/>
        <w:t>Неправилна преценка за рисковия профил на клиента и избор на неподходяща и  неуместна за клиента търговска стратегия;</w:t>
      </w:r>
    </w:p>
    <w:p>
      <w:pPr>
        <w:pStyle w:val="Normal"/>
        <w:ind w:start="360" w:end="0"/>
        <w:jc w:val="both"/>
        <w:rPr/>
      </w:pPr>
      <w:r>
        <w:rPr>
          <w:lang w:val="bg-BG"/>
        </w:rPr>
        <w:t>3.</w:t>
        <w:tab/>
        <w:t>Виновно причинени вреди, които са в пряка причинна връзка с предоставяне на неверни, неточни или непълни анализи и прогнози в конкретна турговска консултация;</w:t>
      </w:r>
    </w:p>
    <w:p>
      <w:pPr>
        <w:pStyle w:val="Normal"/>
        <w:ind w:start="360" w:end="0"/>
        <w:jc w:val="both"/>
        <w:rPr/>
      </w:pPr>
      <w:r>
        <w:rPr>
          <w:lang w:val="bg-BG"/>
        </w:rPr>
        <w:t>4.</w:t>
        <w:tab/>
        <w:t>Извършване на транзакции, с които Клиента е ощетен;</w:t>
      </w:r>
    </w:p>
    <w:p>
      <w:pPr>
        <w:pStyle w:val="Normal"/>
        <w:ind w:start="360" w:end="0"/>
        <w:jc w:val="both"/>
        <w:rPr>
          <w:lang w:val="bg-BG"/>
        </w:rPr>
      </w:pPr>
      <w:r>
        <w:rPr>
          <w:lang w:val="bg-BG"/>
        </w:rPr>
        <w:t>5.</w:t>
        <w:tab/>
        <w:t>Недобросъвестно използване на поверителна информация, предоставена от клиента (неупълномощен достъп до поверителна информация на клиента), нарушаване на търговска тайна;</w:t>
      </w:r>
    </w:p>
    <w:p>
      <w:pPr>
        <w:pStyle w:val="Normal"/>
        <w:ind w:start="360" w:end="0"/>
        <w:jc w:val="both"/>
        <w:rPr>
          <w:lang w:val="bg-BG"/>
        </w:rPr>
      </w:pPr>
      <w:r>
        <w:rPr>
          <w:lang w:val="bg-BG"/>
        </w:rPr>
        <w:t>6.</w:t>
        <w:tab/>
        <w:t>Злоупотреба с вътрешна информация;</w:t>
      </w:r>
    </w:p>
    <w:p>
      <w:pPr>
        <w:pStyle w:val="Normal"/>
        <w:ind w:start="360" w:end="0"/>
        <w:jc w:val="both"/>
        <w:rPr>
          <w:lang w:val="bg-BG"/>
        </w:rPr>
      </w:pPr>
      <w:r>
        <w:rPr>
          <w:lang w:val="bg-BG"/>
        </w:rPr>
        <w:t>7.</w:t>
        <w:tab/>
        <w:t>Конфликт на интереси;</w:t>
      </w:r>
    </w:p>
    <w:p>
      <w:pPr>
        <w:pStyle w:val="Normal"/>
        <w:ind w:start="360" w:end="0"/>
        <w:jc w:val="both"/>
        <w:rPr>
          <w:lang w:val="bg-BG"/>
        </w:rPr>
      </w:pPr>
      <w:r>
        <w:rPr>
          <w:lang w:val="bg-BG"/>
        </w:rPr>
        <w:t>8.</w:t>
        <w:tab/>
        <w:t>Грешки при събиране, въвеждане и осчетоводяване на данни;</w:t>
      </w:r>
    </w:p>
    <w:p>
      <w:pPr>
        <w:pStyle w:val="Normal"/>
        <w:ind w:start="360" w:end="0"/>
        <w:jc w:val="both"/>
        <w:rPr>
          <w:lang w:val="bg-BG"/>
        </w:rPr>
      </w:pPr>
      <w:r>
        <w:rPr>
          <w:lang w:val="bg-BG"/>
        </w:rPr>
        <w:t>9.</w:t>
        <w:tab/>
        <w:t>Действие в нарушение на политиката за най-добро изпълнение и дължима грижа към клиента;</w:t>
      </w:r>
    </w:p>
    <w:p>
      <w:pPr>
        <w:pStyle w:val="Normal"/>
        <w:ind w:start="360" w:end="0"/>
        <w:jc w:val="both"/>
        <w:rPr>
          <w:lang w:val="bg-BG"/>
        </w:rPr>
      </w:pPr>
      <w:r>
        <w:rPr>
          <w:lang w:val="bg-BG"/>
        </w:rPr>
        <w:t>10.</w:t>
        <w:tab/>
        <w:t>Грешки при подаване на информация към клиента;</w:t>
      </w:r>
    </w:p>
    <w:p>
      <w:pPr>
        <w:pStyle w:val="Normal"/>
        <w:ind w:start="360" w:end="0"/>
        <w:jc w:val="both"/>
        <w:rPr>
          <w:lang w:val="bg-BG"/>
        </w:rPr>
      </w:pPr>
      <w:r>
        <w:rPr>
          <w:lang w:val="bg-BG"/>
        </w:rPr>
        <w:t>11.</w:t>
        <w:tab/>
        <w:t>Грешки при преоценка на клиентски активи;</w:t>
      </w:r>
    </w:p>
    <w:p>
      <w:pPr>
        <w:pStyle w:val="Normal"/>
        <w:ind w:start="360" w:end="0"/>
        <w:jc w:val="both"/>
        <w:rPr>
          <w:lang w:val="bg-BG"/>
        </w:rPr>
      </w:pPr>
      <w:r>
        <w:rPr>
          <w:lang w:val="bg-BG"/>
        </w:rPr>
        <w:t>12.</w:t>
        <w:tab/>
        <w:t>Неправилна отчетност и съхранение на клиентски активи;</w:t>
      </w:r>
    </w:p>
    <w:p>
      <w:pPr>
        <w:pStyle w:val="Normal"/>
        <w:ind w:start="360" w:end="0"/>
        <w:jc w:val="both"/>
        <w:rPr>
          <w:lang w:val="bg-BG"/>
        </w:rPr>
      </w:pPr>
      <w:r>
        <w:rPr>
          <w:lang w:val="bg-BG"/>
        </w:rPr>
      </w:r>
    </w:p>
    <w:p>
      <w:pPr>
        <w:pStyle w:val="Normal"/>
        <w:ind w:start="360" w:end="0"/>
        <w:jc w:val="both"/>
        <w:rPr>
          <w:lang w:val="bg-BG"/>
        </w:rPr>
      </w:pPr>
      <w:r>
        <w:rPr>
          <w:lang w:val="bg-BG"/>
        </w:rPr>
        <w:t>Процедурите и мерките за управление на рисковете, свързани с процесите включват:</w:t>
      </w:r>
    </w:p>
    <w:p>
      <w:pPr>
        <w:pStyle w:val="Normal"/>
        <w:ind w:start="360" w:end="0"/>
        <w:jc w:val="both"/>
        <w:rPr/>
      </w:pPr>
      <w:r>
        <w:rPr>
          <w:lang w:val="bg-BG"/>
        </w:rPr>
        <w:t>1.</w:t>
        <w:tab/>
        <w:t xml:space="preserve">Изчерпателно и максимално точно уговаряне в договорните отношения с клиента обхватът на управлението и конкретните сделки и действия, които </w:t>
      </w:r>
      <w:r>
        <w:rPr>
          <w:rFonts w:eastAsia="Times New Roman CYR"/>
          <w:b/>
          <w:bCs/>
          <w:lang w:val="bg-BG"/>
        </w:rPr>
        <w:t xml:space="preserve">„Артпласт” ЕООД </w:t>
      </w:r>
      <w:r>
        <w:rPr>
          <w:lang w:val="bg-BG"/>
        </w:rPr>
        <w:t xml:space="preserve"> извършва;</w:t>
      </w:r>
    </w:p>
    <w:p>
      <w:pPr>
        <w:pStyle w:val="Normal"/>
        <w:ind w:start="360" w:end="0"/>
        <w:jc w:val="both"/>
        <w:rPr>
          <w:lang w:val="bg-BG"/>
        </w:rPr>
      </w:pPr>
      <w:r>
        <w:rPr>
          <w:lang w:val="bg-BG"/>
        </w:rPr>
        <w:t>2.</w:t>
        <w:tab/>
        <w:t xml:space="preserve">С цел коректната оценка рисковия профил на клиента </w:t>
      </w:r>
      <w:r>
        <w:rPr>
          <w:rFonts w:eastAsia="Times New Roman CYR"/>
          <w:b/>
          <w:bCs/>
          <w:lang w:val="bg-BG"/>
        </w:rPr>
        <w:t xml:space="preserve">„Артпласт” ЕООД </w:t>
      </w:r>
      <w:r>
        <w:rPr>
          <w:lang w:val="bg-BG"/>
        </w:rPr>
        <w:t xml:space="preserve"> класифицира клиентите си съгласно Критерии за определяне на клиентите като професионални, непрофесионални или приемлива насрещна страна. </w:t>
      </w:r>
    </w:p>
    <w:p>
      <w:pPr>
        <w:pStyle w:val="Normal"/>
        <w:ind w:start="360" w:end="0"/>
        <w:jc w:val="both"/>
        <w:rPr>
          <w:lang w:val="bg-BG"/>
        </w:rPr>
      </w:pPr>
      <w:r>
        <w:rPr>
          <w:lang w:val="bg-BG"/>
        </w:rPr>
        <w:t>3.</w:t>
        <w:tab/>
      </w:r>
      <w:r>
        <w:rPr>
          <w:rFonts w:eastAsia="Times New Roman CYR"/>
          <w:b/>
          <w:bCs/>
          <w:lang w:val="bg-BG"/>
        </w:rPr>
        <w:t xml:space="preserve">„Артпласт” ЕООД </w:t>
      </w:r>
      <w:r>
        <w:rPr>
          <w:lang w:val="bg-BG"/>
        </w:rPr>
        <w:t xml:space="preserve"> изисква от клиентите информация за установяване на съществени факти относно финансовите им възможности, цели, знания. При промяна на горепосочените факти Клиента се задължава своевременно да уведоми </w:t>
      </w:r>
      <w:r>
        <w:rPr>
          <w:rFonts w:eastAsia="Times New Roman CYR"/>
          <w:b/>
          <w:bCs/>
          <w:lang w:val="bg-BG"/>
        </w:rPr>
        <w:t xml:space="preserve">„Артпласт” ЕООД </w:t>
      </w:r>
      <w:r>
        <w:rPr>
          <w:lang w:val="bg-BG"/>
        </w:rPr>
        <w:t xml:space="preserve">. </w:t>
      </w:r>
    </w:p>
    <w:p>
      <w:pPr>
        <w:pStyle w:val="Normal"/>
        <w:ind w:start="360" w:end="0"/>
        <w:jc w:val="both"/>
        <w:rPr/>
      </w:pPr>
      <w:r>
        <w:rPr>
          <w:lang w:val="bg-BG"/>
        </w:rPr>
        <w:t>4.</w:t>
        <w:tab/>
      </w:r>
      <w:r>
        <w:rPr>
          <w:rFonts w:eastAsia="Times New Roman CYR"/>
          <w:b/>
          <w:bCs/>
          <w:lang w:val="bg-BG"/>
        </w:rPr>
        <w:t xml:space="preserve">„Артпласт” ЕООД </w:t>
      </w:r>
      <w:r>
        <w:rPr>
          <w:b/>
          <w:lang w:val="bg-BG"/>
        </w:rPr>
        <w:t xml:space="preserve"> </w:t>
      </w:r>
      <w:r>
        <w:rPr>
          <w:lang w:val="bg-BG"/>
        </w:rPr>
        <w:t xml:space="preserve"> поддържа системи и процедури, които осигуряват трайното и конфиденциално съхранение на получената от клиентите информация, както и за дадените им съвети и препоръки, заедно с мотивите за тези препоръки.</w:t>
      </w:r>
    </w:p>
    <w:p>
      <w:pPr>
        <w:pStyle w:val="Normal"/>
        <w:ind w:start="360" w:end="0"/>
        <w:jc w:val="both"/>
        <w:rPr/>
      </w:pPr>
      <w:r>
        <w:rPr>
          <w:lang w:val="bg-BG"/>
        </w:rPr>
        <w:t>5.</w:t>
        <w:tab/>
      </w:r>
      <w:r>
        <w:rPr>
          <w:rFonts w:eastAsia="Times New Roman CYR"/>
          <w:b/>
          <w:bCs/>
          <w:lang w:val="bg-BG"/>
        </w:rPr>
        <w:t xml:space="preserve">„Артпласт” ЕООД </w:t>
      </w:r>
      <w:r>
        <w:rPr>
          <w:b/>
          <w:lang w:val="bg-BG"/>
        </w:rPr>
        <w:t xml:space="preserve"> </w:t>
      </w:r>
      <w:r>
        <w:rPr>
          <w:lang w:val="bg-BG"/>
        </w:rPr>
        <w:t xml:space="preserve">  запознава предварително клиентите подробно с вида и характеристиките на конкретния вид стоки и услуги и  конкретните рискове, свързани с него.</w:t>
      </w:r>
    </w:p>
    <w:p>
      <w:pPr>
        <w:pStyle w:val="Normal"/>
        <w:ind w:start="360" w:end="0"/>
        <w:jc w:val="both"/>
        <w:rPr>
          <w:lang w:val="bg-BG"/>
        </w:rPr>
      </w:pPr>
      <w:r>
        <w:rPr>
          <w:lang w:val="bg-BG"/>
        </w:rPr>
        <w:t>6.</w:t>
        <w:tab/>
      </w:r>
      <w:r>
        <w:rPr>
          <w:rFonts w:eastAsia="Times New Roman CYR"/>
          <w:b/>
          <w:bCs/>
          <w:lang w:val="bg-BG"/>
        </w:rPr>
        <w:t xml:space="preserve">„Артпласт” ЕООД </w:t>
      </w:r>
      <w:r>
        <w:rPr>
          <w:b/>
          <w:lang w:val="bg-BG"/>
        </w:rPr>
        <w:t xml:space="preserve"> </w:t>
      </w:r>
      <w:r>
        <w:rPr>
          <w:lang w:val="bg-BG"/>
        </w:rPr>
        <w:t xml:space="preserve"> прилага политика, която да осигурява постигането на най-добър резултат за клиента.</w:t>
      </w:r>
    </w:p>
    <w:p>
      <w:pPr>
        <w:pStyle w:val="Normal"/>
        <w:ind w:start="360" w:end="0"/>
        <w:jc w:val="both"/>
        <w:rPr>
          <w:lang w:val="bg-BG"/>
        </w:rPr>
      </w:pPr>
      <w:r>
        <w:rPr>
          <w:lang w:val="bg-BG"/>
        </w:rPr>
      </w:r>
    </w:p>
    <w:p>
      <w:pPr>
        <w:pStyle w:val="Normal"/>
        <w:ind w:start="360" w:end="0"/>
        <w:jc w:val="both"/>
        <w:rPr>
          <w:b/>
          <w:lang w:val="bg-BG"/>
        </w:rPr>
      </w:pPr>
      <w:r>
        <w:rPr>
          <w:b/>
          <w:lang w:val="bg-BG"/>
        </w:rPr>
        <w:t>Рискове, свързани със системите:</w:t>
      </w:r>
    </w:p>
    <w:p>
      <w:pPr>
        <w:pStyle w:val="Normal"/>
        <w:ind w:start="360" w:end="0"/>
        <w:jc w:val="both"/>
        <w:rPr>
          <w:lang w:val="bg-BG"/>
        </w:rPr>
      </w:pPr>
      <w:r>
        <w:rPr>
          <w:lang w:val="bg-BG"/>
        </w:rPr>
        <w:t>1.</w:t>
        <w:tab/>
        <w:t>Достоверност и пълнота на данните, липса на прецизност в методите на обработка.</w:t>
      </w:r>
    </w:p>
    <w:p>
      <w:pPr>
        <w:pStyle w:val="Normal"/>
        <w:ind w:start="360" w:end="0"/>
        <w:jc w:val="both"/>
        <w:rPr>
          <w:lang w:val="bg-BG"/>
        </w:rPr>
      </w:pPr>
      <w:r>
        <w:rPr>
          <w:lang w:val="bg-BG"/>
        </w:rPr>
        <w:t>2.</w:t>
        <w:tab/>
        <w:t>Грешки на софтуерни продукти.</w:t>
      </w:r>
    </w:p>
    <w:p>
      <w:pPr>
        <w:pStyle w:val="Normal"/>
        <w:ind w:start="360" w:end="0"/>
        <w:jc w:val="both"/>
        <w:rPr>
          <w:lang w:val="bg-BG"/>
        </w:rPr>
      </w:pPr>
      <w:r>
        <w:rPr>
          <w:lang w:val="bg-BG"/>
        </w:rPr>
        <w:t>3.</w:t>
        <w:tab/>
        <w:t>Несъвършенство на използваните технологии.</w:t>
      </w:r>
    </w:p>
    <w:p>
      <w:pPr>
        <w:pStyle w:val="Normal"/>
        <w:ind w:start="360" w:end="0"/>
        <w:jc w:val="both"/>
        <w:rPr>
          <w:lang w:val="bg-BG"/>
        </w:rPr>
      </w:pPr>
      <w:r>
        <w:rPr>
          <w:lang w:val="bg-BG"/>
        </w:rPr>
        <w:t>4.</w:t>
        <w:tab/>
        <w:t>Срив на информационните и комуникационни системи.</w:t>
      </w:r>
    </w:p>
    <w:p>
      <w:pPr>
        <w:pStyle w:val="Normal"/>
        <w:ind w:start="360" w:end="0"/>
        <w:jc w:val="both"/>
        <w:rPr>
          <w:lang w:val="bg-BG"/>
        </w:rPr>
      </w:pPr>
      <w:r>
        <w:rPr>
          <w:lang w:val="bg-BG"/>
        </w:rPr>
      </w:r>
    </w:p>
    <w:p>
      <w:pPr>
        <w:pStyle w:val="Normal"/>
        <w:ind w:start="360" w:end="0"/>
        <w:jc w:val="both"/>
        <w:rPr>
          <w:lang w:val="bg-BG"/>
        </w:rPr>
      </w:pPr>
      <w:r>
        <w:rPr>
          <w:lang w:val="bg-BG"/>
        </w:rPr>
        <w:t>Процедурите и мерките за управление на технологичните рискове включват:</w:t>
      </w:r>
    </w:p>
    <w:p>
      <w:pPr>
        <w:pStyle w:val="Normal"/>
        <w:ind w:start="360" w:end="0"/>
        <w:jc w:val="both"/>
        <w:rPr>
          <w:lang w:val="bg-BG"/>
        </w:rPr>
      </w:pPr>
      <w:r>
        <w:rPr>
          <w:lang w:val="bg-BG"/>
        </w:rPr>
        <w:t>1.</w:t>
        <w:tab/>
        <w:t xml:space="preserve">Архивиране на информационната система на </w:t>
      </w:r>
      <w:r>
        <w:rPr>
          <w:rFonts w:eastAsia="Times New Roman CYR"/>
          <w:b/>
          <w:bCs/>
          <w:lang w:val="bg-BG"/>
        </w:rPr>
        <w:t xml:space="preserve">„Артпласт” ЕООД </w:t>
      </w:r>
      <w:r>
        <w:rPr>
          <w:b/>
          <w:lang w:val="bg-BG"/>
        </w:rPr>
        <w:t xml:space="preserve"> </w:t>
      </w:r>
      <w:r>
        <w:rPr>
          <w:lang w:val="bg-BG"/>
        </w:rPr>
        <w:t xml:space="preserve">, поддържане на „back-up” системи. </w:t>
      </w:r>
    </w:p>
    <w:p>
      <w:pPr>
        <w:pStyle w:val="Normal"/>
        <w:ind w:start="360" w:end="0"/>
        <w:jc w:val="both"/>
        <w:rPr>
          <w:lang w:val="bg-BG"/>
        </w:rPr>
      </w:pPr>
      <w:r>
        <w:rPr>
          <w:lang w:val="bg-BG"/>
        </w:rPr>
        <w:t>2.</w:t>
        <w:tab/>
        <w:t>Процедура за възстановяване на работоспособността на информационната система.</w:t>
      </w:r>
    </w:p>
    <w:p>
      <w:pPr>
        <w:pStyle w:val="Normal"/>
        <w:ind w:start="360" w:end="0"/>
        <w:jc w:val="both"/>
        <w:rPr>
          <w:lang w:val="bg-BG"/>
        </w:rPr>
      </w:pPr>
      <w:r>
        <w:rPr>
          <w:lang w:val="bg-BG"/>
        </w:rPr>
        <w:t xml:space="preserve"> </w:t>
      </w:r>
    </w:p>
    <w:p>
      <w:pPr>
        <w:pStyle w:val="Normal"/>
        <w:ind w:start="360" w:end="0"/>
        <w:jc w:val="both"/>
        <w:rPr>
          <w:lang w:val="bg-BG"/>
        </w:rPr>
      </w:pPr>
      <w:r>
        <w:rPr>
          <w:lang w:val="bg-BG"/>
        </w:rPr>
      </w:r>
    </w:p>
    <w:p>
      <w:pPr>
        <w:pStyle w:val="Normal"/>
        <w:ind w:start="360" w:end="0"/>
        <w:jc w:val="both"/>
        <w:rPr>
          <w:lang w:val="bg-BG"/>
        </w:rPr>
      </w:pPr>
      <w:r>
        <w:rPr>
          <w:lang w:val="bg-BG"/>
        </w:rPr>
        <w:t>3.</w:t>
        <w:tab/>
        <w:t>Организация и управление на достъпа на потребителите до информационната система, която да не позволява неволни или умишлени нарушения в интегритета на системите, ползвани от посредника.</w:t>
      </w:r>
    </w:p>
    <w:p>
      <w:pPr>
        <w:pStyle w:val="Normal"/>
        <w:ind w:start="360" w:end="0"/>
        <w:jc w:val="both"/>
        <w:rPr>
          <w:lang w:val="bg-BG"/>
        </w:rPr>
      </w:pPr>
      <w:r>
        <w:rPr>
          <w:lang w:val="bg-BG"/>
        </w:rPr>
        <w:t>4.</w:t>
        <w:tab/>
        <w:t xml:space="preserve">Дефиниране на различни класове информация, съхранявана в </w:t>
      </w:r>
      <w:r>
        <w:rPr>
          <w:rFonts w:eastAsia="Times New Roman CYR"/>
          <w:b/>
          <w:bCs/>
          <w:lang w:val="bg-BG"/>
        </w:rPr>
        <w:t xml:space="preserve">„Артпласт” ЕООД </w:t>
      </w:r>
      <w:r>
        <w:rPr>
          <w:lang w:val="bg-BG"/>
        </w:rPr>
        <w:t xml:space="preserve">. </w:t>
      </w:r>
    </w:p>
    <w:p>
      <w:pPr>
        <w:pStyle w:val="Normal"/>
        <w:ind w:start="360" w:end="0"/>
        <w:jc w:val="both"/>
        <w:rPr/>
      </w:pPr>
      <w:r>
        <w:rPr>
          <w:lang w:val="bg-BG"/>
        </w:rPr>
        <w:t>5.</w:t>
        <w:tab/>
        <w:t xml:space="preserve">Дефиниране на нива на достъп на служителите на </w:t>
      </w:r>
      <w:r>
        <w:rPr>
          <w:rFonts w:eastAsia="Times New Roman CYR"/>
          <w:b/>
          <w:bCs/>
          <w:lang w:val="bg-BG"/>
        </w:rPr>
        <w:t xml:space="preserve">„Артпласт” ЕООД </w:t>
      </w:r>
      <w:r>
        <w:rPr>
          <w:b/>
          <w:lang w:val="bg-BG"/>
        </w:rPr>
        <w:t xml:space="preserve"> </w:t>
      </w:r>
      <w:r>
        <w:rPr>
          <w:lang w:val="bg-BG"/>
        </w:rPr>
        <w:t xml:space="preserve"> според длъжностната им характеристика.</w:t>
      </w:r>
    </w:p>
    <w:p>
      <w:pPr>
        <w:pStyle w:val="Normal"/>
        <w:ind w:start="360" w:end="0"/>
        <w:jc w:val="both"/>
        <w:rPr>
          <w:lang w:val="bg-BG"/>
        </w:rPr>
      </w:pPr>
      <w:r>
        <w:rPr>
          <w:lang w:val="bg-BG"/>
        </w:rPr>
        <w:t>6.</w:t>
        <w:tab/>
      </w:r>
      <w:r>
        <w:rPr>
          <w:rFonts w:eastAsia="Times New Roman CYR"/>
          <w:b/>
          <w:bCs/>
          <w:lang w:val="bg-BG"/>
        </w:rPr>
        <w:t xml:space="preserve">„Артпласт” ЕООД </w:t>
      </w:r>
      <w:r>
        <w:rPr>
          <w:b/>
          <w:lang w:val="bg-BG"/>
        </w:rPr>
        <w:t xml:space="preserve"> </w:t>
      </w:r>
      <w:r>
        <w:rPr>
          <w:lang w:val="bg-BG"/>
        </w:rPr>
        <w:t xml:space="preserve"> разработва и разполага с план за действие в кризисни ситуации, който осигурява продължаването и поддържането за достатъчно дълъг период нормалната работа на посредника при спазване на законоустановените норми за дейността. </w:t>
      </w:r>
    </w:p>
    <w:p>
      <w:pPr>
        <w:pStyle w:val="Normal"/>
        <w:jc w:val="both"/>
        <w:rPr>
          <w:lang w:val="bg-BG"/>
        </w:rPr>
      </w:pPr>
      <w:r>
        <w:rPr>
          <w:lang w:val="bg-BG"/>
        </w:rPr>
      </w:r>
    </w:p>
    <w:p>
      <w:pPr>
        <w:pStyle w:val="Normal"/>
        <w:ind w:start="360" w:end="0"/>
        <w:jc w:val="both"/>
        <w:rPr>
          <w:b/>
          <w:lang w:val="bg-BG"/>
        </w:rPr>
      </w:pPr>
      <w:r>
        <w:rPr>
          <w:b/>
          <w:lang w:val="bg-BG"/>
        </w:rPr>
        <w:t>Рискове на обкръжаващата среда включва:</w:t>
      </w:r>
    </w:p>
    <w:p>
      <w:pPr>
        <w:pStyle w:val="Normal"/>
        <w:ind w:start="360" w:end="0"/>
        <w:jc w:val="both"/>
        <w:rPr>
          <w:lang w:val="bg-BG"/>
        </w:rPr>
      </w:pPr>
      <w:r>
        <w:rPr>
          <w:lang w:val="bg-BG"/>
        </w:rPr>
        <w:t>1.</w:t>
        <w:tab/>
        <w:t>Промени в нормативната уредба.</w:t>
      </w:r>
    </w:p>
    <w:p>
      <w:pPr>
        <w:pStyle w:val="Normal"/>
        <w:ind w:start="360" w:end="0"/>
        <w:jc w:val="both"/>
        <w:rPr>
          <w:lang w:val="bg-BG"/>
        </w:rPr>
      </w:pPr>
      <w:r>
        <w:rPr>
          <w:lang w:val="bg-BG"/>
        </w:rPr>
        <w:t>2.</w:t>
        <w:tab/>
        <w:t>Риск, свързан с финансови средства с незаконен произход.</w:t>
      </w:r>
    </w:p>
    <w:p>
      <w:pPr>
        <w:pStyle w:val="Normal"/>
        <w:ind w:start="360" w:end="0"/>
        <w:jc w:val="both"/>
        <w:rPr>
          <w:lang w:val="bg-BG"/>
        </w:rPr>
      </w:pPr>
      <w:r>
        <w:rPr>
          <w:lang w:val="bg-BG"/>
        </w:rPr>
        <w:t>3.</w:t>
        <w:tab/>
        <w:t>Рискове, свързани с прехвърлянето на важни дейности на трета страна изпълнител.</w:t>
      </w:r>
    </w:p>
    <w:p>
      <w:pPr>
        <w:pStyle w:val="Normal"/>
        <w:ind w:start="360" w:end="0"/>
        <w:jc w:val="both"/>
        <w:rPr>
          <w:lang w:val="bg-BG"/>
        </w:rPr>
      </w:pPr>
      <w:r>
        <w:rPr>
          <w:lang w:val="bg-BG"/>
        </w:rPr>
        <w:t>4.</w:t>
        <w:tab/>
        <w:t>Политически изменения.</w:t>
      </w:r>
    </w:p>
    <w:p>
      <w:pPr>
        <w:pStyle w:val="Normal"/>
        <w:ind w:start="360" w:end="0"/>
        <w:jc w:val="both"/>
        <w:rPr>
          <w:lang w:val="bg-BG"/>
        </w:rPr>
      </w:pPr>
      <w:r>
        <w:rPr>
          <w:lang w:val="bg-BG"/>
        </w:rPr>
        <w:t>5.</w:t>
        <w:tab/>
        <w:t>Изменения в данъчната уредба.</w:t>
      </w:r>
    </w:p>
    <w:p>
      <w:pPr>
        <w:pStyle w:val="Normal"/>
        <w:ind w:start="360" w:end="0"/>
        <w:jc w:val="both"/>
        <w:rPr>
          <w:lang w:val="bg-BG"/>
        </w:rPr>
      </w:pPr>
      <w:r>
        <w:rPr>
          <w:lang w:val="bg-BG"/>
        </w:rPr>
      </w:r>
    </w:p>
    <w:p>
      <w:pPr>
        <w:pStyle w:val="Normal"/>
        <w:ind w:start="360" w:end="0"/>
        <w:jc w:val="both"/>
        <w:rPr>
          <w:lang w:val="bg-BG"/>
        </w:rPr>
      </w:pPr>
      <w:r>
        <w:rPr>
          <w:lang w:val="bg-BG"/>
        </w:rPr>
        <w:t>Процедурите и мерките за управление на рисковете, свързани с обкръжаващата среда включват:</w:t>
      </w:r>
    </w:p>
    <w:p>
      <w:pPr>
        <w:pStyle w:val="Normal"/>
        <w:ind w:start="360" w:end="0"/>
        <w:jc w:val="both"/>
        <w:rPr/>
      </w:pPr>
      <w:r>
        <w:rPr>
          <w:lang w:val="bg-BG"/>
        </w:rPr>
        <w:t>1.</w:t>
        <w:tab/>
      </w:r>
      <w:r>
        <w:rPr>
          <w:rFonts w:eastAsia="Times New Roman CYR"/>
          <w:b/>
          <w:bCs/>
          <w:lang w:val="bg-BG"/>
        </w:rPr>
        <w:t xml:space="preserve">„Артпласт” ЕООД  </w:t>
      </w:r>
      <w:r>
        <w:rPr>
          <w:lang w:val="bg-BG"/>
        </w:rPr>
        <w:t>поддържа актуална база данни с нормативната регламентация, имаща отношение към дейността, организира мерки за следене на съответствието на прилаганите политики с изискванията на законодателството и използва външни консултанти и юридически кантори в случай на необходимост за привеждане на дейността в съответствие с нормативните изисквания и промените в тях.</w:t>
      </w:r>
    </w:p>
    <w:p>
      <w:pPr>
        <w:pStyle w:val="Normal"/>
        <w:ind w:start="360" w:end="0"/>
        <w:jc w:val="both"/>
        <w:rPr>
          <w:lang w:val="bg-BG"/>
        </w:rPr>
      </w:pPr>
      <w:r>
        <w:rPr>
          <w:lang w:val="bg-BG"/>
        </w:rPr>
      </w:r>
    </w:p>
    <w:p>
      <w:pPr>
        <w:pStyle w:val="Normal"/>
        <w:ind w:start="360" w:end="0"/>
        <w:jc w:val="both"/>
        <w:rPr>
          <w:b/>
          <w:lang w:val="bg-BG"/>
        </w:rPr>
      </w:pPr>
      <w:r>
        <w:rPr>
          <w:b/>
          <w:lang w:val="bg-BG"/>
        </w:rPr>
        <w:t>Риск от физическо вмешателство:</w:t>
      </w:r>
    </w:p>
    <w:p>
      <w:pPr>
        <w:pStyle w:val="Normal"/>
        <w:ind w:start="360" w:end="0"/>
        <w:jc w:val="both"/>
        <w:rPr>
          <w:lang w:val="bg-BG"/>
        </w:rPr>
      </w:pPr>
      <w:r>
        <w:rPr>
          <w:lang w:val="bg-BG"/>
        </w:rPr>
        <w:t>1.</w:t>
        <w:tab/>
        <w:t>Природни бедствия;</w:t>
      </w:r>
    </w:p>
    <w:p>
      <w:pPr>
        <w:pStyle w:val="Normal"/>
        <w:ind w:start="360" w:end="0"/>
        <w:jc w:val="both"/>
        <w:rPr>
          <w:lang w:val="bg-BG"/>
        </w:rPr>
      </w:pPr>
      <w:r>
        <w:rPr>
          <w:lang w:val="bg-BG"/>
        </w:rPr>
        <w:t>2.</w:t>
        <w:tab/>
        <w:t>Пожар;</w:t>
      </w:r>
    </w:p>
    <w:p>
      <w:pPr>
        <w:pStyle w:val="Normal"/>
        <w:ind w:start="360" w:end="0"/>
        <w:jc w:val="both"/>
        <w:rPr>
          <w:lang w:val="bg-BG"/>
        </w:rPr>
      </w:pPr>
      <w:r>
        <w:rPr>
          <w:lang w:val="bg-BG"/>
        </w:rPr>
        <w:t>3.</w:t>
        <w:tab/>
        <w:t>Външни измами и кражби;</w:t>
      </w:r>
    </w:p>
    <w:p>
      <w:pPr>
        <w:pStyle w:val="Normal"/>
        <w:ind w:start="360" w:end="0"/>
        <w:jc w:val="both"/>
        <w:rPr>
          <w:lang w:val="bg-BG"/>
        </w:rPr>
      </w:pPr>
      <w:r>
        <w:rPr>
          <w:lang w:val="bg-BG"/>
        </w:rPr>
        <w:t>4.</w:t>
        <w:tab/>
        <w:t>Терористични актове;</w:t>
      </w:r>
    </w:p>
    <w:p>
      <w:pPr>
        <w:pStyle w:val="Normal"/>
        <w:ind w:start="360" w:end="0"/>
        <w:jc w:val="both"/>
        <w:rPr>
          <w:lang w:val="bg-BG"/>
        </w:rPr>
      </w:pPr>
      <w:r>
        <w:rPr>
          <w:lang w:val="bg-BG"/>
        </w:rPr>
        <w:t>5.</w:t>
        <w:tab/>
        <w:t>Непозволено проникване в системите за сигурност;</w:t>
      </w:r>
    </w:p>
    <w:p>
      <w:pPr>
        <w:pStyle w:val="Normal"/>
        <w:ind w:start="360" w:end="0"/>
        <w:jc w:val="both"/>
        <w:rPr>
          <w:lang w:val="bg-BG"/>
        </w:rPr>
      </w:pPr>
      <w:r>
        <w:rPr>
          <w:lang w:val="bg-BG"/>
        </w:rPr>
      </w:r>
    </w:p>
    <w:p>
      <w:pPr>
        <w:pStyle w:val="Normal"/>
        <w:ind w:start="360" w:end="0"/>
        <w:jc w:val="both"/>
        <w:rPr>
          <w:lang w:val="bg-BG"/>
        </w:rPr>
      </w:pPr>
      <w:r>
        <w:rPr>
          <w:lang w:val="bg-BG"/>
        </w:rPr>
        <w:t>Процедурите и мерките за управление на риска от физическо вмешателство включват:</w:t>
      </w:r>
    </w:p>
    <w:p>
      <w:pPr>
        <w:pStyle w:val="Normal"/>
        <w:ind w:start="360" w:end="0"/>
        <w:jc w:val="both"/>
        <w:rPr/>
      </w:pPr>
      <w:r>
        <w:rPr>
          <w:lang w:val="bg-BG"/>
        </w:rPr>
        <w:t>1.</w:t>
        <w:tab/>
        <w:t xml:space="preserve">Осигуряване по подходящ начин на 24-часов наблюдение и контрол на помещенията в които се намират технологичните средства и архивите на “ </w:t>
      </w:r>
      <w:r>
        <w:rPr>
          <w:rFonts w:eastAsia="Times New Roman CYR"/>
          <w:b/>
          <w:bCs/>
          <w:lang w:val="bg-BG"/>
        </w:rPr>
        <w:t xml:space="preserve">„Артпласт” ЕООД </w:t>
      </w:r>
      <w:r>
        <w:rPr>
          <w:lang w:val="bg-BG"/>
        </w:rPr>
        <w:t>;</w:t>
      </w:r>
    </w:p>
    <w:p>
      <w:pPr>
        <w:pStyle w:val="Normal"/>
        <w:ind w:start="360" w:end="0"/>
        <w:jc w:val="both"/>
        <w:rPr>
          <w:lang w:val="bg-BG"/>
        </w:rPr>
      </w:pPr>
      <w:r>
        <w:rPr>
          <w:lang w:val="bg-BG"/>
        </w:rPr>
        <w:t>2.</w:t>
        <w:tab/>
        <w:t xml:space="preserve">Профилактика на регулярна база на въведените системи за наблюдение и контрол; </w:t>
      </w:r>
    </w:p>
    <w:p>
      <w:pPr>
        <w:pStyle w:val="Normal"/>
        <w:ind w:start="360" w:end="0"/>
        <w:jc w:val="both"/>
        <w:rPr>
          <w:lang w:val="bg-BG"/>
        </w:rPr>
      </w:pPr>
      <w:r>
        <w:rPr>
          <w:lang w:val="bg-BG"/>
        </w:rPr>
        <w:t>3.</w:t>
        <w:tab/>
        <w:t>Разработване на процедура за евакуация на служителите в случаите на непосредствено физическо вмешателство;</w:t>
      </w:r>
    </w:p>
    <w:p>
      <w:pPr>
        <w:pStyle w:val="Normal"/>
        <w:ind w:start="360" w:end="0"/>
        <w:jc w:val="both"/>
        <w:rPr>
          <w:lang w:val="bg-BG"/>
        </w:rPr>
      </w:pPr>
      <w:r>
        <w:rPr>
          <w:lang w:val="bg-BG"/>
        </w:rPr>
        <w:t>4.</w:t>
        <w:tab/>
        <w:t>Процедура за докладване на инциденти;</w:t>
      </w:r>
    </w:p>
    <w:p>
      <w:pPr>
        <w:pStyle w:val="Normal"/>
        <w:jc w:val="both"/>
        <w:rPr>
          <w:lang w:val="bg-BG"/>
        </w:rPr>
      </w:pPr>
      <w:r>
        <w:rPr>
          <w:lang w:val="bg-BG"/>
        </w:rPr>
      </w:r>
    </w:p>
    <w:p>
      <w:pPr>
        <w:pStyle w:val="Normal"/>
        <w:ind w:start="360" w:end="0"/>
        <w:jc w:val="both"/>
        <w:rPr>
          <w:b/>
          <w:lang w:val="bg-BG"/>
        </w:rPr>
      </w:pPr>
      <w:r>
        <w:rPr>
          <w:b/>
          <w:lang w:val="bg-BG"/>
        </w:rPr>
        <w:t xml:space="preserve">Процедура за идентификация, оценка и контрол на риска. </w:t>
      </w:r>
    </w:p>
    <w:p>
      <w:pPr>
        <w:pStyle w:val="Normal"/>
        <w:ind w:start="360" w:end="0"/>
        <w:jc w:val="both"/>
        <w:rPr>
          <w:lang w:val="bg-BG"/>
        </w:rPr>
      </w:pPr>
      <w:r>
        <w:rPr>
          <w:lang w:val="bg-BG"/>
        </w:rPr>
        <w:t>Процедурата по идентификация, оценка и контрол на риск обхваща следните 4 фази:</w:t>
      </w:r>
    </w:p>
    <w:p>
      <w:pPr>
        <w:pStyle w:val="Normal"/>
        <w:ind w:start="360" w:end="0"/>
        <w:jc w:val="both"/>
        <w:rPr>
          <w:lang w:val="bg-BG"/>
        </w:rPr>
      </w:pPr>
      <w:r>
        <w:rPr>
          <w:lang w:val="bg-BG"/>
        </w:rPr>
        <w:t>1.</w:t>
        <w:tab/>
        <w:t>Идентификация на рисковете – Риск и Контрол Самооценка, идентификация на рисковете, които не са обект на контрол;</w:t>
      </w:r>
    </w:p>
    <w:p>
      <w:pPr>
        <w:pStyle w:val="Normal"/>
        <w:ind w:start="360" w:end="0"/>
        <w:jc w:val="both"/>
        <w:rPr>
          <w:lang w:val="bg-BG"/>
        </w:rPr>
      </w:pPr>
      <w:r>
        <w:rPr>
          <w:lang w:val="bg-BG"/>
        </w:rPr>
        <w:t>2.</w:t>
        <w:tab/>
        <w:t>Оценка на риска – оценка на честота на настъпване и степента на въздействие на рисковете, както и промяна в нивата на риск</w:t>
      </w:r>
    </w:p>
    <w:p>
      <w:pPr>
        <w:pStyle w:val="Normal"/>
        <w:ind w:start="360" w:end="0"/>
        <w:jc w:val="both"/>
        <w:rPr>
          <w:lang w:val="bg-BG"/>
        </w:rPr>
      </w:pPr>
      <w:r>
        <w:rPr>
          <w:lang w:val="bg-BG"/>
        </w:rPr>
        <w:t>2.1</w:t>
        <w:tab/>
        <w:t>Отчитане на Съществени Рискови Показатели.</w:t>
      </w:r>
    </w:p>
    <w:p>
      <w:pPr>
        <w:pStyle w:val="Normal"/>
        <w:ind w:start="360" w:end="0"/>
        <w:jc w:val="both"/>
        <w:rPr>
          <w:lang w:val="bg-BG"/>
        </w:rPr>
      </w:pPr>
      <w:r>
        <w:rPr>
          <w:lang w:val="bg-BG"/>
        </w:rPr>
        <w:t>2.2</w:t>
        <w:tab/>
        <w:t>Отчитане на настъпили инциденти.</w:t>
      </w:r>
    </w:p>
    <w:p>
      <w:pPr>
        <w:pStyle w:val="Normal"/>
        <w:ind w:start="360" w:end="0"/>
        <w:jc w:val="both"/>
        <w:rPr>
          <w:lang w:val="bg-BG"/>
        </w:rPr>
      </w:pPr>
      <w:r>
        <w:rPr>
          <w:lang w:val="bg-BG"/>
        </w:rPr>
        <w:t>3.</w:t>
        <w:tab/>
        <w:t>Наблюдение</w:t>
        <w:tab/>
        <w:t>на</w:t>
        <w:tab/>
        <w:t>риска</w:t>
        <w:tab/>
        <w:t>–</w:t>
        <w:tab/>
        <w:t>наблюдение</w:t>
        <w:tab/>
        <w:t>на</w:t>
        <w:tab/>
        <w:t>неприемливите</w:t>
        <w:tab/>
        <w:t>рискове,</w:t>
        <w:tab/>
        <w:t>промяна</w:t>
        <w:tab/>
        <w:t>в рисковете/рисковите нива и процеси за управление на риска</w:t>
      </w:r>
    </w:p>
    <w:p>
      <w:pPr>
        <w:pStyle w:val="Normal"/>
        <w:ind w:start="360" w:end="0"/>
        <w:jc w:val="both"/>
        <w:rPr/>
      </w:pPr>
      <w:r>
        <w:rPr>
          <w:lang w:val="bg-BG"/>
        </w:rPr>
        <w:t>3.1 Представител на ръководството по управление на риска;</w:t>
      </w:r>
    </w:p>
    <w:p>
      <w:pPr>
        <w:pStyle w:val="Normal"/>
        <w:ind w:start="360" w:end="0"/>
        <w:jc w:val="both"/>
        <w:rPr>
          <w:lang w:val="bg-BG"/>
        </w:rPr>
      </w:pPr>
      <w:r>
        <w:rPr>
          <w:lang w:val="bg-BG"/>
        </w:rPr>
        <w:t>3.2</w:t>
        <w:tab/>
        <w:t>Съвет по качество   – 3 месечна база;</w:t>
      </w:r>
    </w:p>
    <w:p>
      <w:pPr>
        <w:pStyle w:val="Normal"/>
        <w:ind w:start="360" w:end="0"/>
        <w:jc w:val="both"/>
        <w:rPr>
          <w:lang w:val="bg-BG"/>
        </w:rPr>
      </w:pPr>
      <w:r>
        <w:rPr>
          <w:lang w:val="bg-BG"/>
        </w:rPr>
      </w:r>
    </w:p>
    <w:p>
      <w:pPr>
        <w:pStyle w:val="Normal"/>
        <w:ind w:start="360" w:end="0"/>
        <w:jc w:val="both"/>
        <w:rPr>
          <w:lang w:val="bg-BG"/>
        </w:rPr>
      </w:pPr>
      <w:r>
        <w:rPr>
          <w:lang w:val="bg-BG"/>
        </w:rPr>
        <w:t>4.</w:t>
        <w:tab/>
        <w:t>Ограничаване на риска – управление за ограничаване на риска, съобразно допустимото ниво на риск</w:t>
      </w:r>
    </w:p>
    <w:p>
      <w:pPr>
        <w:pStyle w:val="Normal"/>
        <w:ind w:start="360" w:end="0"/>
        <w:jc w:val="both"/>
        <w:rPr>
          <w:lang w:val="bg-BG"/>
        </w:rPr>
      </w:pPr>
      <w:r>
        <w:rPr>
          <w:lang w:val="bg-BG"/>
        </w:rPr>
        <w:t>4.1</w:t>
        <w:tab/>
        <w:t>проследяване на открития при проверки на регистрирани одитори;</w:t>
      </w:r>
    </w:p>
    <w:p>
      <w:pPr>
        <w:pStyle w:val="Normal"/>
        <w:ind w:start="360" w:end="0"/>
        <w:jc w:val="both"/>
        <w:rPr>
          <w:lang w:val="bg-BG"/>
        </w:rPr>
      </w:pPr>
      <w:r>
        <w:rPr>
          <w:lang w:val="bg-BG"/>
        </w:rPr>
        <w:t>4.2</w:t>
        <w:tab/>
        <w:t>установяване на контролни стандарти;</w:t>
      </w:r>
    </w:p>
    <w:p>
      <w:pPr>
        <w:pStyle w:val="Normal"/>
        <w:ind w:start="360" w:end="0"/>
        <w:jc w:val="both"/>
        <w:rPr/>
      </w:pPr>
      <w:r>
        <w:rPr>
          <w:lang w:val="bg-BG"/>
        </w:rPr>
        <w:t>4.3</w:t>
        <w:tab/>
        <w:t>мерки срещу риска;</w:t>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b/>
          <w:lang w:val="bg-BG"/>
        </w:rPr>
      </w:pPr>
      <w:r>
        <w:rPr>
          <w:b/>
          <w:lang w:val="bg-BG"/>
        </w:rPr>
        <w:t xml:space="preserve">Идентификация на риска </w:t>
      </w:r>
    </w:p>
    <w:p>
      <w:pPr>
        <w:pStyle w:val="Normal"/>
        <w:ind w:start="360" w:end="0"/>
        <w:jc w:val="both"/>
        <w:rPr/>
      </w:pPr>
      <w:r>
        <w:rPr>
          <w:lang w:val="bg-BG"/>
        </w:rPr>
        <w:t>- идентификацията на риска започва с вътрешно за всеки отдел изследване, което представлява дейност по установяване на факти. За целта, всеки отдел се задължава да информира по подходящ начин представителят на ръководството, относно броя на засечените инциденти, както и информация за размера на понесените щети, в случаите когато е налична информация за това.</w:t>
      </w:r>
    </w:p>
    <w:p>
      <w:pPr>
        <w:pStyle w:val="Normal"/>
        <w:ind w:start="360" w:end="0"/>
        <w:jc w:val="both"/>
        <w:rPr>
          <w:lang w:val="bg-BG"/>
        </w:rPr>
      </w:pPr>
      <w:r>
        <w:rPr>
          <w:lang w:val="bg-BG"/>
        </w:rPr>
      </w:r>
    </w:p>
    <w:p>
      <w:pPr>
        <w:pStyle w:val="Normal"/>
        <w:ind w:start="360" w:end="0"/>
        <w:jc w:val="both"/>
        <w:rPr>
          <w:b/>
          <w:lang w:val="bg-BG"/>
        </w:rPr>
      </w:pPr>
      <w:r>
        <w:rPr>
          <w:b/>
          <w:lang w:val="bg-BG"/>
        </w:rPr>
        <w:t xml:space="preserve">Риск и Контрол Самооценка. </w:t>
      </w:r>
    </w:p>
    <w:p>
      <w:pPr>
        <w:pStyle w:val="Normal"/>
        <w:ind w:start="360" w:end="0"/>
        <w:jc w:val="both"/>
        <w:rPr>
          <w:lang w:val="bg-BG"/>
        </w:rPr>
      </w:pPr>
      <w:r>
        <w:rPr>
          <w:lang w:val="bg-BG"/>
        </w:rPr>
        <w:t>Целта на процеса по Риск и Контрол Самооценката е:</w:t>
      </w:r>
    </w:p>
    <w:p>
      <w:pPr>
        <w:pStyle w:val="Normal"/>
        <w:ind w:start="360" w:end="0"/>
        <w:jc w:val="both"/>
        <w:rPr>
          <w:lang w:val="bg-BG"/>
        </w:rPr>
      </w:pPr>
      <w:r>
        <w:rPr>
          <w:lang w:val="bg-BG"/>
        </w:rPr>
        <w:t>1.</w:t>
        <w:tab/>
        <w:t>да се подобри навременното установяване на неидентифицирани рискове;</w:t>
      </w:r>
    </w:p>
    <w:p>
      <w:pPr>
        <w:pStyle w:val="Normal"/>
        <w:ind w:start="360" w:end="0"/>
        <w:jc w:val="both"/>
        <w:rPr>
          <w:lang w:val="bg-BG"/>
        </w:rPr>
      </w:pPr>
      <w:r>
        <w:rPr>
          <w:lang w:val="bg-BG"/>
        </w:rPr>
        <w:t>2.</w:t>
        <w:tab/>
        <w:t>да се подобри преценката за приемливостта на нивото на идентифицираните рискове;</w:t>
      </w:r>
    </w:p>
    <w:p>
      <w:pPr>
        <w:pStyle w:val="Normal"/>
        <w:ind w:start="360" w:end="0"/>
        <w:jc w:val="both"/>
        <w:rPr>
          <w:lang w:val="bg-BG"/>
        </w:rPr>
      </w:pPr>
      <w:r>
        <w:rPr>
          <w:lang w:val="bg-BG"/>
        </w:rPr>
        <w:t>3.</w:t>
        <w:tab/>
        <w:t>да се доразвият и подобрят алтернативни механизми за контролиране на неприемливите рискове;</w:t>
      </w:r>
    </w:p>
    <w:p>
      <w:pPr>
        <w:pStyle w:val="Normal"/>
        <w:ind w:start="360" w:end="0"/>
        <w:jc w:val="both"/>
        <w:rPr>
          <w:lang w:val="bg-BG"/>
        </w:rPr>
      </w:pPr>
      <w:r>
        <w:rPr>
          <w:lang w:val="bg-BG"/>
        </w:rPr>
        <w:t>4.</w:t>
        <w:tab/>
        <w:t>да се улесни прилагането на навременни и адекватни действия за ограничаване на риска;</w:t>
      </w:r>
    </w:p>
    <w:p>
      <w:pPr>
        <w:pStyle w:val="Normal"/>
        <w:ind w:start="360" w:end="0"/>
        <w:jc w:val="both"/>
        <w:rPr/>
      </w:pPr>
      <w:r>
        <w:rPr>
          <w:lang w:val="bg-BG"/>
        </w:rPr>
        <w:t>5.</w:t>
        <w:tab/>
        <w:t>да се ангажират отделните отдели в процеса по установяване и оценка на риска, като по този начин се постига по-голяма отговорност на служителите на посредника за управлението на рисковете.</w:t>
      </w:r>
    </w:p>
    <w:p>
      <w:pPr>
        <w:pStyle w:val="Normal"/>
        <w:ind w:start="360" w:end="0"/>
        <w:jc w:val="both"/>
        <w:rPr>
          <w:lang w:val="bg-BG"/>
        </w:rPr>
      </w:pPr>
      <w:r>
        <w:rPr>
          <w:lang w:val="bg-BG"/>
        </w:rPr>
      </w:r>
    </w:p>
    <w:p>
      <w:pPr>
        <w:pStyle w:val="Normal"/>
        <w:ind w:start="360" w:end="0"/>
        <w:jc w:val="both"/>
        <w:rPr>
          <w:lang w:val="bg-BG"/>
        </w:rPr>
      </w:pPr>
      <w:r>
        <w:rPr>
          <w:lang w:val="bg-BG"/>
        </w:rPr>
        <w:t>Резултатите от процеса по Риск и Контрол Самооценка се използват за определянето на Съществени Рискови Показатели за отделните бизнес функции.</w:t>
      </w:r>
    </w:p>
    <w:p>
      <w:pPr>
        <w:pStyle w:val="Normal"/>
        <w:ind w:start="360" w:end="0"/>
        <w:jc w:val="both"/>
        <w:rPr>
          <w:lang w:val="bg-BG"/>
        </w:rPr>
      </w:pPr>
      <w:r>
        <w:rPr>
          <w:lang w:val="bg-BG"/>
        </w:rPr>
      </w:r>
    </w:p>
    <w:p>
      <w:pPr>
        <w:pStyle w:val="Normal"/>
        <w:ind w:start="360" w:end="0"/>
        <w:jc w:val="both"/>
        <w:rPr/>
      </w:pPr>
      <w:r>
        <w:rPr>
          <w:b/>
          <w:lang w:val="bg-BG"/>
        </w:rPr>
        <w:t>Оценка на риска</w:t>
      </w:r>
      <w:r>
        <w:rPr>
          <w:lang w:val="bg-BG"/>
        </w:rPr>
        <w:t xml:space="preserve"> - действията, които се предприемат в тази фаза се предопределят от резултатите получени във фазата идентификация. Оценката се определя съвместно от съответния отдел, който идентифицира риска и звеното по управление на риска.</w:t>
      </w:r>
    </w:p>
    <w:p>
      <w:pPr>
        <w:pStyle w:val="Normal"/>
        <w:ind w:start="360" w:end="0"/>
        <w:jc w:val="both"/>
        <w:rPr>
          <w:lang w:val="bg-BG"/>
        </w:rPr>
      </w:pPr>
      <w:r>
        <w:rPr>
          <w:lang w:val="bg-BG"/>
        </w:rPr>
        <w:t>Идентифицираните рискове се анализират от гледна точка на следните две характеристики:</w:t>
      </w:r>
    </w:p>
    <w:p>
      <w:pPr>
        <w:pStyle w:val="Normal"/>
        <w:ind w:start="360" w:end="0"/>
        <w:jc w:val="both"/>
        <w:rPr>
          <w:lang w:val="bg-BG"/>
        </w:rPr>
      </w:pPr>
      <w:r>
        <w:rPr>
          <w:lang w:val="bg-BG"/>
        </w:rPr>
        <w:t>1.</w:t>
        <w:tab/>
        <w:t>честота на възникване;</w:t>
      </w:r>
    </w:p>
    <w:p>
      <w:pPr>
        <w:pStyle w:val="Normal"/>
        <w:ind w:start="360" w:end="0"/>
        <w:jc w:val="both"/>
        <w:rPr>
          <w:lang w:val="bg-BG"/>
        </w:rPr>
      </w:pPr>
      <w:r>
        <w:rPr>
          <w:lang w:val="bg-BG"/>
        </w:rPr>
        <w:t>2.</w:t>
        <w:tab/>
        <w:t>степен на въздействие.</w:t>
      </w:r>
    </w:p>
    <w:p>
      <w:pPr>
        <w:pStyle w:val="Normal"/>
        <w:ind w:start="360" w:end="0"/>
        <w:jc w:val="both"/>
        <w:rPr>
          <w:lang w:val="bg-BG"/>
        </w:rPr>
      </w:pPr>
      <w:r>
        <w:rPr>
          <w:lang w:val="bg-BG"/>
        </w:rPr>
      </w:r>
    </w:p>
    <w:p>
      <w:pPr>
        <w:pStyle w:val="Normal"/>
        <w:ind w:start="360" w:end="0"/>
        <w:jc w:val="both"/>
        <w:rPr>
          <w:lang w:val="bg-BG"/>
        </w:rPr>
      </w:pPr>
      <w:r>
        <w:rPr>
          <w:lang w:val="bg-BG"/>
        </w:rPr>
        <w:t>Съгласно тази оценка, рисковете се категоризират на приемливи и неприемливи, съобразно определеното за допустимо ниво на риск.</w:t>
      </w:r>
    </w:p>
    <w:p>
      <w:pPr>
        <w:pStyle w:val="Normal"/>
        <w:ind w:start="360" w:end="0"/>
        <w:jc w:val="both"/>
        <w:rPr>
          <w:lang w:val="bg-BG"/>
        </w:rPr>
      </w:pPr>
      <w:r>
        <w:rPr>
          <w:lang w:val="bg-BG"/>
        </w:rPr>
      </w:r>
    </w:p>
    <w:p>
      <w:pPr>
        <w:pStyle w:val="Normal"/>
        <w:ind w:start="360" w:end="0"/>
        <w:jc w:val="both"/>
        <w:rPr/>
      </w:pPr>
      <w:r>
        <w:rPr>
          <w:b/>
          <w:lang w:val="bg-BG"/>
        </w:rPr>
        <w:t>Ограничаване на риска</w:t>
      </w:r>
      <w:r>
        <w:rPr>
          <w:lang w:val="bg-BG"/>
        </w:rPr>
        <w:t xml:space="preserve"> - въз основа на резултатите от оценката на риск се определят възможни мерки за ограничаването му. Необходимо е да се оцени и остатъчният риск, след предприемане на ограничителните мерки.</w:t>
      </w:r>
    </w:p>
    <w:p>
      <w:pPr>
        <w:pStyle w:val="Normal"/>
        <w:ind w:start="360" w:end="0"/>
        <w:jc w:val="both"/>
        <w:rPr>
          <w:lang w:val="bg-BG"/>
        </w:rPr>
      </w:pPr>
      <w:r>
        <w:rPr>
          <w:lang w:val="bg-BG"/>
        </w:rPr>
        <w:t>Ограничаването на риска се налага в случаите когато, идентифицираните нива на риск надхвърлят приетите за допустими. Ограничаването може да бъде осъществено по няколко начина:</w:t>
      </w:r>
    </w:p>
    <w:p>
      <w:pPr>
        <w:pStyle w:val="Normal"/>
        <w:ind w:start="360" w:end="0"/>
        <w:jc w:val="both"/>
        <w:rPr>
          <w:lang w:val="bg-BG"/>
        </w:rPr>
      </w:pPr>
      <w:r>
        <w:rPr>
          <w:lang w:val="bg-BG"/>
        </w:rPr>
        <w:t>1.</w:t>
        <w:tab/>
        <w:t>избягване на риска чрез прекратяване на дейността, която го поражда или заменянето и с алтернативна;</w:t>
      </w:r>
    </w:p>
    <w:p>
      <w:pPr>
        <w:pStyle w:val="Normal"/>
        <w:ind w:start="360" w:end="0"/>
        <w:jc w:val="both"/>
        <w:rPr>
          <w:lang w:val="bg-BG"/>
        </w:rPr>
      </w:pPr>
      <w:r>
        <w:rPr>
          <w:lang w:val="bg-BG"/>
        </w:rPr>
        <w:t>2.</w:t>
        <w:tab/>
        <w:t>намаляване на възможността на проява на риска – чрез внедряването на контролни процеси, подобряване на надзора върху дейността, обучения;</w:t>
      </w:r>
    </w:p>
    <w:p>
      <w:pPr>
        <w:pStyle w:val="Normal"/>
        <w:ind w:start="360" w:end="0"/>
        <w:jc w:val="both"/>
        <w:rPr>
          <w:lang w:val="bg-BG"/>
        </w:rPr>
      </w:pPr>
      <w:r>
        <w:rPr>
          <w:lang w:val="bg-BG"/>
        </w:rPr>
        <w:t>3.</w:t>
        <w:tab/>
        <w:t>намаляване ефекта от проявяването на риска – чрез застраховане;</w:t>
      </w:r>
    </w:p>
    <w:p>
      <w:pPr>
        <w:pStyle w:val="Normal"/>
        <w:ind w:start="360" w:end="0"/>
        <w:jc w:val="both"/>
        <w:rPr>
          <w:lang w:val="bg-BG"/>
        </w:rPr>
      </w:pPr>
      <w:r>
        <w:rPr>
          <w:lang w:val="bg-BG"/>
        </w:rPr>
        <w:t>4.</w:t>
        <w:tab/>
        <w:t>прехвърляне на риска към трети страни, които по същество са обект на същия тип риск;</w:t>
      </w:r>
    </w:p>
    <w:p>
      <w:pPr>
        <w:pStyle w:val="Normal"/>
        <w:ind w:start="360" w:end="0"/>
        <w:jc w:val="both"/>
        <w:rPr>
          <w:lang w:val="bg-BG"/>
        </w:rPr>
      </w:pPr>
      <w:r>
        <w:rPr>
          <w:lang w:val="bg-BG"/>
        </w:rPr>
        <w:t>5.</w:t>
        <w:tab/>
        <w:t>предварително установяване и приемане на част от ефекта на риска, като присъща за решението на управителните органи за продължаване на съответната дейност;</w:t>
      </w:r>
    </w:p>
    <w:p>
      <w:pPr>
        <w:pStyle w:val="Normal"/>
        <w:ind w:start="360" w:end="0"/>
        <w:jc w:val="both"/>
        <w:rPr>
          <w:lang w:val="bg-BG"/>
        </w:rPr>
      </w:pPr>
      <w:r>
        <w:rPr>
          <w:lang w:val="bg-BG"/>
        </w:rPr>
      </w:r>
    </w:p>
    <w:p>
      <w:pPr>
        <w:pStyle w:val="Normal"/>
        <w:ind w:start="360" w:end="0"/>
        <w:jc w:val="both"/>
        <w:rPr/>
      </w:pPr>
      <w:r>
        <w:rPr>
          <w:lang w:val="bg-BG"/>
        </w:rPr>
        <w:t>Ограничителните мерки се одобряват от Управителя.</w:t>
      </w:r>
    </w:p>
    <w:p>
      <w:pPr>
        <w:pStyle w:val="Normal"/>
        <w:ind w:start="360" w:end="0"/>
        <w:jc w:val="both"/>
        <w:rPr>
          <w:lang w:val="bg-BG"/>
        </w:rPr>
      </w:pPr>
      <w:r>
        <w:rPr>
          <w:lang w:val="bg-BG"/>
        </w:rPr>
        <w:t>Последната стъпка е извършване на действия съобразно одобрените ограничителни мерки.</w:t>
      </w:r>
    </w:p>
    <w:p>
      <w:pPr>
        <w:pStyle w:val="Normal"/>
        <w:ind w:start="360" w:end="0"/>
        <w:jc w:val="both"/>
        <w:rPr>
          <w:lang w:val="bg-BG"/>
        </w:rPr>
      </w:pPr>
      <w:r>
        <w:rPr>
          <w:lang w:val="bg-BG"/>
        </w:rPr>
      </w:r>
    </w:p>
    <w:p>
      <w:pPr>
        <w:pStyle w:val="Normal"/>
        <w:ind w:start="360" w:end="0"/>
        <w:jc w:val="both"/>
        <w:rPr/>
      </w:pPr>
      <w:r>
        <w:rPr>
          <w:b/>
          <w:lang w:val="bg-BG"/>
        </w:rPr>
        <w:t>Наблюдение на риска</w:t>
      </w:r>
      <w:r>
        <w:rPr>
          <w:lang w:val="bg-BG"/>
        </w:rPr>
        <w:t xml:space="preserve"> - предприемането на конкретни действия по ограничаването на риска е отговорност на упълномощените лица в съответните отдели. Отговорните лица се отчитат пред представителят на ръководството по управление на риска.</w:t>
      </w:r>
    </w:p>
    <w:p>
      <w:pPr>
        <w:pStyle w:val="Normal"/>
        <w:ind w:start="360" w:end="0"/>
        <w:jc w:val="both"/>
        <w:rPr>
          <w:lang w:val="bg-BG"/>
        </w:rPr>
      </w:pPr>
      <w:r>
        <w:rPr>
          <w:lang w:val="bg-BG"/>
        </w:rPr>
      </w:r>
    </w:p>
    <w:p>
      <w:pPr>
        <w:pStyle w:val="Normal"/>
        <w:ind w:start="360" w:end="0"/>
        <w:jc w:val="both"/>
        <w:rPr/>
      </w:pPr>
      <w:r>
        <w:rPr>
          <w:b/>
          <w:lang w:val="bg-BG"/>
        </w:rPr>
        <w:t>Отчитане на настъпили инциденти</w:t>
      </w:r>
      <w:r>
        <w:rPr>
          <w:lang w:val="bg-BG"/>
        </w:rPr>
        <w:t xml:space="preserve"> – отчитането на настъпили инциденти цели:</w:t>
      </w:r>
    </w:p>
    <w:p>
      <w:pPr>
        <w:pStyle w:val="Normal"/>
        <w:ind w:start="360" w:end="0"/>
        <w:jc w:val="both"/>
        <w:rPr>
          <w:lang w:val="bg-BG"/>
        </w:rPr>
      </w:pPr>
      <w:r>
        <w:rPr>
          <w:lang w:val="bg-BG"/>
        </w:rPr>
      </w:r>
    </w:p>
    <w:p>
      <w:pPr>
        <w:pStyle w:val="Normal"/>
        <w:ind w:start="360" w:end="0"/>
        <w:jc w:val="both"/>
        <w:rPr>
          <w:lang w:val="bg-BG"/>
        </w:rPr>
      </w:pPr>
      <w:r>
        <w:rPr>
          <w:lang w:val="bg-BG"/>
        </w:rPr>
        <w:t>1.</w:t>
        <w:tab/>
        <w:t>да спомага за формирането на информационна база за загуби, предизвикани от операционни инциденти;</w:t>
      </w:r>
    </w:p>
    <w:p>
      <w:pPr>
        <w:pStyle w:val="Normal"/>
        <w:ind w:start="360" w:end="0"/>
        <w:jc w:val="both"/>
        <w:rPr>
          <w:lang w:val="bg-BG"/>
        </w:rPr>
      </w:pPr>
      <w:r>
        <w:rPr>
          <w:lang w:val="bg-BG"/>
        </w:rPr>
        <w:t>2.</w:t>
        <w:tab/>
        <w:t>да спомага за увеличаване на риск културата, съответно подобряване на процеса по управление на риска и възможностите за ограничаване чрез подобряване на информацията за действителната цена на операционния риск;</w:t>
      </w:r>
    </w:p>
    <w:p>
      <w:pPr>
        <w:pStyle w:val="Normal"/>
        <w:ind w:start="360" w:end="0"/>
        <w:jc w:val="both"/>
        <w:rPr>
          <w:lang w:val="bg-BG"/>
        </w:rPr>
      </w:pPr>
      <w:r>
        <w:rPr>
          <w:lang w:val="bg-BG"/>
        </w:rPr>
        <w:t>3.</w:t>
        <w:tab/>
        <w:t>периодично да измерва стойността на възникващите в следствие от операционен риск инциденти, осигурявайки по-добра възможност на мениджмънта за ограничаване на разходите;</w:t>
      </w:r>
    </w:p>
    <w:p>
      <w:pPr>
        <w:pStyle w:val="Normal"/>
        <w:ind w:start="360" w:end="0"/>
        <w:jc w:val="both"/>
        <w:rPr>
          <w:lang w:val="bg-BG"/>
        </w:rPr>
      </w:pPr>
      <w:r>
        <w:rPr>
          <w:lang w:val="bg-BG"/>
        </w:rPr>
        <w:t>4.</w:t>
        <w:tab/>
        <w:t>да подобри възможността за реагиране при значителни операционни инциденти;</w:t>
      </w:r>
    </w:p>
    <w:p>
      <w:pPr>
        <w:pStyle w:val="Normal"/>
        <w:ind w:start="360" w:end="0"/>
        <w:jc w:val="both"/>
        <w:rPr>
          <w:lang w:val="bg-BG"/>
        </w:rPr>
      </w:pPr>
      <w:r>
        <w:rPr>
          <w:lang w:val="bg-BG"/>
        </w:rPr>
        <w:t>5.</w:t>
        <w:tab/>
        <w:t>да приведе в съответствия изискванията на нормативната уредба на ниво функционална единица;</w:t>
      </w:r>
    </w:p>
    <w:p>
      <w:pPr>
        <w:pStyle w:val="Normal"/>
        <w:ind w:start="360" w:end="0"/>
        <w:jc w:val="both"/>
        <w:rPr>
          <w:lang w:val="bg-BG"/>
        </w:rPr>
      </w:pPr>
      <w:r>
        <w:rPr>
          <w:lang w:val="bg-BG"/>
        </w:rPr>
        <w:t>6.</w:t>
        <w:tab/>
        <w:t>да създаде изцяло синхронизирана процедура за събиране на данни и отчитане, както и избягване на дублиране на информация и празноти;</w:t>
      </w:r>
    </w:p>
    <w:p>
      <w:pPr>
        <w:pStyle w:val="Normal"/>
        <w:ind w:start="360" w:end="0"/>
        <w:jc w:val="both"/>
        <w:rPr>
          <w:lang w:val="bg-BG"/>
        </w:rPr>
      </w:pPr>
      <w:r>
        <w:rPr>
          <w:lang w:val="bg-BG"/>
        </w:rPr>
      </w:r>
    </w:p>
    <w:p>
      <w:pPr>
        <w:pStyle w:val="Normal"/>
        <w:ind w:start="360" w:end="0"/>
        <w:jc w:val="both"/>
        <w:rPr>
          <w:lang w:val="bg-BG"/>
        </w:rPr>
      </w:pPr>
      <w:r>
        <w:rPr>
          <w:lang w:val="bg-BG"/>
        </w:rPr>
        <w:t xml:space="preserve">Политиката по управление на риска изисква незабавно отчитане инциденти, които са: </w:t>
      </w:r>
    </w:p>
    <w:p>
      <w:pPr>
        <w:pStyle w:val="Normal"/>
        <w:numPr>
          <w:ilvl w:val="0"/>
          <w:numId w:val="2"/>
        </w:numPr>
        <w:jc w:val="both"/>
        <w:rPr>
          <w:lang w:val="bg-BG"/>
        </w:rPr>
      </w:pPr>
      <w:r>
        <w:rPr>
          <w:lang w:val="bg-BG"/>
        </w:rPr>
        <w:t xml:space="preserve">значими, </w:t>
      </w:r>
    </w:p>
    <w:p>
      <w:pPr>
        <w:pStyle w:val="Normal"/>
        <w:numPr>
          <w:ilvl w:val="0"/>
          <w:numId w:val="2"/>
        </w:numPr>
        <w:jc w:val="both"/>
        <w:rPr>
          <w:lang w:val="bg-BG"/>
        </w:rPr>
      </w:pPr>
      <w:r>
        <w:rPr>
          <w:lang w:val="bg-BG"/>
        </w:rPr>
        <w:t xml:space="preserve">имат заплашителен характер, </w:t>
      </w:r>
    </w:p>
    <w:p>
      <w:pPr>
        <w:pStyle w:val="Normal"/>
        <w:numPr>
          <w:ilvl w:val="0"/>
          <w:numId w:val="2"/>
        </w:numPr>
        <w:jc w:val="both"/>
        <w:rPr>
          <w:lang w:val="bg-BG"/>
        </w:rPr>
      </w:pPr>
      <w:r>
        <w:rPr>
          <w:lang w:val="bg-BG"/>
        </w:rPr>
        <w:t xml:space="preserve">имат отношение към репутацията на дружеството, </w:t>
      </w:r>
    </w:p>
    <w:p>
      <w:pPr>
        <w:pStyle w:val="Normal"/>
        <w:numPr>
          <w:ilvl w:val="0"/>
          <w:numId w:val="2"/>
        </w:numPr>
        <w:jc w:val="both"/>
        <w:rPr>
          <w:lang w:val="bg-BG"/>
        </w:rPr>
      </w:pPr>
      <w:r>
        <w:rPr>
          <w:lang w:val="bg-BG"/>
        </w:rPr>
        <w:t xml:space="preserve">имат незаконно или осквернително действие, </w:t>
      </w:r>
    </w:p>
    <w:p>
      <w:pPr>
        <w:pStyle w:val="Normal"/>
        <w:ind w:start="360" w:end="0"/>
        <w:jc w:val="both"/>
        <w:rPr>
          <w:lang w:val="bg-BG"/>
        </w:rPr>
      </w:pPr>
      <w:r>
        <w:rPr>
          <w:lang w:val="bg-BG"/>
        </w:rPr>
      </w:r>
    </w:p>
    <w:p>
      <w:pPr>
        <w:pStyle w:val="Normal"/>
        <w:ind w:start="360" w:end="0"/>
        <w:jc w:val="both"/>
        <w:rPr>
          <w:b/>
          <w:lang w:val="bg-BG"/>
        </w:rPr>
      </w:pPr>
      <w:r>
        <w:rPr>
          <w:b/>
          <w:lang w:val="bg-BG"/>
        </w:rPr>
        <w:t>Отчитане на Съществените Рискови Показатели:</w:t>
      </w:r>
    </w:p>
    <w:p>
      <w:pPr>
        <w:pStyle w:val="Normal"/>
        <w:ind w:start="360" w:end="0"/>
        <w:jc w:val="both"/>
        <w:rPr/>
      </w:pPr>
      <w:r>
        <w:rPr>
          <w:lang w:val="bg-BG"/>
        </w:rPr>
        <w:t>1.</w:t>
        <w:tab/>
        <w:t>Съществените Рискови Показатели дават информация на ръководния персонал доколко специфичните рискове са в предварително определените граници и дали е необходимо предприемането на действия за ограничаването им до допустимото ниво за дружеството;</w:t>
      </w:r>
    </w:p>
    <w:p>
      <w:pPr>
        <w:pStyle w:val="Normal"/>
        <w:ind w:start="360" w:end="0"/>
        <w:jc w:val="both"/>
        <w:rPr>
          <w:lang w:val="bg-BG"/>
        </w:rPr>
      </w:pPr>
      <w:r>
        <w:rPr>
          <w:lang w:val="bg-BG"/>
        </w:rPr>
        <w:t>2.</w:t>
        <w:tab/>
        <w:t>Наличието на Съществените Рискови Показатели се определя на базата на резултати от процеса по Риск и Контрол Самооценка;</w:t>
      </w:r>
    </w:p>
    <w:p>
      <w:pPr>
        <w:pStyle w:val="Normal"/>
        <w:ind w:start="360" w:end="0"/>
        <w:jc w:val="both"/>
        <w:rPr/>
      </w:pPr>
      <w:r>
        <w:rPr>
          <w:lang w:val="bg-BG"/>
        </w:rPr>
        <w:t>3.</w:t>
        <w:tab/>
        <w:t>Отделите сами идентифицират Съществените Рискови Показатели, свързани с тяхната дейност с помощта на представителят на ръководството по управление на риска;</w:t>
      </w:r>
    </w:p>
    <w:p>
      <w:pPr>
        <w:pStyle w:val="Normal"/>
        <w:ind w:start="360" w:end="0"/>
        <w:jc w:val="both"/>
        <w:rPr/>
      </w:pPr>
      <w:r>
        <w:rPr>
          <w:lang w:val="bg-BG"/>
        </w:rPr>
        <w:t>4.</w:t>
        <w:tab/>
        <w:t>След оценката на Съществените Рискови Показатели, представителят на ръководството за управление на риска и функционалните единици определят реалистични нива на рискова поносимост;</w:t>
      </w:r>
    </w:p>
    <w:p>
      <w:pPr>
        <w:pStyle w:val="Normal"/>
        <w:ind w:start="360" w:end="0"/>
        <w:jc w:val="both"/>
        <w:rPr/>
      </w:pPr>
      <w:r>
        <w:rPr>
          <w:lang w:val="bg-BG"/>
        </w:rPr>
        <w:t>5.</w:t>
        <w:tab/>
        <w:t>Съветът по качество се уведомяват при възникването/констатирането на Съществени рискови показатели.</w:t>
      </w:r>
    </w:p>
    <w:p>
      <w:pPr>
        <w:pStyle w:val="Normal"/>
        <w:ind w:start="360" w:end="0"/>
        <w:jc w:val="both"/>
        <w:rPr>
          <w:b/>
          <w:lang w:val="bg-BG"/>
        </w:rPr>
      </w:pPr>
      <w:r>
        <w:rPr>
          <w:b/>
          <w:lang w:val="bg-BG"/>
        </w:rPr>
      </w:r>
    </w:p>
    <w:p>
      <w:pPr>
        <w:pStyle w:val="Normal"/>
        <w:ind w:start="360" w:end="0"/>
        <w:jc w:val="both"/>
        <w:rPr>
          <w:b/>
          <w:lang w:val="bg-BG"/>
        </w:rPr>
      </w:pPr>
      <w:r>
        <w:rPr>
          <w:b/>
          <w:lang w:val="bg-BG"/>
        </w:rPr>
      </w:r>
    </w:p>
    <w:p>
      <w:pPr>
        <w:pStyle w:val="Normal"/>
        <w:ind w:start="360" w:end="0"/>
        <w:jc w:val="both"/>
        <w:rPr>
          <w:b/>
          <w:lang w:val="bg-BG"/>
        </w:rPr>
      </w:pPr>
      <w:r>
        <w:rPr>
          <w:b/>
          <w:lang w:val="bg-BG"/>
        </w:rPr>
      </w:r>
    </w:p>
    <w:p>
      <w:pPr>
        <w:pStyle w:val="Normal"/>
        <w:ind w:start="360" w:end="0"/>
        <w:jc w:val="both"/>
        <w:rPr>
          <w:b/>
          <w:lang w:val="bg-BG"/>
        </w:rPr>
      </w:pPr>
      <w:r>
        <w:rPr>
          <w:b/>
          <w:lang w:val="bg-BG"/>
        </w:rPr>
      </w:r>
    </w:p>
    <w:p>
      <w:pPr>
        <w:pStyle w:val="Normal"/>
        <w:ind w:start="360" w:end="0"/>
        <w:jc w:val="both"/>
        <w:rPr>
          <w:b/>
          <w:lang w:val="bg-BG"/>
        </w:rPr>
      </w:pPr>
      <w:r>
        <w:rPr>
          <w:b/>
          <w:lang w:val="bg-BG"/>
        </w:rPr>
      </w:r>
    </w:p>
    <w:p>
      <w:pPr>
        <w:pStyle w:val="Normal"/>
        <w:ind w:start="360" w:end="0"/>
        <w:jc w:val="both"/>
        <w:rPr>
          <w:b/>
          <w:lang w:val="bg-BG"/>
        </w:rPr>
      </w:pPr>
      <w:r>
        <w:rPr>
          <w:b/>
          <w:lang w:val="bg-BG"/>
        </w:rPr>
        <w:t>ЗАКЛЮЧИТЕЛНИ РАЗПОРЕДБИ</w:t>
      </w:r>
    </w:p>
    <w:p>
      <w:pPr>
        <w:pStyle w:val="Normal"/>
        <w:ind w:start="360" w:end="0"/>
        <w:jc w:val="both"/>
        <w:rPr>
          <w:b/>
          <w:lang w:val="bg-BG"/>
        </w:rPr>
      </w:pPr>
      <w:r>
        <w:rPr>
          <w:b/>
          <w:lang w:val="bg-BG"/>
        </w:rPr>
      </w:r>
    </w:p>
    <w:p>
      <w:pPr>
        <w:pStyle w:val="Normal"/>
        <w:ind w:start="360" w:end="0"/>
        <w:jc w:val="both"/>
        <w:rPr>
          <w:lang w:val="bg-BG"/>
        </w:rPr>
      </w:pPr>
      <w:r>
        <w:rPr>
          <w:b/>
          <w:lang w:val="bg-BG"/>
        </w:rPr>
        <w:t xml:space="preserve">§ </w:t>
      </w:r>
      <w:r>
        <w:rPr>
          <w:lang w:val="bg-BG"/>
        </w:rPr>
        <w:t xml:space="preserve">1. Когато в практиката на </w:t>
      </w:r>
      <w:r>
        <w:rPr>
          <w:rFonts w:eastAsia="Times New Roman CYR"/>
          <w:b/>
          <w:bCs/>
          <w:lang w:val="bg-BG"/>
        </w:rPr>
        <w:t xml:space="preserve">„Артпласт” ЕООД </w:t>
      </w:r>
      <w:r>
        <w:rPr>
          <w:b/>
          <w:lang w:val="bg-BG"/>
        </w:rPr>
        <w:t xml:space="preserve"> </w:t>
      </w:r>
      <w:r>
        <w:rPr>
          <w:lang w:val="bg-BG"/>
        </w:rPr>
        <w:t xml:space="preserve">  бъдат констатирани проблеми, чието преодоляване изисква изменение или допълване на този План, Съветът на по качество на </w:t>
      </w:r>
      <w:r>
        <w:rPr>
          <w:rFonts w:eastAsia="Times New Roman CYR"/>
          <w:b/>
          <w:bCs/>
          <w:lang w:val="bg-BG"/>
        </w:rPr>
        <w:t xml:space="preserve">„Артпласт” ЕООД </w:t>
      </w:r>
      <w:r>
        <w:rPr>
          <w:b/>
          <w:lang w:val="bg-BG"/>
        </w:rPr>
        <w:t xml:space="preserve"> </w:t>
      </w:r>
      <w:r>
        <w:rPr>
          <w:lang w:val="bg-BG"/>
        </w:rPr>
        <w:t xml:space="preserve"> може да извърши съответните корекции. </w:t>
      </w:r>
    </w:p>
    <w:p>
      <w:pPr>
        <w:pStyle w:val="Normal"/>
        <w:ind w:start="360" w:end="0"/>
        <w:jc w:val="both"/>
        <w:rPr/>
      </w:pPr>
      <w:r>
        <w:rPr>
          <w:lang w:val="bg-BG"/>
        </w:rPr>
        <w:t>Независимо от приложението на изречение първо, Съветът по качество веднъж на шест месеца извършва преглед и оценка на настоящият план, като при непълноти и/или необходимост от подобряване на дейността приема изменения и допълнения в настоящият План.</w:t>
      </w:r>
    </w:p>
    <w:p>
      <w:pPr>
        <w:pStyle w:val="Normal"/>
        <w:ind w:start="360" w:end="0"/>
        <w:jc w:val="both"/>
        <w:rPr>
          <w:lang w:val="bg-BG"/>
        </w:rPr>
      </w:pPr>
      <w:r>
        <w:rPr>
          <w:lang w:val="bg-BG"/>
        </w:rPr>
        <w:t xml:space="preserve"> </w:t>
      </w:r>
    </w:p>
    <w:p>
      <w:pPr>
        <w:pStyle w:val="Normal"/>
        <w:ind w:start="360" w:end="0"/>
        <w:jc w:val="both"/>
        <w:rPr>
          <w:lang w:val="bg-BG"/>
        </w:rPr>
      </w:pPr>
      <w:r>
        <w:rPr>
          <w:lang w:val="bg-BG"/>
        </w:rPr>
      </w:r>
    </w:p>
    <w:p>
      <w:pPr>
        <w:pStyle w:val="Normal"/>
        <w:ind w:start="360" w:end="0"/>
        <w:jc w:val="both"/>
        <w:rPr>
          <w:lang w:val="bg-BG"/>
        </w:rPr>
      </w:pPr>
      <w:r>
        <w:rPr>
          <w:lang w:val="bg-BG"/>
        </w:rPr>
        <w:t xml:space="preserve">§ 2. Съветът по качество на </w:t>
      </w:r>
      <w:r>
        <w:rPr>
          <w:rFonts w:eastAsia="Times New Roman CYR"/>
          <w:b/>
          <w:bCs/>
          <w:lang w:val="bg-BG"/>
        </w:rPr>
        <w:t xml:space="preserve">„Артпласт” ЕООД </w:t>
      </w:r>
      <w:r>
        <w:rPr>
          <w:b/>
          <w:lang w:val="bg-BG"/>
        </w:rPr>
        <w:t xml:space="preserve"> </w:t>
      </w:r>
      <w:r>
        <w:rPr>
          <w:lang w:val="bg-BG"/>
        </w:rPr>
        <w:t xml:space="preserve"> може да издава заповеди и инструкции по прилагането на този План. </w:t>
      </w:r>
    </w:p>
    <w:p>
      <w:pPr>
        <w:pStyle w:val="Normal"/>
        <w:ind w:start="360" w:end="0"/>
        <w:jc w:val="both"/>
        <w:rPr/>
      </w:pPr>
      <w:r>
        <w:rPr>
          <w:lang w:val="bg-BG"/>
        </w:rPr>
        <w:t xml:space="preserve">§ 3. Настоящият план се предоставя за сведение и изпълнение на служителите на </w:t>
      </w:r>
      <w:r>
        <w:rPr>
          <w:rFonts w:eastAsia="Times New Roman CYR"/>
          <w:b/>
          <w:bCs/>
          <w:lang w:val="bg-BG"/>
        </w:rPr>
        <w:t xml:space="preserve">„Артпласт” ЕООД </w:t>
      </w:r>
      <w:r>
        <w:rPr>
          <w:lang w:val="bg-BG"/>
        </w:rPr>
        <w:t>.</w:t>
      </w:r>
    </w:p>
    <w:p>
      <w:pPr>
        <w:pStyle w:val="Normal"/>
        <w:ind w:start="360" w:end="0"/>
        <w:jc w:val="both"/>
        <w:rPr>
          <w:lang w:val="bg-BG"/>
        </w:rPr>
      </w:pPr>
      <w:r>
        <w:rPr>
          <w:lang w:val="bg-BG"/>
        </w:rPr>
        <w:t xml:space="preserve">§ 4. Планът е приет  от Управителят и съвета по качество на </w:t>
      </w:r>
      <w:r>
        <w:rPr>
          <w:rFonts w:eastAsia="Times New Roman CYR"/>
          <w:b/>
          <w:bCs/>
          <w:lang w:val="bg-BG"/>
        </w:rPr>
        <w:t xml:space="preserve">„Артпласт” ЕООД </w:t>
      </w:r>
      <w:r>
        <w:rPr>
          <w:lang w:val="bg-BG"/>
        </w:rPr>
        <w:t xml:space="preserve"> с решение на заседание </w:t>
      </w:r>
      <w:r>
        <w:rPr>
          <w:b/>
        </w:rPr>
        <w:t>27</w:t>
      </w:r>
      <w:r>
        <w:rPr>
          <w:b/>
          <w:lang w:val="bg-BG"/>
        </w:rPr>
        <w:t>.0</w:t>
      </w:r>
      <w:r>
        <w:rPr>
          <w:b/>
        </w:rPr>
        <w:t>5</w:t>
      </w:r>
      <w:r>
        <w:rPr>
          <w:b/>
          <w:lang w:val="bg-BG"/>
        </w:rPr>
        <w:t>.2020г.</w:t>
      </w:r>
    </w:p>
    <w:p>
      <w:pPr>
        <w:pStyle w:val="Normal"/>
        <w:ind w:start="360" w:end="0"/>
        <w:jc w:val="both"/>
        <w:rPr>
          <w:lang w:val="bg-BG"/>
        </w:rPr>
      </w:pPr>
      <w:r>
        <w:rPr>
          <w:lang w:val="bg-BG"/>
        </w:rPr>
        <w:t>§ 5. Настоящият план се приема като допълнение на Правилата за вътрешна организация, вътрешен контрол и вътрешен одит</w:t>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b/>
          <w:lang w:val="bg-BG"/>
        </w:rPr>
      </w:pPr>
      <w:r>
        <w:rPr>
          <w:b/>
          <w:lang w:val="bg-BG"/>
        </w:rPr>
      </w:r>
    </w:p>
    <w:p>
      <w:pPr>
        <w:pStyle w:val="Normal"/>
        <w:ind w:start="360" w:end="0"/>
        <w:jc w:val="both"/>
        <w:rPr>
          <w:b/>
          <w:lang w:val="bg-BG"/>
        </w:rPr>
      </w:pPr>
      <w:r>
        <w:rPr>
          <w:b/>
          <w:lang w:val="bg-BG"/>
        </w:rPr>
      </w:r>
    </w:p>
    <w:p>
      <w:pPr>
        <w:pStyle w:val="Normal"/>
        <w:ind w:start="360" w:end="0"/>
        <w:jc w:val="both"/>
        <w:rPr>
          <w:b/>
          <w:lang w:val="bg-BG"/>
        </w:rPr>
      </w:pPr>
      <w:r>
        <w:rPr>
          <w:b/>
          <w:lang w:val="bg-BG"/>
        </w:rPr>
      </w:r>
    </w:p>
    <w:tbl>
      <w:tblPr>
        <w:tblpPr w:vertAnchor="text" w:horzAnchor="margin" w:rightFromText="180" w:tblpX="5" w:tblpY="246"/>
        <w:tblW w:w="8822" w:type="dxa"/>
        <w:jc w:val="start"/>
        <w:tblInd w:w="108" w:type="dxa"/>
        <w:tblLayout w:type="fixed"/>
        <w:tblCellMar>
          <w:top w:w="0" w:type="dxa"/>
          <w:start w:w="108" w:type="dxa"/>
          <w:bottom w:w="0" w:type="dxa"/>
          <w:end w:w="108" w:type="dxa"/>
        </w:tblCellMar>
      </w:tblPr>
      <w:tblGrid>
        <w:gridCol w:w="1744"/>
        <w:gridCol w:w="2010"/>
        <w:gridCol w:w="1689"/>
        <w:gridCol w:w="1689"/>
        <w:gridCol w:w="1690"/>
      </w:tblGrid>
      <w:tr>
        <w:trPr/>
        <w:tc>
          <w:tcPr>
            <w:tcW w:w="1744" w:type="dxa"/>
            <w:tcBorders>
              <w:top w:val="single" w:sz="4" w:space="0" w:color="000000"/>
              <w:start w:val="single" w:sz="4" w:space="0" w:color="000000"/>
              <w:bottom w:val="single" w:sz="4" w:space="0" w:color="000000"/>
              <w:end w:val="single" w:sz="4" w:space="0" w:color="000000"/>
            </w:tcBorders>
          </w:tcPr>
          <w:p>
            <w:pPr>
              <w:pStyle w:val="Footer"/>
              <w:snapToGrid w:val="false"/>
              <w:rPr>
                <w:lang w:val="bg-BG"/>
              </w:rPr>
            </w:pPr>
            <w:r>
              <w:rPr>
                <w:lang w:val="bg-BG"/>
              </w:rPr>
            </w:r>
          </w:p>
        </w:tc>
        <w:tc>
          <w:tcPr>
            <w:tcW w:w="2010" w:type="dxa"/>
            <w:tcBorders>
              <w:top w:val="single" w:sz="4" w:space="0" w:color="000000"/>
              <w:start w:val="single" w:sz="4" w:space="0" w:color="000000"/>
              <w:bottom w:val="single" w:sz="4" w:space="0" w:color="000000"/>
              <w:end w:val="single" w:sz="4" w:space="0" w:color="000000"/>
            </w:tcBorders>
          </w:tcPr>
          <w:p>
            <w:pPr>
              <w:pStyle w:val="Footer"/>
              <w:rPr>
                <w:lang w:val="bg-BG"/>
              </w:rPr>
            </w:pPr>
            <w:r>
              <w:rPr>
                <w:lang w:val="bg-BG"/>
              </w:rPr>
              <w:t>Име, фамилия</w:t>
            </w:r>
          </w:p>
        </w:tc>
        <w:tc>
          <w:tcPr>
            <w:tcW w:w="1689" w:type="dxa"/>
            <w:tcBorders>
              <w:top w:val="single" w:sz="4" w:space="0" w:color="000000"/>
              <w:start w:val="single" w:sz="4" w:space="0" w:color="000000"/>
              <w:bottom w:val="single" w:sz="4" w:space="0" w:color="000000"/>
              <w:end w:val="single" w:sz="4" w:space="0" w:color="000000"/>
            </w:tcBorders>
          </w:tcPr>
          <w:p>
            <w:pPr>
              <w:pStyle w:val="Footer"/>
              <w:jc w:val="center"/>
              <w:rPr>
                <w:lang w:val="bg-BG"/>
              </w:rPr>
            </w:pPr>
            <w:r>
              <w:rPr>
                <w:lang w:val="bg-BG"/>
              </w:rPr>
              <w:t>Длъжност</w:t>
            </w:r>
          </w:p>
        </w:tc>
        <w:tc>
          <w:tcPr>
            <w:tcW w:w="1689" w:type="dxa"/>
            <w:tcBorders>
              <w:top w:val="single" w:sz="4" w:space="0" w:color="000000"/>
              <w:start w:val="single" w:sz="4" w:space="0" w:color="000000"/>
              <w:bottom w:val="single" w:sz="4" w:space="0" w:color="000000"/>
              <w:end w:val="single" w:sz="4" w:space="0" w:color="000000"/>
            </w:tcBorders>
          </w:tcPr>
          <w:p>
            <w:pPr>
              <w:pStyle w:val="Footer"/>
              <w:jc w:val="center"/>
              <w:rPr>
                <w:lang w:val="bg-BG"/>
              </w:rPr>
            </w:pPr>
            <w:r>
              <w:rPr>
                <w:lang w:val="bg-BG"/>
              </w:rPr>
              <w:t>Дата</w:t>
            </w:r>
          </w:p>
        </w:tc>
        <w:tc>
          <w:tcPr>
            <w:tcW w:w="1690" w:type="dxa"/>
            <w:tcBorders>
              <w:top w:val="single" w:sz="4" w:space="0" w:color="000000"/>
              <w:start w:val="single" w:sz="4" w:space="0" w:color="000000"/>
              <w:bottom w:val="single" w:sz="4" w:space="0" w:color="000000"/>
              <w:end w:val="single" w:sz="4" w:space="0" w:color="000000"/>
            </w:tcBorders>
          </w:tcPr>
          <w:p>
            <w:pPr>
              <w:pStyle w:val="Footer"/>
              <w:jc w:val="center"/>
              <w:rPr>
                <w:lang w:val="bg-BG"/>
              </w:rPr>
            </w:pPr>
            <w:r>
              <w:rPr>
                <w:lang w:val="bg-BG"/>
              </w:rPr>
              <w:t>Подпис</w:t>
            </w:r>
          </w:p>
        </w:tc>
      </w:tr>
      <w:tr>
        <w:trPr/>
        <w:tc>
          <w:tcPr>
            <w:tcW w:w="1744" w:type="dxa"/>
            <w:tcBorders>
              <w:top w:val="single" w:sz="4" w:space="0" w:color="000000"/>
              <w:start w:val="single" w:sz="4" w:space="0" w:color="000000"/>
              <w:bottom w:val="single" w:sz="4" w:space="0" w:color="000000"/>
              <w:end w:val="single" w:sz="4" w:space="0" w:color="000000"/>
            </w:tcBorders>
            <w:vAlign w:val="center"/>
          </w:tcPr>
          <w:p>
            <w:pPr>
              <w:pStyle w:val="Footer"/>
              <w:rPr>
                <w:lang w:val="bg-BG"/>
              </w:rPr>
            </w:pPr>
            <w:r>
              <w:rPr>
                <w:lang w:val="bg-BG"/>
              </w:rPr>
              <w:t>ОДОБРИЛ</w:t>
            </w:r>
          </w:p>
        </w:tc>
        <w:tc>
          <w:tcPr>
            <w:tcW w:w="2010" w:type="dxa"/>
            <w:tcBorders>
              <w:top w:val="single" w:sz="4" w:space="0" w:color="000000"/>
              <w:start w:val="single" w:sz="4" w:space="0" w:color="000000"/>
              <w:bottom w:val="single" w:sz="4" w:space="0" w:color="000000"/>
              <w:end w:val="single" w:sz="4" w:space="0" w:color="000000"/>
            </w:tcBorders>
            <w:vAlign w:val="center"/>
          </w:tcPr>
          <w:p>
            <w:pPr>
              <w:pStyle w:val="Footer"/>
              <w:snapToGrid w:val="false"/>
              <w:rPr>
                <w:lang w:val="bg-BG"/>
              </w:rPr>
            </w:pPr>
            <w:r>
              <w:rPr>
                <w:lang w:val="bg-BG"/>
              </w:rPr>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Footer"/>
              <w:snapToGrid w:val="false"/>
              <w:rPr>
                <w:lang w:val="bg-BG"/>
              </w:rPr>
            </w:pPr>
            <w:r>
              <w:rPr>
                <w:lang w:val="bg-BG"/>
              </w:rPr>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rPr>
                <w:highlight w:val="yellow"/>
                <w:lang w:val="bg-BG"/>
              </w:rPr>
            </w:pPr>
            <w:r>
              <w:rPr>
                <w:b/>
              </w:rPr>
              <w:t>27</w:t>
            </w:r>
            <w:r>
              <w:rPr>
                <w:b/>
                <w:lang w:val="bg-BG"/>
              </w:rPr>
              <w:t>.05.2020г.</w:t>
            </w:r>
          </w:p>
        </w:tc>
        <w:tc>
          <w:tcPr>
            <w:tcW w:w="1690" w:type="dxa"/>
            <w:tcBorders>
              <w:top w:val="single" w:sz="4" w:space="0" w:color="000000"/>
              <w:start w:val="single" w:sz="4" w:space="0" w:color="000000"/>
              <w:bottom w:val="single" w:sz="4" w:space="0" w:color="000000"/>
              <w:end w:val="single" w:sz="4" w:space="0" w:color="000000"/>
            </w:tcBorders>
            <w:vAlign w:val="center"/>
          </w:tcPr>
          <w:p>
            <w:pPr>
              <w:pStyle w:val="Footer"/>
              <w:snapToGrid w:val="false"/>
              <w:rPr>
                <w:highlight w:val="yellow"/>
                <w:lang w:val="bg-BG"/>
              </w:rPr>
            </w:pPr>
            <w:r>
              <w:rPr>
                <w:highlight w:val="yellow"/>
                <w:lang w:val="bg-BG"/>
              </w:rPr>
            </w:r>
          </w:p>
        </w:tc>
      </w:tr>
      <w:tr>
        <w:trPr/>
        <w:tc>
          <w:tcPr>
            <w:tcW w:w="1744" w:type="dxa"/>
            <w:tcBorders>
              <w:top w:val="single" w:sz="4" w:space="0" w:color="000000"/>
              <w:start w:val="single" w:sz="4" w:space="0" w:color="000000"/>
              <w:bottom w:val="single" w:sz="4" w:space="0" w:color="000000"/>
              <w:end w:val="single" w:sz="4" w:space="0" w:color="000000"/>
            </w:tcBorders>
            <w:vAlign w:val="center"/>
          </w:tcPr>
          <w:p>
            <w:pPr>
              <w:pStyle w:val="Footer"/>
              <w:rPr>
                <w:lang w:val="bg-BG"/>
              </w:rPr>
            </w:pPr>
            <w:r>
              <w:rPr>
                <w:lang w:val="bg-BG"/>
              </w:rPr>
              <w:t>РАЗРАБОТИЛ</w:t>
            </w:r>
          </w:p>
        </w:tc>
        <w:tc>
          <w:tcPr>
            <w:tcW w:w="2010" w:type="dxa"/>
            <w:tcBorders>
              <w:top w:val="single" w:sz="4" w:space="0" w:color="000000"/>
              <w:start w:val="single" w:sz="4" w:space="0" w:color="000000"/>
              <w:bottom w:val="single" w:sz="4" w:space="0" w:color="000000"/>
              <w:end w:val="single" w:sz="4" w:space="0" w:color="000000"/>
            </w:tcBorders>
            <w:vAlign w:val="center"/>
          </w:tcPr>
          <w:p>
            <w:pPr>
              <w:pStyle w:val="Footer"/>
              <w:snapToGrid w:val="false"/>
              <w:rPr>
                <w:lang w:val="bg-BG"/>
              </w:rPr>
            </w:pPr>
            <w:r>
              <w:rPr>
                <w:lang w:val="bg-BG"/>
              </w:rPr>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Footer"/>
              <w:snapToGrid w:val="false"/>
              <w:rPr>
                <w:lang w:val="bg-BG"/>
              </w:rPr>
            </w:pPr>
            <w:r>
              <w:rPr>
                <w:lang w:val="bg-BG"/>
              </w:rPr>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lang w:val="bg-BG"/>
              </w:rPr>
            </w:pPr>
            <w:r>
              <w:rPr>
                <w:lang w:val="bg-BG"/>
              </w:rPr>
            </w:r>
          </w:p>
        </w:tc>
        <w:tc>
          <w:tcPr>
            <w:tcW w:w="1690" w:type="dxa"/>
            <w:tcBorders>
              <w:top w:val="single" w:sz="4" w:space="0" w:color="000000"/>
              <w:start w:val="single" w:sz="4" w:space="0" w:color="000000"/>
              <w:bottom w:val="single" w:sz="4" w:space="0" w:color="000000"/>
              <w:end w:val="single" w:sz="4" w:space="0" w:color="000000"/>
            </w:tcBorders>
            <w:vAlign w:val="center"/>
          </w:tcPr>
          <w:p>
            <w:pPr>
              <w:pStyle w:val="Footer"/>
              <w:snapToGrid w:val="false"/>
              <w:rPr>
                <w:lang w:val="bg-BG"/>
              </w:rPr>
            </w:pPr>
            <w:r>
              <w:rPr>
                <w:lang w:val="bg-BG"/>
              </w:rPr>
            </w:r>
          </w:p>
        </w:tc>
      </w:tr>
    </w:tbl>
    <w:p>
      <w:pPr>
        <w:pStyle w:val="Normal"/>
        <w:ind w:start="360" w:end="0"/>
        <w:jc w:val="both"/>
        <w:rPr>
          <w:bCs/>
          <w:lang w:val="bg-BG"/>
        </w:rPr>
      </w:pPr>
      <w:r>
        <w:rPr>
          <w:bCs/>
          <w:lang w:val="bg-BG"/>
        </w:rPr>
      </w:r>
    </w:p>
    <w:p>
      <w:pPr>
        <w:pStyle w:val="Normal"/>
        <w:ind w:start="360" w:end="0"/>
        <w:jc w:val="both"/>
        <w:rPr>
          <w:bCs/>
          <w:lang w:val="bg-BG"/>
        </w:rPr>
      </w:pPr>
      <w:r>
        <w:rPr>
          <w:bCs/>
          <w:lang w:val="bg-BG"/>
        </w:rPr>
      </w:r>
    </w:p>
    <w:sectPr>
      <w:headerReference w:type="default" r:id="rId2"/>
      <w:type w:val="nextPage"/>
      <w:pgSz w:w="11906" w:h="16838"/>
      <w:pgMar w:left="1417" w:right="1417" w:gutter="0" w:header="708" w:top="1417" w:footer="0" w:bottom="1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Liberation Sans">
    <w:altName w:val="Arial"/>
    <w:charset w:val="cc" w:characterSet="windows-1251"/>
    <w:family w:val="swiss"/>
    <w:pitch w:val="variable"/>
  </w:font>
  <w:font w:name="Arial">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40"/>
        <w:szCs w:val="48"/>
        <w:lang w:val="bg-BG"/>
      </w:rPr>
    </w:pPr>
    <w:r>
      <w:rPr>
        <w:rFonts w:cs="Arial" w:ascii="Arial" w:hAnsi="Arial"/>
        <w:b/>
        <w:sz w:val="40"/>
        <w:szCs w:val="48"/>
        <w:lang w:val="bg-BG"/>
      </w:rPr>
      <w:t>“</w:t>
    </w:r>
    <w:r>
      <w:rPr>
        <w:rFonts w:cs="Arial" w:ascii="Arial" w:hAnsi="Arial"/>
        <w:b/>
        <w:sz w:val="40"/>
        <w:szCs w:val="48"/>
        <w:lang w:val="bg-BG"/>
      </w:rPr>
      <w:t>Артпласт” ЕООД</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
      <w:numFmt w:val="bullet"/>
      <w:lvlText w:val="-"/>
      <w:lvlJc w:val="start"/>
      <w:pPr>
        <w:tabs>
          <w:tab w:val="num" w:pos="0"/>
        </w:tabs>
        <w:ind w:start="720" w:hanging="360"/>
      </w:pPr>
      <w:rPr>
        <w:rFonts w:ascii="Times New Roman" w:hAnsi="Times New Roman" w:cs="Times New Roman" w:hint="default"/>
      </w:rPr>
    </w:lvl>
  </w:abstractNum>
  <w:abstractNum w:abstractNumId="3">
    <w:lvl w:ilvl="0">
      <w:start w:val="1"/>
      <w:numFmt w:val="decimal"/>
      <w:lvlText w:val="%1."/>
      <w:lvlJc w:val="start"/>
      <w:pPr>
        <w:tabs>
          <w:tab w:val="num" w:pos="0"/>
        </w:tabs>
        <w:ind w:start="720" w:hanging="360"/>
      </w:pPr>
      <w:rPr/>
    </w:lvl>
  </w:abstractNum>
  <w:abstractNum w:abstractNumId="4">
    <w:lvl w:ilvl="0">
      <w:start w:val="1"/>
      <w:numFmt w:val="upperRoman"/>
      <w:lvlText w:val="%1."/>
      <w:lvlJc w:val="start"/>
      <w:pPr>
        <w:tabs>
          <w:tab w:val="num" w:pos="0"/>
        </w:tabs>
        <w:ind w:start="1080" w:hanging="72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outlineLvl w:val="0"/>
    </w:pPr>
    <w:rPr>
      <w:b/>
      <w:bCs/>
    </w:rPr>
  </w:style>
  <w:style w:type="paragraph" w:styleId="Heading2">
    <w:name w:val="heading 2"/>
    <w:basedOn w:val="Normal"/>
    <w:next w:val="Normal"/>
    <w:qFormat/>
    <w:pPr>
      <w:keepNext w:val="true"/>
      <w:numPr>
        <w:ilvl w:val="1"/>
        <w:numId w:val="1"/>
      </w:numPr>
      <w:ind w:hanging="1920" w:start="1920" w:end="0"/>
      <w:outlineLvl w:val="1"/>
    </w:pPr>
    <w:rPr>
      <w:b/>
      <w:bCs/>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Style12">
    <w:name w:val="Шрифт на абзаца по подразбиране"/>
    <w:qFormat/>
    <w:rPr/>
  </w:style>
  <w:style w:type="character" w:styleId="PageNumber">
    <w:name w:val="page number"/>
    <w:basedOn w:val="Style12"/>
    <w:rPr/>
  </w:style>
  <w:style w:type="character" w:styleId="Style13">
    <w:name w:val="Изнесен текст Знак"/>
    <w:qFormat/>
    <w:rPr>
      <w:rFonts w:ascii="Tahoma" w:hAnsi="Tahoma" w:cs="Tahoma"/>
      <w:sz w:val="16"/>
      <w:szCs w:val="16"/>
    </w:rPr>
  </w:style>
  <w:style w:type="character" w:styleId="Style14">
    <w:name w:val="Основен текст Знак"/>
    <w:qFormat/>
    <w:rPr>
      <w:sz w:val="24"/>
      <w:szCs w:val="24"/>
      <w:lang w:val="en-US"/>
    </w:rPr>
  </w:style>
  <w:style w:type="character" w:styleId="Style15">
    <w:name w:val="Горен колонтитул Знак"/>
    <w:qFormat/>
    <w:rPr>
      <w:sz w:val="24"/>
      <w:szCs w:val="24"/>
    </w:rPr>
  </w:style>
  <w:style w:type="paragraph" w:styleId="Style16">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7">
    <w:name w:val="Указател"/>
    <w:basedOn w:val="Normal"/>
    <w:qFormat/>
    <w:pPr>
      <w:suppressLineNumbers/>
    </w:pPr>
    <w:rPr>
      <w:rFonts w:cs="Arial"/>
    </w:rPr>
  </w:style>
  <w:style w:type="paragraph" w:styleId="3">
    <w:name w:val="Основен текст с отстъп 3"/>
    <w:basedOn w:val="Normal"/>
    <w:qFormat/>
    <w:pPr>
      <w:ind w:firstLine="720" w:start="0" w:end="0"/>
    </w:pPr>
    <w:rPr/>
  </w:style>
  <w:style w:type="paragraph" w:styleId="Style18">
    <w:name w:val="Колонтитули"/>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153" w:leader="none"/>
        <w:tab w:val="right" w:pos="8306" w:leader="none"/>
      </w:tabs>
    </w:pPr>
    <w:rPr/>
  </w:style>
  <w:style w:type="paragraph" w:styleId="Footer">
    <w:name w:val="footer"/>
    <w:basedOn w:val="Normal"/>
    <w:pPr>
      <w:tabs>
        <w:tab w:val="clear" w:pos="708"/>
        <w:tab w:val="center" w:pos="4703" w:leader="none"/>
        <w:tab w:val="right" w:pos="9406" w:leader="none"/>
      </w:tabs>
    </w:pPr>
    <w:rPr/>
  </w:style>
  <w:style w:type="paragraph" w:styleId="Style19">
    <w:name w:val="Изнесен текст"/>
    <w:basedOn w:val="Normal"/>
    <w:qFormat/>
    <w:pPr/>
    <w:rPr>
      <w:rFonts w:ascii="Tahoma" w:hAnsi="Tahoma" w:cs="Tahoma"/>
      <w:sz w:val="16"/>
      <w:szCs w:val="16"/>
    </w:rPr>
  </w:style>
  <w:style w:type="paragraph" w:styleId="-">
    <w:name w:val="Рамка - съдържание"/>
    <w:basedOn w:val="Normal"/>
    <w:qFormat/>
    <w:pPr/>
    <w:rPr/>
  </w:style>
  <w:style w:type="paragraph" w:styleId="-1">
    <w:name w:val="Таблица - съдържание"/>
    <w:basedOn w:val="Normal"/>
    <w:qFormat/>
    <w:pPr>
      <w:widowControl w:val="false"/>
      <w:suppressLineNumbers/>
    </w:pPr>
    <w:rPr/>
  </w:style>
  <w:style w:type="paragraph" w:styleId="-2">
    <w:name w:val="Таблица - заглавие"/>
    <w:basedOn w:val="-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164</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2018-10-17T13:38:00Z</dcterms:created>
  <dc:creator>Javor</dc:creator>
  <dc:description/>
  <cp:keywords/>
  <dc:language>bg-BG</dc:language>
  <cp:lastModifiedBy>lenovo</cp:lastModifiedBy>
  <cp:lastPrinted>2019-05-13T14:12:00Z</cp:lastPrinted>
  <dcterms:modified xsi:type="dcterms:W3CDTF">2020-07-28T18:39:00Z</dcterms:modified>
  <cp:revision>37</cp:revision>
  <dc:subject/>
  <dc:title>П Р О Ц Е Д У Р 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-390583243</vt:r8>
  </property>
  <property fmtid="{D5CDD505-2E9C-101B-9397-08002B2CF9AE}" pid="3" name="_AuthorEmail">
    <vt:lpwstr>abalbolova@olympsafety.com</vt:lpwstr>
  </property>
  <property fmtid="{D5CDD505-2E9C-101B-9397-08002B2CF9AE}" pid="4" name="_AuthorEmailDisplayName">
    <vt:lpwstr>Antoaneta Balbolova</vt:lpwstr>
  </property>
  <property fmtid="{D5CDD505-2E9C-101B-9397-08002B2CF9AE}" pid="5" name="_EmailSubject">
    <vt:lpwstr>Oficial</vt:lpwstr>
  </property>
  <property fmtid="{D5CDD505-2E9C-101B-9397-08002B2CF9AE}" pid="6" name="_PreviousAdHocReviewCycleID">
    <vt:r8>-453159623</vt:r8>
  </property>
  <property fmtid="{D5CDD505-2E9C-101B-9397-08002B2CF9AE}" pid="7" name="_ReviewingToolsShownOnce">
    <vt:lpwstr/>
  </property>
</Properties>
</file>