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lang w:val="bg-BG"/>
        </w:rPr>
      </w:pPr>
      <w:r>
        <w:rPr>
          <w:sz w:val="28"/>
          <w:szCs w:val="28"/>
          <w:lang w:val="bg-BG"/>
        </w:rPr>
      </w:r>
    </w:p>
    <w:p>
      <w:pPr>
        <w:pStyle w:val="Normal"/>
        <w:ind w:start="-567" w:end="0"/>
        <w:jc w:val="center"/>
        <w:rPr>
          <w:sz w:val="28"/>
          <w:szCs w:val="28"/>
          <w:lang w:val="bg-BG"/>
        </w:rPr>
      </w:pPr>
      <w:r>
        <w:rPr>
          <w:sz w:val="28"/>
          <w:szCs w:val="28"/>
          <w:lang w:val="bg-BG"/>
        </w:rPr>
      </w:r>
    </w:p>
    <w:p>
      <w:pPr>
        <w:pStyle w:val="Normal"/>
        <w:rPr>
          <w:sz w:val="28"/>
          <w:szCs w:val="28"/>
          <w:lang w:val="bg-BG"/>
        </w:rPr>
      </w:pPr>
      <w:r>
        <w:rPr>
          <w:sz w:val="28"/>
          <w:szCs w:val="28"/>
          <w:lang w:val="bg-BG"/>
        </w:rPr>
      </w:r>
    </w:p>
    <w:p>
      <w:pPr>
        <w:pStyle w:val="Normal"/>
        <w:ind w:start="-567" w:end="0"/>
        <w:jc w:val="center"/>
        <w:rPr>
          <w:b/>
          <w:sz w:val="24"/>
          <w:szCs w:val="24"/>
          <w:lang w:val="bg-BG"/>
        </w:rPr>
      </w:pPr>
      <w:r>
        <w:rPr>
          <w:b/>
          <w:sz w:val="24"/>
          <w:szCs w:val="24"/>
          <w:lang w:val="bg-BG"/>
        </w:rPr>
        <w:t>1</w:t>
      </w:r>
      <w:r>
        <w:rPr>
          <w:b/>
          <w:sz w:val="24"/>
          <w:szCs w:val="24"/>
        </w:rPr>
        <w:t>7</w:t>
      </w:r>
      <w:r>
        <w:rPr>
          <w:b/>
          <w:sz w:val="24"/>
          <w:szCs w:val="24"/>
          <w:lang w:val="bg-BG"/>
        </w:rPr>
        <w:t>.06.2020 г.</w:t>
      </w:r>
    </w:p>
    <w:p>
      <w:pPr>
        <w:pStyle w:val="Normal"/>
        <w:numPr>
          <w:ilvl w:val="0"/>
          <w:numId w:val="0"/>
        </w:numPr>
        <w:ind w:start="-990" w:end="-426"/>
        <w:jc w:val="center"/>
        <w:outlineLvl w:val="0"/>
        <w:rPr>
          <w:b/>
          <w:sz w:val="28"/>
          <w:szCs w:val="28"/>
          <w:lang w:val="bg-BG"/>
        </w:rPr>
      </w:pPr>
      <w:r>
        <w:rPr>
          <w:b/>
          <w:sz w:val="28"/>
          <w:szCs w:val="28"/>
          <w:lang w:val="bg-BG"/>
        </w:rPr>
      </w:r>
    </w:p>
    <w:p>
      <w:pPr>
        <w:pStyle w:val="Normal"/>
        <w:numPr>
          <w:ilvl w:val="0"/>
          <w:numId w:val="0"/>
        </w:numPr>
        <w:ind w:start="-142" w:end="708"/>
        <w:jc w:val="center"/>
        <w:outlineLvl w:val="0"/>
        <w:rPr>
          <w:b/>
          <w:sz w:val="32"/>
          <w:szCs w:val="32"/>
          <w:lang w:val="bg-BG"/>
        </w:rPr>
      </w:pPr>
      <w:r>
        <w:rPr>
          <w:b/>
          <w:sz w:val="32"/>
          <w:szCs w:val="32"/>
          <w:lang w:val="bg-BG"/>
        </w:rPr>
        <w:t xml:space="preserve">     </w:t>
      </w:r>
      <w:r>
        <w:rPr>
          <w:b/>
          <w:sz w:val="32"/>
          <w:szCs w:val="32"/>
          <w:lang w:val="bg-BG"/>
        </w:rPr>
        <w:t>Д О К Л А Д  О Т  Р Ъ К О В О Д С Т В О Т О</w:t>
      </w:r>
    </w:p>
    <w:p>
      <w:pPr>
        <w:pStyle w:val="Normal"/>
        <w:numPr>
          <w:ilvl w:val="0"/>
          <w:numId w:val="0"/>
        </w:numPr>
        <w:ind w:start="-142" w:end="708"/>
        <w:jc w:val="center"/>
        <w:outlineLvl w:val="0"/>
        <w:rPr>
          <w:b/>
          <w:sz w:val="24"/>
          <w:szCs w:val="24"/>
          <w:lang w:val="bg-BG"/>
        </w:rPr>
      </w:pPr>
      <w:r>
        <w:rPr>
          <w:b/>
          <w:sz w:val="24"/>
          <w:szCs w:val="24"/>
          <w:lang w:val="bg-BG"/>
        </w:rPr>
      </w:r>
    </w:p>
    <w:p>
      <w:pPr>
        <w:pStyle w:val="Normal"/>
        <w:numPr>
          <w:ilvl w:val="0"/>
          <w:numId w:val="0"/>
        </w:numPr>
        <w:ind w:start="-567" w:end="-426"/>
        <w:jc w:val="center"/>
        <w:outlineLvl w:val="0"/>
        <w:rPr>
          <w:b/>
          <w:sz w:val="28"/>
          <w:szCs w:val="28"/>
          <w:lang w:val="bg-BG"/>
        </w:rPr>
      </w:pPr>
      <w:r>
        <w:rPr>
          <w:b/>
          <w:sz w:val="28"/>
          <w:szCs w:val="28"/>
          <w:lang w:val="bg-BG"/>
        </w:rPr>
        <w:t>относно СУ на</w:t>
      </w:r>
      <w:r>
        <w:rPr>
          <w:b/>
          <w:sz w:val="28"/>
          <w:szCs w:val="28"/>
        </w:rPr>
        <w:t xml:space="preserve"> </w:t>
      </w:r>
      <w:r>
        <w:rPr>
          <w:b/>
          <w:sz w:val="28"/>
          <w:szCs w:val="28"/>
          <w:lang w:val="bg-BG"/>
        </w:rPr>
        <w:t>“Артпласт” ЕООД</w:t>
      </w:r>
    </w:p>
    <w:p>
      <w:pPr>
        <w:pStyle w:val="Normal"/>
        <w:jc w:val="center"/>
        <w:rPr>
          <w:b/>
          <w:sz w:val="28"/>
          <w:szCs w:val="28"/>
          <w:lang w:val="bg-BG"/>
        </w:rPr>
      </w:pPr>
      <w:r>
        <w:rPr>
          <w:b/>
          <w:sz w:val="28"/>
          <w:szCs w:val="28"/>
          <w:lang w:val="bg-BG"/>
        </w:rPr>
      </w:r>
    </w:p>
    <w:p>
      <w:pPr>
        <w:pStyle w:val="Normal"/>
        <w:jc w:val="center"/>
        <w:rPr>
          <w:b/>
          <w:sz w:val="28"/>
          <w:szCs w:val="28"/>
          <w:lang w:val="bg-BG"/>
        </w:rPr>
      </w:pPr>
      <w:r>
        <w:rPr>
          <w:b/>
          <w:sz w:val="28"/>
          <w:szCs w:val="28"/>
          <w:lang w:val="bg-BG"/>
        </w:rPr>
      </w:r>
    </w:p>
    <w:p>
      <w:pPr>
        <w:pStyle w:val="Normal"/>
        <w:ind w:firstLine="360" w:end="708"/>
        <w:jc w:val="both"/>
        <w:rPr>
          <w:rFonts w:ascii="Times New Roman CYR" w:hAnsi="Times New Roman CYR" w:cs="Times New Roman CYR"/>
          <w:b/>
          <w:sz w:val="24"/>
          <w:szCs w:val="24"/>
          <w:u w:val="single"/>
          <w:lang w:val="ru-RU"/>
        </w:rPr>
      </w:pPr>
      <w:r>
        <w:rPr>
          <w:rFonts w:cs="Times New Roman CYR" w:ascii="Times New Roman CYR" w:hAnsi="Times New Roman CYR"/>
          <w:b/>
          <w:sz w:val="24"/>
          <w:szCs w:val="24"/>
          <w:u w:val="single"/>
          <w:lang w:val="ru-RU"/>
        </w:rPr>
        <w:t>1. Основание за провеждане</w:t>
      </w:r>
    </w:p>
    <w:p>
      <w:pPr>
        <w:pStyle w:val="Normal"/>
        <w:ind w:firstLine="360" w:end="708"/>
        <w:jc w:val="both"/>
        <w:rPr>
          <w:rFonts w:ascii="Times New Roman CYR" w:hAnsi="Times New Roman CYR" w:cs="Times New Roman CYR"/>
          <w:b/>
          <w:sz w:val="24"/>
          <w:szCs w:val="24"/>
          <w:u w:val="single"/>
          <w:lang w:val="ru-RU"/>
        </w:rPr>
      </w:pPr>
      <w:r>
        <w:rPr>
          <w:rFonts w:cs="Times New Roman CYR" w:ascii="Times New Roman CYR" w:hAnsi="Times New Roman CYR"/>
          <w:b/>
          <w:sz w:val="24"/>
          <w:szCs w:val="24"/>
          <w:u w:val="single"/>
          <w:lang w:val="ru-RU"/>
        </w:rPr>
      </w:r>
    </w:p>
    <w:p>
      <w:pPr>
        <w:pStyle w:val="Normal"/>
        <w:ind w:firstLine="360" w:end="708"/>
        <w:jc w:val="both"/>
        <w:rPr/>
      </w:pPr>
      <w:r>
        <w:rPr>
          <w:rFonts w:cs="Times New Roman CYR" w:ascii="Times New Roman CYR" w:hAnsi="Times New Roman CYR"/>
          <w:sz w:val="24"/>
          <w:szCs w:val="24"/>
          <w:lang w:val="ru-RU"/>
        </w:rPr>
        <w:t xml:space="preserve">Съгласно т. 4.6 от </w:t>
      </w:r>
      <w:r>
        <w:rPr>
          <w:rFonts w:cs="Times New Roman CYR" w:ascii="Times New Roman CYR" w:hAnsi="Times New Roman CYR"/>
          <w:sz w:val="24"/>
          <w:szCs w:val="24"/>
        </w:rPr>
        <w:t>ISO 9001:20</w:t>
      </w:r>
      <w:r>
        <w:rPr>
          <w:rFonts w:cs="Times New Roman CYR" w:ascii="Times New Roman CYR" w:hAnsi="Times New Roman CYR"/>
          <w:sz w:val="24"/>
          <w:szCs w:val="24"/>
          <w:lang w:val="bg-BG"/>
        </w:rPr>
        <w:t xml:space="preserve">15 </w:t>
      </w:r>
      <w:r>
        <w:rPr>
          <w:rFonts w:cs="Times New Roman CYR" w:ascii="Times New Roman CYR" w:hAnsi="Times New Roman CYR"/>
          <w:sz w:val="24"/>
          <w:szCs w:val="24"/>
          <w:lang w:val="ru-RU"/>
        </w:rPr>
        <w:t>се извършва настоящият преглед от ръководството на системата за управление. Целта е да се осигурят възможностите за подобряване и да се оцени адекватността и ефикасността на внедрените системи в дружеството.</w:t>
      </w:r>
    </w:p>
    <w:p>
      <w:pPr>
        <w:pStyle w:val="Normal"/>
        <w:ind w:firstLine="360" w:end="708"/>
        <w:jc w:val="both"/>
        <w:rPr>
          <w:rFonts w:ascii="Times New Roman CYR" w:hAnsi="Times New Roman CYR" w:cs="Times New Roman CYR"/>
          <w:sz w:val="24"/>
          <w:szCs w:val="24"/>
          <w:lang w:val="ru-RU"/>
        </w:rPr>
      </w:pPr>
      <w:r>
        <w:rPr>
          <w:rFonts w:cs="Times New Roman CYR" w:ascii="Times New Roman CYR" w:hAnsi="Times New Roman CYR"/>
          <w:sz w:val="24"/>
          <w:szCs w:val="24"/>
          <w:lang w:val="ru-RU"/>
        </w:rPr>
      </w:r>
    </w:p>
    <w:p>
      <w:pPr>
        <w:pStyle w:val="Normal"/>
        <w:ind w:firstLine="360" w:end="708"/>
        <w:jc w:val="both"/>
        <w:rPr>
          <w:rFonts w:ascii="Times New Roman CYR" w:hAnsi="Times New Roman CYR" w:cs="Times New Roman CYR"/>
          <w:b/>
          <w:sz w:val="24"/>
          <w:szCs w:val="24"/>
          <w:u w:val="single"/>
          <w:lang w:val="ru-RU"/>
        </w:rPr>
      </w:pPr>
      <w:r>
        <w:rPr>
          <w:rFonts w:cs="Times New Roman CYR" w:ascii="Times New Roman CYR" w:hAnsi="Times New Roman CYR"/>
          <w:b/>
          <w:sz w:val="24"/>
          <w:szCs w:val="24"/>
          <w:u w:val="single"/>
          <w:lang w:val="ru-RU"/>
        </w:rPr>
        <w:t>2. Входни елементи</w:t>
      </w:r>
    </w:p>
    <w:p>
      <w:pPr>
        <w:pStyle w:val="Normal"/>
        <w:ind w:firstLine="360" w:end="708"/>
        <w:jc w:val="both"/>
        <w:rPr>
          <w:rFonts w:ascii="Times New Roman CYR" w:hAnsi="Times New Roman CYR" w:cs="Times New Roman CYR"/>
          <w:b/>
          <w:sz w:val="24"/>
          <w:szCs w:val="24"/>
          <w:u w:val="single"/>
          <w:lang w:val="ru-RU"/>
        </w:rPr>
      </w:pPr>
      <w:r>
        <w:rPr>
          <w:rFonts w:cs="Times New Roman CYR" w:ascii="Times New Roman CYR" w:hAnsi="Times New Roman CYR"/>
          <w:b/>
          <w:sz w:val="24"/>
          <w:szCs w:val="24"/>
          <w:u w:val="single"/>
          <w:lang w:val="ru-RU"/>
        </w:rPr>
      </w:r>
    </w:p>
    <w:p>
      <w:pPr>
        <w:pStyle w:val="Normal"/>
        <w:ind w:firstLine="360" w:end="708"/>
        <w:jc w:val="both"/>
        <w:rPr/>
      </w:pPr>
      <w:r>
        <w:rPr>
          <w:rFonts w:cs="Times New Roman CYR" w:ascii="Times New Roman CYR" w:hAnsi="Times New Roman CYR"/>
          <w:sz w:val="24"/>
          <w:szCs w:val="24"/>
          <w:lang w:val="bg-BG"/>
        </w:rPr>
        <w:t xml:space="preserve">Прегледът включва оценяване на своевременното подобряване и необходимостта от промени в СУ на </w:t>
      </w:r>
      <w:r>
        <w:rPr>
          <w:b/>
          <w:sz w:val="28"/>
          <w:szCs w:val="28"/>
          <w:lang w:val="bg-BG"/>
        </w:rPr>
        <w:t>“Артпласт” ЕООД</w:t>
      </w:r>
      <w:r>
        <w:rPr>
          <w:rFonts w:cs="Times New Roman CYR" w:ascii="Times New Roman CYR" w:hAnsi="Times New Roman CYR"/>
          <w:sz w:val="24"/>
          <w:szCs w:val="24"/>
          <w:lang w:val="bg-BG"/>
        </w:rPr>
        <w:t>, включително и на политиката и целите по качеството.</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Входните елементи включват:</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 </w:t>
      </w:r>
      <w:r>
        <w:rPr>
          <w:rFonts w:cs="Times New Roman CYR" w:ascii="Times New Roman CYR" w:hAnsi="Times New Roman CYR"/>
          <w:sz w:val="24"/>
          <w:szCs w:val="24"/>
          <w:lang w:val="bg-BG"/>
        </w:rPr>
        <w:t xml:space="preserve">резултат от проведен вътрешен одит за оценяване на съответствието с приложимите изисквания на нормативните актове и с другите изисквания, които организацията е приела да спазва, проведен на </w:t>
      </w:r>
      <w:r>
        <w:rPr>
          <w:rFonts w:cs="Times New Roman CYR" w:ascii="Times New Roman CYR" w:hAnsi="Times New Roman CYR"/>
          <w:b/>
          <w:sz w:val="24"/>
          <w:szCs w:val="24"/>
          <w:lang w:val="bg-BG"/>
        </w:rPr>
        <w:t>16.06.2020 г.</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резултати от участия и консултации</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информация произхождаща от външни заинтересовани страни, включително получаване на рекламации</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изпълнение на дейностите, свързани със качеството</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степента на достигане на целите по качеството</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състоянието на разследването на инциденти, на коригиращите и превантивни действия</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действия, последвали от предишни прегледи от ръководството</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промени в обстоятелствата, включително изменения в изискванията на нормативните актове и други изисквания</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препоръки за подобряване</w:t>
      </w:r>
    </w:p>
    <w:p>
      <w:pPr>
        <w:pStyle w:val="Header"/>
        <w:numPr>
          <w:ilvl w:val="0"/>
          <w:numId w:val="2"/>
        </w:numPr>
        <w:spacing w:lineRule="atLeast" w:line="100"/>
        <w:ind w:hanging="360" w:start="720" w:end="-24"/>
        <w:jc w:val="both"/>
        <w:rPr>
          <w:color w:val="000000"/>
          <w:sz w:val="24"/>
          <w:szCs w:val="24"/>
          <w:lang w:val="bg-BG"/>
        </w:rPr>
      </w:pPr>
      <w:r>
        <w:rPr>
          <w:sz w:val="24"/>
          <w:szCs w:val="24"/>
          <w:lang w:val="bg-BG"/>
        </w:rPr>
        <w:t>преглед на удовлетвореността на клиента</w:t>
      </w:r>
      <w:r>
        <w:rPr>
          <w:color w:val="000000"/>
          <w:sz w:val="24"/>
          <w:szCs w:val="24"/>
          <w:lang w:val="bg-BG"/>
        </w:rPr>
        <w:t>;</w:t>
      </w:r>
    </w:p>
    <w:p>
      <w:pPr>
        <w:pStyle w:val="Header"/>
        <w:numPr>
          <w:ilvl w:val="0"/>
          <w:numId w:val="2"/>
        </w:numPr>
        <w:spacing w:lineRule="atLeast" w:line="100"/>
        <w:ind w:hanging="360" w:start="720" w:end="-24"/>
        <w:jc w:val="both"/>
        <w:rPr>
          <w:color w:val="000000"/>
          <w:sz w:val="24"/>
          <w:szCs w:val="24"/>
          <w:lang w:val="bg-BG"/>
        </w:rPr>
      </w:pPr>
      <w:r>
        <w:rPr>
          <w:sz w:val="24"/>
          <w:szCs w:val="24"/>
          <w:lang w:val="bg-BG"/>
        </w:rPr>
        <w:t>п</w:t>
      </w:r>
      <w:r>
        <w:rPr>
          <w:color w:val="000000"/>
          <w:sz w:val="24"/>
          <w:szCs w:val="24"/>
          <w:lang w:val="bg-BG"/>
        </w:rPr>
        <w:t>реглед на съответствието с изискванията на продукта;</w:t>
      </w:r>
    </w:p>
    <w:p>
      <w:pPr>
        <w:pStyle w:val="Header"/>
        <w:numPr>
          <w:ilvl w:val="0"/>
          <w:numId w:val="2"/>
        </w:numPr>
        <w:spacing w:lineRule="atLeast" w:line="100"/>
        <w:ind w:hanging="360" w:start="720" w:end="-24"/>
        <w:jc w:val="both"/>
        <w:rPr>
          <w:color w:val="000000"/>
          <w:sz w:val="24"/>
          <w:szCs w:val="24"/>
          <w:lang w:val="bg-BG"/>
        </w:rPr>
      </w:pPr>
      <w:r>
        <w:rPr>
          <w:sz w:val="24"/>
          <w:szCs w:val="24"/>
          <w:lang w:val="bg-BG"/>
        </w:rPr>
        <w:t>преглед на функционирането на процеси и съответствието на продукта</w:t>
      </w:r>
      <w:r>
        <w:rPr>
          <w:color w:val="000000"/>
          <w:sz w:val="24"/>
          <w:szCs w:val="24"/>
          <w:lang w:val="bg-BG"/>
        </w:rPr>
        <w:t>;</w:t>
      </w:r>
    </w:p>
    <w:p>
      <w:pPr>
        <w:pStyle w:val="Header"/>
        <w:numPr>
          <w:ilvl w:val="0"/>
          <w:numId w:val="2"/>
        </w:numPr>
        <w:spacing w:lineRule="atLeast" w:line="100"/>
        <w:ind w:hanging="360" w:start="720" w:end="-24"/>
        <w:jc w:val="both"/>
        <w:rPr>
          <w:sz w:val="24"/>
          <w:szCs w:val="24"/>
          <w:lang w:val="bg-BG"/>
        </w:rPr>
      </w:pPr>
      <w:r>
        <w:rPr>
          <w:sz w:val="24"/>
          <w:szCs w:val="24"/>
          <w:lang w:val="bg-BG"/>
        </w:rPr>
        <w:t>преглед на доставчиците за изминалия период;</w:t>
      </w:r>
    </w:p>
    <w:p>
      <w:pPr>
        <w:pStyle w:val="Header"/>
        <w:numPr>
          <w:ilvl w:val="0"/>
          <w:numId w:val="2"/>
        </w:numPr>
        <w:spacing w:lineRule="atLeast" w:line="100"/>
        <w:ind w:hanging="360" w:start="720" w:end="-24"/>
        <w:jc w:val="both"/>
        <w:rPr>
          <w:sz w:val="24"/>
          <w:szCs w:val="24"/>
          <w:lang w:val="bg-BG"/>
        </w:rPr>
      </w:pPr>
      <w:r>
        <w:rPr>
          <w:sz w:val="24"/>
          <w:szCs w:val="24"/>
          <w:lang w:val="bg-BG"/>
        </w:rPr>
        <w:t>преглед на използваните нормативни документи за актуалност</w:t>
      </w:r>
    </w:p>
    <w:p>
      <w:pPr>
        <w:pStyle w:val="Header"/>
        <w:numPr>
          <w:ilvl w:val="0"/>
          <w:numId w:val="2"/>
        </w:numPr>
        <w:tabs>
          <w:tab w:val="clear" w:pos="4703"/>
          <w:tab w:val="clear" w:pos="9406"/>
          <w:tab w:val="center" w:pos="4320" w:leader="none"/>
          <w:tab w:val="right" w:pos="8640" w:leader="none"/>
          <w:tab w:val="left" w:pos="9639" w:leader="none"/>
        </w:tabs>
        <w:overflowPunct w:val="false"/>
        <w:autoSpaceDE w:val="false"/>
        <w:spacing w:lineRule="atLeast" w:line="100"/>
        <w:ind w:hanging="360" w:start="720" w:end="-24"/>
        <w:jc w:val="both"/>
        <w:textAlignment w:val="baseline"/>
        <w:rPr>
          <w:rFonts w:cs="Arial"/>
          <w:sz w:val="24"/>
          <w:szCs w:val="24"/>
          <w:lang w:val="bg-BG"/>
        </w:rPr>
      </w:pPr>
      <w:r>
        <w:rPr>
          <w:rFonts w:cs="Arial"/>
          <w:sz w:val="24"/>
          <w:szCs w:val="24"/>
          <w:lang w:val="bg-BG"/>
        </w:rPr>
        <w:t>ефикасността на действията, предприети за овладяване на рисковете и възможностите.</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t>3. Констатации</w:t>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3.1 Преглед на резултатите от вътрешния одит</w:t>
      </w:r>
    </w:p>
    <w:p>
      <w:pPr>
        <w:pStyle w:val="Normal"/>
        <w:ind w:firstLine="360" w:end="708"/>
        <w:jc w:val="both"/>
        <w:rPr/>
      </w:pPr>
      <w:r>
        <w:rPr>
          <w:rFonts w:cs="Times New Roman CYR" w:ascii="Times New Roman CYR" w:hAnsi="Times New Roman CYR"/>
          <w:sz w:val="24"/>
          <w:szCs w:val="24"/>
          <w:lang w:val="bg-BG"/>
        </w:rPr>
        <w:t xml:space="preserve">Резултатите от проведения вътрешен одит на </w:t>
      </w:r>
      <w:r>
        <w:rPr>
          <w:rFonts w:cs="Times New Roman CYR" w:ascii="Times New Roman CYR" w:hAnsi="Times New Roman CYR"/>
          <w:b/>
          <w:sz w:val="24"/>
          <w:szCs w:val="24"/>
          <w:lang w:val="bg-BG"/>
        </w:rPr>
        <w:t>16.06.2020</w:t>
      </w:r>
      <w:r>
        <w:rPr>
          <w:rFonts w:cs="Times New Roman CYR" w:ascii="Times New Roman CYR" w:hAnsi="Times New Roman CYR"/>
          <w:b/>
          <w:sz w:val="24"/>
          <w:szCs w:val="24"/>
        </w:rPr>
        <w:t xml:space="preserve"> </w:t>
      </w:r>
      <w:r>
        <w:rPr>
          <w:rFonts w:cs="Times New Roman CYR" w:ascii="Times New Roman CYR" w:hAnsi="Times New Roman CYR"/>
          <w:b/>
          <w:sz w:val="24"/>
          <w:szCs w:val="24"/>
          <w:lang w:val="bg-BG"/>
        </w:rPr>
        <w:t>г.</w:t>
      </w:r>
      <w:r>
        <w:rPr>
          <w:rFonts w:cs="Times New Roman CYR" w:ascii="Times New Roman CYR" w:hAnsi="Times New Roman CYR"/>
          <w:sz w:val="24"/>
          <w:szCs w:val="24"/>
          <w:lang w:val="bg-BG"/>
        </w:rPr>
        <w:t xml:space="preserve"> за ефикасността на въведената система за управление бяха анализирани и са предприети своевременни мерки. Взеха се предвид и мненията на вътрешните одитори относно ефикасността на одит екипа при проверката. Установените препоръки от вътрешния одит са отстранени към настоящия момент. Всички изисквания са спазени.</w:t>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3.2 Резултати от участия и консултации</w:t>
      </w:r>
    </w:p>
    <w:p>
      <w:pPr>
        <w:pStyle w:val="Normal"/>
        <w:ind w:firstLine="360" w:end="708"/>
        <w:jc w:val="both"/>
        <w:rPr/>
      </w:pPr>
      <w:r>
        <w:rPr>
          <w:rFonts w:cs="Times New Roman CYR" w:ascii="Times New Roman CYR" w:hAnsi="Times New Roman CYR"/>
          <w:sz w:val="24"/>
          <w:szCs w:val="24"/>
          <w:lang w:val="bg-BG"/>
        </w:rPr>
        <w:t>Вътрешната комуникация във фирмата е гарантирана посредством разпространението на заповеди, провеждане на вътрешни оперативки и информационни табла по обектите и в офиса. Във фирмата е създаден ГУТ и работна група по ОС, чрез които се извършва консултиране на работниците /посредством техния представител/. Протоколирани са регламентирания брой заседания на ГУТ и работната група по ОС, съгласно нормативната база и изискванията на стандартите. Съставен е и списък на заинтересованите страни, включващ контактни данни за всяка от тях. Списъкът е наличен на работните площадки на фирмата и служителите се запознават с него по време на периодичните инструктажи по БЗР и опреснителните обучения за СУ. Ръководството на фирмата използва всяка предоставена възможност за запознаване на заинтересованите страни с необходимите данни.</w:t>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3.3 Информация от външни заинтересовани страни</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До момента не са констатирани рекламации и жалби от външни заинтересовани страни и клиенти. Ръководството на фирмата е предприело необходимите мерки за адекватна реакция при получаването на такива. Заинтересованите страни биват уведомявани при промяна в политиката на СУ, както и за по-мащабни промени в СУ на дружеството.</w:t>
      </w:r>
      <w:r>
        <w:rPr>
          <w:rFonts w:cs="Times New Roman CYR" w:ascii="Times New Roman CYR" w:hAnsi="Times New Roman CYR"/>
          <w:sz w:val="24"/>
          <w:szCs w:val="24"/>
        </w:rPr>
        <w:t xml:space="preserve"> </w:t>
      </w:r>
      <w:r>
        <w:rPr>
          <w:rFonts w:cs="Times New Roman CYR" w:ascii="Times New Roman CYR" w:hAnsi="Times New Roman CYR"/>
          <w:sz w:val="24"/>
          <w:szCs w:val="24"/>
          <w:lang w:val="bg-BG"/>
        </w:rPr>
        <w:t>Предписаните препоръки от миналогодишния одит на СУ от сертифициращата организация са изпълнени.</w:t>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pPr>
      <w:r>
        <w:rPr>
          <w:rFonts w:cs="Times New Roman CYR" w:ascii="Times New Roman CYR" w:hAnsi="Times New Roman CYR"/>
          <w:b/>
          <w:sz w:val="24"/>
          <w:szCs w:val="24"/>
          <w:lang w:val="bg-BG"/>
        </w:rPr>
        <w:t xml:space="preserve">3.4 Степен да достигане на целите по качеството </w:t>
      </w:r>
    </w:p>
    <w:p>
      <w:pPr>
        <w:pStyle w:val="Normal"/>
        <w:ind w:firstLine="360" w:end="708"/>
        <w:jc w:val="both"/>
        <w:rPr/>
      </w:pPr>
      <w:r>
        <w:rPr>
          <w:rFonts w:cs="Times New Roman CYR" w:ascii="Times New Roman CYR" w:hAnsi="Times New Roman CYR"/>
          <w:sz w:val="24"/>
          <w:szCs w:val="24"/>
          <w:lang w:val="bg-BG"/>
        </w:rPr>
        <w:t xml:space="preserve">Ръководството на дружеството определи дългосрочни общи цели по качеството, заложени в декларацията от ръководството и лично е поема ангажимент за тяхното изпълнение. </w:t>
      </w:r>
    </w:p>
    <w:p>
      <w:pPr>
        <w:pStyle w:val="Normal"/>
        <w:ind w:firstLine="360" w:end="708"/>
        <w:jc w:val="both"/>
        <w:rPr/>
      </w:pPr>
      <w:r>
        <w:rPr>
          <w:rFonts w:cs="Times New Roman CYR" w:ascii="Times New Roman CYR" w:hAnsi="Times New Roman CYR"/>
          <w:sz w:val="24"/>
          <w:szCs w:val="24"/>
          <w:lang w:val="bg-BG"/>
        </w:rPr>
        <w:t xml:space="preserve">Определени са конкретни цели за качеството, чиято степен на изпълнение за момента може да бъде оценена.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Степента на постигане на заложените цели по качеството за 2020 година се оценява като сравнително висока, като се има предвид положението на фирмата на пазара. Непостигнатите цели са предимно свързани с отделянето на финансови средства и са прехвърлени или отложени за следващ период от време.</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pPr>
      <w:r>
        <w:rPr>
          <w:rFonts w:cs="Times New Roman CYR" w:ascii="Times New Roman CYR" w:hAnsi="Times New Roman CYR"/>
          <w:b/>
          <w:sz w:val="24"/>
          <w:szCs w:val="24"/>
          <w:lang w:val="bg-BG"/>
        </w:rPr>
        <w:t>3.5 Състояние на разследването на инциденти, на коригиращите и превантивни действия</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Фирмата е предприела всички необходими мерки за недопускане на инциденти на работните площадки. Разработена е програма за намаляване на риска и са взети предвид всички законови изисквания. При проведения вътрешен одит са констатирани препоръки, за които незабавно са предприети необходимите мерки, съгласно действащите процедури. Нагледна е пълна проследимост на предприетите коригиращи и превантивни действия. Взети са в предвид всички указания, констатирани при проведения вътрешен одит. Ръководството цели чрез анализ на всички предприети мерки и указания да намали до минимум степента на риска в организацията. Поради предприетите мерки, през 2018 година не са регистрирани инциденти, несъответствия и коригиращи мерки.</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pPr>
      <w:r>
        <w:rPr>
          <w:rFonts w:cs="Times New Roman CYR" w:ascii="Times New Roman CYR" w:hAnsi="Times New Roman CYR"/>
          <w:b/>
          <w:sz w:val="24"/>
          <w:szCs w:val="24"/>
        </w:rPr>
        <w:t>3.</w:t>
      </w:r>
      <w:r>
        <w:rPr>
          <w:rFonts w:cs="Times New Roman CYR" w:ascii="Times New Roman CYR" w:hAnsi="Times New Roman CYR"/>
          <w:b/>
          <w:sz w:val="24"/>
          <w:szCs w:val="24"/>
          <w:lang w:val="bg-BG"/>
        </w:rPr>
        <w:t>6</w:t>
      </w:r>
      <w:r>
        <w:rPr>
          <w:rFonts w:cs="Times New Roman CYR" w:ascii="Times New Roman CYR" w:hAnsi="Times New Roman CYR"/>
          <w:b/>
          <w:sz w:val="24"/>
          <w:szCs w:val="24"/>
        </w:rPr>
        <w:t xml:space="preserve"> П</w:t>
      </w:r>
      <w:r>
        <w:rPr>
          <w:rFonts w:cs="Times New Roman CYR" w:ascii="Times New Roman CYR" w:hAnsi="Times New Roman CYR"/>
          <w:b/>
          <w:sz w:val="24"/>
          <w:szCs w:val="24"/>
          <w:lang w:val="bg-BG"/>
        </w:rPr>
        <w:t>ромени в обстоятелствата</w:t>
      </w:r>
    </w:p>
    <w:p>
      <w:pPr>
        <w:pStyle w:val="Normal"/>
        <w:ind w:firstLine="360" w:end="708"/>
        <w:jc w:val="both"/>
        <w:rPr/>
      </w:pPr>
      <w:r>
        <w:rPr>
          <w:rFonts w:cs="Times New Roman CYR" w:ascii="Times New Roman CYR" w:hAnsi="Times New Roman CYR"/>
          <w:sz w:val="24"/>
          <w:szCs w:val="24"/>
          <w:lang w:val="bg-BG"/>
        </w:rPr>
        <w:t>Чрез заповед от ръководството са определени лица, които са задължени редовно да актуализират базата данни на нормативни документи и изисквания, касаещи дейността на организацията. Създали сме необходимата инфраструктура, осигуряваща бърз и надежден достъп до електронните страници на всички министерства и ведомства, имащи отношение към дейността на дружеството. До настоящия момент не са констатирани и установени съществени промени в нормативните изисквания.</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3.7 Препоръки за подобряване</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За изминалата година не са постъпили препоръки от заинтересованите страни. Постъпилите предложения за извършване на коригиращи и превантивни действия от страна на работещите във фирмата в основни линии са относно подмяната на дефектирало оборудване и техника, както и подобряване на условията на труд. Следва да се обърне внимание и да се акцентира върху повишаване на ангажираността на сътрудниците на фирмата по отношение на СУ.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3.8 Преглед на удовлетвореността на клиента</w:t>
      </w:r>
    </w:p>
    <w:p>
      <w:pPr>
        <w:pStyle w:val="Normal"/>
        <w:ind w:firstLine="360" w:end="708"/>
        <w:jc w:val="both"/>
        <w:rPr/>
      </w:pPr>
      <w:r>
        <w:rPr>
          <w:rFonts w:cs="Times New Roman CYR" w:ascii="Times New Roman CYR" w:hAnsi="Times New Roman CYR"/>
          <w:sz w:val="24"/>
          <w:szCs w:val="24"/>
          <w:lang w:val="bg-BG"/>
        </w:rPr>
        <w:t xml:space="preserve">Проверката за резултатите от дейностите, свързани с качеството на предлаганите от фирмата продукти и услуги показва, че дейностите отговарят на изискванията на клиента и на поставените цели. Доказателство за това са попълнените анкети на клиентската удовлетвореност, включващи положителни оценки за дейността на дружеството. Това показва, че фирмата е въвела обратна връзка с клиентите си. Проверката за степента на изпълнение на процедурите, инструкциите и работните документи на СУ показва, че има съответствие между документите и практиката.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Персоналът на организацията изследва мненията на клиентите относно степента им на удовлетвореност и ги оценява в анкетната карта.</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3.9. Преглед на съответствието с изискванията на продукта</w:t>
      </w:r>
    </w:p>
    <w:p>
      <w:pPr>
        <w:pStyle w:val="Normal"/>
        <w:ind w:firstLine="360" w:end="708"/>
        <w:jc w:val="both"/>
        <w:rPr>
          <w:color w:val="000000"/>
          <w:sz w:val="24"/>
          <w:szCs w:val="24"/>
          <w:lang w:val="bg-BG"/>
        </w:rPr>
      </w:pPr>
      <w:r>
        <w:rPr>
          <w:sz w:val="24"/>
          <w:szCs w:val="24"/>
          <w:lang w:val="bg-BG"/>
        </w:rPr>
        <w:t>От направения вътрешен одит и изпълнените поръчки на клиенти е установено, че фирмата извършва търговски услуги, които съответстват на изискванията на продукта, както по нормативна база, така и по качеството, зададено в изискванията на Клиента. Доказателство за това е обемът реализирани продажби за изминалата година и постигането на целите по качеството за 2019 г.</w:t>
      </w:r>
      <w:r>
        <w:rPr>
          <w:color w:val="000000"/>
          <w:sz w:val="24"/>
          <w:szCs w:val="24"/>
          <w:lang w:val="bg-BG"/>
        </w:rPr>
        <w:t xml:space="preserve"> Забелязва се забавяне на изпълнението на отделни проекти, поради смяна на изискванията на клиента. Тези проблеми се дискутират и в бъдеще с клиентите и ще се стремят да ги отстраняват своевременно.</w:t>
      </w:r>
    </w:p>
    <w:p>
      <w:pPr>
        <w:pStyle w:val="Header"/>
        <w:spacing w:lineRule="atLeast" w:line="100"/>
        <w:ind w:end="-23"/>
        <w:jc w:val="both"/>
        <w:rPr>
          <w:color w:val="000000"/>
          <w:sz w:val="24"/>
          <w:szCs w:val="24"/>
          <w:lang w:val="bg-BG"/>
        </w:rPr>
      </w:pPr>
      <w:r>
        <w:rPr>
          <w:color w:val="000000"/>
          <w:sz w:val="24"/>
          <w:szCs w:val="24"/>
          <w:lang w:val="bg-BG"/>
        </w:rPr>
      </w:r>
    </w:p>
    <w:p>
      <w:pPr>
        <w:pStyle w:val="Header"/>
        <w:spacing w:lineRule="atLeast" w:line="100"/>
        <w:ind w:start="426" w:end="-23"/>
        <w:jc w:val="both"/>
        <w:rPr/>
      </w:pPr>
      <w:r>
        <w:rPr>
          <w:b/>
          <w:sz w:val="24"/>
          <w:szCs w:val="24"/>
          <w:lang w:val="bg-BG"/>
        </w:rPr>
        <w:t>3.10. Преглед на функционирането на процесите и продуктите</w:t>
        <w:tab/>
      </w:r>
    </w:p>
    <w:p>
      <w:pPr>
        <w:pStyle w:val="Header"/>
        <w:spacing w:lineRule="atLeast" w:line="100"/>
        <w:ind w:end="708"/>
        <w:jc w:val="both"/>
        <w:rPr/>
      </w:pPr>
      <w:r>
        <w:rPr>
          <w:sz w:val="24"/>
          <w:szCs w:val="24"/>
          <w:lang w:val="bg-BG"/>
        </w:rPr>
        <w:tab/>
        <w:t xml:space="preserve">Анализите показват, че системата работи и непрекъснато се подобрява, както по отношение на писмените процедури за осъществяване на процесите, така и по отношение на записите, които доказват функционирането на отделните процеси. </w:t>
      </w:r>
    </w:p>
    <w:p>
      <w:pPr>
        <w:pStyle w:val="Header"/>
        <w:spacing w:lineRule="atLeast" w:line="100"/>
        <w:ind w:end="708"/>
        <w:jc w:val="both"/>
        <w:rPr>
          <w:color w:val="000000"/>
          <w:sz w:val="24"/>
          <w:szCs w:val="24"/>
          <w:lang w:val="bg-BG"/>
        </w:rPr>
      </w:pPr>
      <w:r>
        <w:rPr>
          <w:sz w:val="24"/>
          <w:szCs w:val="24"/>
          <w:lang w:val="bg-BG"/>
        </w:rPr>
        <w:tab/>
      </w:r>
      <w:r>
        <w:rPr>
          <w:color w:val="000000"/>
          <w:sz w:val="24"/>
          <w:szCs w:val="24"/>
          <w:lang w:val="bg-BG"/>
        </w:rPr>
        <w:t>Прави се периодично оценка на машините и съоръженията, както и техническите средства за измерване и поетапно се бракуват и се заменят с нови такива, съгласно инвестиционния план.</w:t>
      </w:r>
    </w:p>
    <w:p>
      <w:pPr>
        <w:pStyle w:val="Header"/>
        <w:spacing w:lineRule="atLeast" w:line="100"/>
        <w:ind w:firstLine="720" w:end="708"/>
        <w:jc w:val="both"/>
        <w:rPr/>
      </w:pPr>
      <w:r>
        <w:rPr>
          <w:sz w:val="24"/>
          <w:lang w:val="bg-BG"/>
        </w:rPr>
        <w:t xml:space="preserve">Записите по качеството, относно степента на изпълнение на търговските процеси са обективно доказателство за контролирано протичане на процеса. </w:t>
      </w:r>
    </w:p>
    <w:p>
      <w:pPr>
        <w:pStyle w:val="Header"/>
        <w:spacing w:lineRule="atLeast" w:line="100"/>
        <w:ind w:end="708"/>
        <w:jc w:val="both"/>
        <w:rPr/>
      </w:pPr>
      <w:r>
        <w:rPr>
          <w:sz w:val="24"/>
          <w:lang w:val="bg-BG"/>
        </w:rPr>
        <w:tab/>
        <w:t>Стриктно се спазват изискванията за идентификация и проследимост при провеждане на основния процес и при съхранението на материалите.</w:t>
      </w:r>
    </w:p>
    <w:p>
      <w:pPr>
        <w:pStyle w:val="Header"/>
        <w:spacing w:lineRule="atLeast" w:line="100"/>
        <w:ind w:end="708"/>
        <w:jc w:val="both"/>
        <w:rPr/>
      </w:pPr>
      <w:r>
        <w:rPr>
          <w:sz w:val="24"/>
          <w:szCs w:val="24"/>
          <w:lang w:val="bg-BG"/>
        </w:rPr>
        <w:tab/>
        <w:t xml:space="preserve">Процесите протичат според писмените процедури, изискванията на клиента и нормативната уредба. Времето за реакция за извършването на процесите и за извършването на промени по документацията е в границите на допустимото. Надеждността на процесите е осигурена посредством разпространението на предписаните процедури, определяне на всички отговорности по изпълнението им; определената и изпитана квалификация на работници и служители и осигурените материални ресурси за произвеждането на продуктите или реализирането на услугите. Рекламациите са сведени до минимум. Енергийните разходи се намаляват, посредством направените инвестиции в инфраструктурата. Планира се подобрение на работните площадки и допълнителни инвестиции в обучение на персонала. </w:t>
      </w:r>
    </w:p>
    <w:p>
      <w:pPr>
        <w:pStyle w:val="Header"/>
        <w:spacing w:lineRule="atLeast" w:line="100"/>
        <w:ind w:end="708"/>
        <w:jc w:val="both"/>
        <w:rPr>
          <w:sz w:val="24"/>
          <w:szCs w:val="24"/>
          <w:lang w:val="bg-BG"/>
        </w:rPr>
      </w:pPr>
      <w:r>
        <w:rPr>
          <w:sz w:val="24"/>
          <w:szCs w:val="24"/>
          <w:lang w:val="bg-BG"/>
        </w:rPr>
        <w:tab/>
        <w:t>Продуктовите характеристики са определени. В организацията е осигурено необходимото оборудване, софтуер и методи за работа и измерване на процесите и продуктите.</w:t>
      </w:r>
    </w:p>
    <w:p>
      <w:pPr>
        <w:pStyle w:val="Header"/>
        <w:spacing w:lineRule="atLeast" w:line="100"/>
        <w:ind w:end="708"/>
        <w:jc w:val="both"/>
        <w:rPr>
          <w:sz w:val="24"/>
          <w:szCs w:val="24"/>
          <w:lang w:val="bg-BG"/>
        </w:rPr>
      </w:pPr>
      <w:r>
        <w:rPr>
          <w:sz w:val="24"/>
          <w:szCs w:val="24"/>
          <w:lang w:val="bg-BG"/>
        </w:rPr>
        <w:tab/>
        <w:t>Дейностите по проверката и валидирането се извършват и анализират. Контролът се документира.</w:t>
      </w:r>
    </w:p>
    <w:p>
      <w:pPr>
        <w:pStyle w:val="Header"/>
        <w:tabs>
          <w:tab w:val="clear" w:pos="4703"/>
          <w:tab w:val="clear" w:pos="9406"/>
          <w:tab w:val="center" w:pos="4320" w:leader="none"/>
          <w:tab w:val="right" w:pos="8640" w:leader="none"/>
          <w:tab w:val="left" w:pos="9639" w:leader="none"/>
        </w:tabs>
        <w:overflowPunct w:val="false"/>
        <w:autoSpaceDE w:val="false"/>
        <w:spacing w:lineRule="atLeast" w:line="100"/>
        <w:ind w:end="708"/>
        <w:textAlignment w:val="baseline"/>
        <w:rPr>
          <w:b/>
          <w:sz w:val="24"/>
          <w:szCs w:val="28"/>
          <w:lang w:val="bg-BG"/>
        </w:rPr>
      </w:pPr>
      <w:r>
        <w:rPr>
          <w:b/>
          <w:sz w:val="24"/>
          <w:szCs w:val="28"/>
          <w:lang w:val="bg-BG"/>
        </w:rPr>
      </w:r>
    </w:p>
    <w:p>
      <w:pPr>
        <w:pStyle w:val="Header"/>
        <w:tabs>
          <w:tab w:val="clear" w:pos="4703"/>
          <w:tab w:val="clear" w:pos="9406"/>
          <w:tab w:val="center" w:pos="4320" w:leader="none"/>
          <w:tab w:val="right" w:pos="8640" w:leader="none"/>
          <w:tab w:val="left" w:pos="9639" w:leader="none"/>
        </w:tabs>
        <w:overflowPunct w:val="false"/>
        <w:autoSpaceDE w:val="false"/>
        <w:spacing w:lineRule="atLeast" w:line="100"/>
        <w:ind w:start="426" w:end="708"/>
        <w:textAlignment w:val="baseline"/>
        <w:rPr>
          <w:b/>
          <w:sz w:val="24"/>
          <w:szCs w:val="28"/>
          <w:lang w:val="bg-BG"/>
        </w:rPr>
      </w:pPr>
      <w:r>
        <w:rPr>
          <w:b/>
          <w:sz w:val="24"/>
          <w:szCs w:val="28"/>
          <w:lang w:val="bg-BG"/>
        </w:rPr>
        <w:t>3.11 Преглед на доставчиците за изминалия период</w:t>
      </w:r>
      <w:r>
        <w:rPr>
          <w:sz w:val="24"/>
          <w:szCs w:val="24"/>
          <w:lang w:val="bg-BG"/>
        </w:rPr>
        <w:tab/>
      </w:r>
    </w:p>
    <w:p>
      <w:pPr>
        <w:pStyle w:val="Header"/>
        <w:spacing w:lineRule="atLeast" w:line="100"/>
        <w:ind w:end="708"/>
        <w:jc w:val="both"/>
        <w:rPr>
          <w:sz w:val="24"/>
          <w:szCs w:val="24"/>
          <w:lang w:val="bg-BG"/>
        </w:rPr>
      </w:pPr>
      <w:r>
        <w:rPr>
          <w:sz w:val="24"/>
          <w:szCs w:val="24"/>
          <w:lang w:val="bg-BG"/>
        </w:rPr>
        <w:tab/>
        <w:t>Фирмата изследва мненията на доставчиците и партньорите за тяхната удовлетвореност от процесите на закупуване. Ръководството следи и осигурява информация за работата на доставчиците и партньорите и съответствието й с политиката на закупуване. Оценява качеството на закупуваните продукти, както и съвместните ползи от сътрудничеството с тях. Оценката на доставчиците се актуализира редовно, като не са налице съществени изменения в списъка на одобрените доставчици.</w:t>
      </w:r>
    </w:p>
    <w:p>
      <w:pPr>
        <w:pStyle w:val="Header"/>
        <w:spacing w:lineRule="atLeast" w:line="100"/>
        <w:ind w:firstLine="720" w:end="708"/>
        <w:jc w:val="both"/>
        <w:rPr>
          <w:sz w:val="24"/>
          <w:szCs w:val="24"/>
          <w:lang w:val="bg-BG"/>
        </w:rPr>
      </w:pPr>
      <w:r>
        <w:rPr>
          <w:sz w:val="24"/>
          <w:szCs w:val="24"/>
          <w:lang w:val="bg-BG"/>
        </w:rPr>
        <w:t xml:space="preserve">През изтеклата година не е имало съществени проблеми с доставчиците и извършените доставки. </w:t>
      </w:r>
    </w:p>
    <w:p>
      <w:pPr>
        <w:pStyle w:val="Header"/>
        <w:spacing w:lineRule="atLeast" w:line="100"/>
        <w:ind w:firstLine="720" w:end="708"/>
        <w:jc w:val="both"/>
        <w:rPr>
          <w:sz w:val="24"/>
          <w:szCs w:val="24"/>
          <w:lang w:val="bg-BG"/>
        </w:rPr>
      </w:pPr>
      <w:r>
        <w:rPr>
          <w:sz w:val="24"/>
          <w:szCs w:val="24"/>
          <w:lang w:val="bg-BG"/>
        </w:rPr>
      </w:r>
    </w:p>
    <w:p>
      <w:pPr>
        <w:pStyle w:val="Header"/>
        <w:spacing w:lineRule="atLeast" w:line="100"/>
        <w:ind w:end="708"/>
        <w:rPr>
          <w:sz w:val="24"/>
          <w:szCs w:val="24"/>
          <w:lang w:val="bg-BG"/>
        </w:rPr>
      </w:pPr>
      <w:r>
        <w:rPr>
          <w:sz w:val="24"/>
          <w:szCs w:val="24"/>
          <w:lang w:val="bg-BG"/>
        </w:rPr>
      </w:r>
    </w:p>
    <w:p>
      <w:pPr>
        <w:pStyle w:val="Header"/>
        <w:tabs>
          <w:tab w:val="clear" w:pos="4703"/>
          <w:tab w:val="clear" w:pos="9406"/>
          <w:tab w:val="center" w:pos="4320" w:leader="none"/>
          <w:tab w:val="right" w:pos="8640" w:leader="none"/>
          <w:tab w:val="left" w:pos="9639" w:leader="none"/>
        </w:tabs>
        <w:overflowPunct w:val="false"/>
        <w:autoSpaceDE w:val="false"/>
        <w:spacing w:lineRule="atLeast" w:line="100"/>
        <w:ind w:start="426" w:end="708"/>
        <w:textAlignment w:val="baseline"/>
        <w:rPr>
          <w:b/>
          <w:sz w:val="28"/>
          <w:szCs w:val="28"/>
          <w:lang w:val="bg-BG"/>
        </w:rPr>
      </w:pPr>
      <w:r>
        <w:rPr>
          <w:b/>
          <w:sz w:val="24"/>
          <w:szCs w:val="28"/>
          <w:lang w:val="bg-BG"/>
        </w:rPr>
        <w:t>3.12 Преглед на използваните нормативни документи за актуалност</w:t>
      </w:r>
      <w:r>
        <w:rPr>
          <w:sz w:val="24"/>
          <w:szCs w:val="24"/>
          <w:lang w:val="bg-BG"/>
        </w:rPr>
        <w:tab/>
      </w:r>
    </w:p>
    <w:p>
      <w:pPr>
        <w:pStyle w:val="Header"/>
        <w:spacing w:lineRule="atLeast" w:line="100"/>
        <w:ind w:end="708"/>
        <w:jc w:val="both"/>
        <w:rPr>
          <w:sz w:val="24"/>
          <w:szCs w:val="24"/>
          <w:lang w:val="bg-BG"/>
        </w:rPr>
      </w:pPr>
      <w:r>
        <w:rPr>
          <w:sz w:val="24"/>
          <w:szCs w:val="24"/>
          <w:lang w:val="bg-BG"/>
        </w:rPr>
        <w:tab/>
        <w:t xml:space="preserve">При извършването на вътрешния одит се установи, че ръководителите на самостоятелни звена следят актуалността на използваните от тях нормативни уредби съобразно спецификата им на работа. Има определено със заповед лице, което следи цялостната нормативна уредба и отразява промените в нея адекватно в съответния документ. През изминалата година не са влезли в сила съществени изменения в нормативната база, които да породят промени в работните процеси и дейности, изпълнявани от </w:t>
      </w:r>
      <w:r>
        <w:rPr>
          <w:b/>
          <w:sz w:val="28"/>
          <w:szCs w:val="28"/>
          <w:lang w:val="bg-BG"/>
        </w:rPr>
        <w:t>“Артпласт” ЕООД</w:t>
      </w:r>
      <w:r>
        <w:rPr>
          <w:sz w:val="24"/>
          <w:szCs w:val="24"/>
          <w:lang w:val="bg-BG"/>
        </w:rPr>
        <w:t>.</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sz w:val="24"/>
          <w:szCs w:val="24"/>
        </w:rPr>
        <w:t xml:space="preserve">        </w:t>
      </w:r>
      <w:r>
        <w:rPr>
          <w:rFonts w:cs="Times New Roman CYR" w:ascii="Times New Roman CYR" w:hAnsi="Times New Roman CYR"/>
          <w:b/>
          <w:sz w:val="24"/>
          <w:szCs w:val="24"/>
          <w:lang w:val="bg-BG"/>
        </w:rPr>
        <w:t>3.16 Ефикасност на действията, предприети за овладяване на рисковете и възможностите</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За периода от въвеждането на СУ </w:t>
      </w:r>
      <w:r>
        <w:rPr>
          <w:rFonts w:cs="Times New Roman CYR" w:ascii="Times New Roman CYR" w:hAnsi="Times New Roman CYR"/>
          <w:sz w:val="24"/>
          <w:szCs w:val="24"/>
        </w:rPr>
        <w:t>ISO 9001</w:t>
      </w:r>
      <w:r>
        <w:rPr>
          <w:rFonts w:cs="Times New Roman CYR" w:ascii="Times New Roman CYR" w:hAnsi="Times New Roman CYR"/>
          <w:sz w:val="24"/>
          <w:szCs w:val="24"/>
          <w:lang w:val="bg-BG"/>
        </w:rPr>
        <w:t>:2015</w:t>
      </w:r>
      <w:r>
        <w:rPr>
          <w:rFonts w:cs="Times New Roman CYR" w:ascii="Times New Roman CYR" w:hAnsi="Times New Roman CYR"/>
          <w:sz w:val="24"/>
          <w:szCs w:val="24"/>
        </w:rPr>
        <w:t xml:space="preserve"> </w:t>
      </w:r>
      <w:r>
        <w:rPr>
          <w:rFonts w:cs="Times New Roman CYR" w:ascii="Times New Roman CYR" w:hAnsi="Times New Roman CYR"/>
          <w:sz w:val="24"/>
          <w:szCs w:val="24"/>
          <w:lang w:val="bg-BG"/>
        </w:rPr>
        <w:t>до момента са идентифицирани и описани рисковете и възможностите за организацията. Извършена е последваща оценка на рисковете по предварително разработена методика, като не са установени значителни рискове, налагащи последващи действия.</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t>4. Изходни елементи</w:t>
      </w:r>
    </w:p>
    <w:p>
      <w:pPr>
        <w:pStyle w:val="Normal"/>
        <w:ind w:firstLine="360" w:end="708"/>
        <w:jc w:val="both"/>
        <w:rPr/>
      </w:pPr>
      <w:r>
        <w:rPr>
          <w:rFonts w:cs="Times New Roman CYR" w:ascii="Times New Roman CYR" w:hAnsi="Times New Roman CYR"/>
          <w:sz w:val="24"/>
          <w:szCs w:val="24"/>
          <w:lang w:val="bg-BG"/>
        </w:rPr>
        <w:t xml:space="preserve">Ръководството на </w:t>
      </w:r>
      <w:r>
        <w:rPr>
          <w:b/>
          <w:sz w:val="28"/>
          <w:szCs w:val="28"/>
          <w:lang w:val="bg-BG"/>
        </w:rPr>
        <w:t>“Артпласт” ЕООД</w:t>
      </w:r>
      <w:r>
        <w:rPr>
          <w:rFonts w:cs="Times New Roman CYR" w:ascii="Times New Roman CYR" w:hAnsi="Times New Roman CYR"/>
          <w:b/>
          <w:sz w:val="24"/>
          <w:szCs w:val="24"/>
          <w:lang w:val="bg-BG"/>
        </w:rPr>
        <w:t xml:space="preserve"> </w:t>
      </w:r>
      <w:r>
        <w:rPr>
          <w:rFonts w:cs="Times New Roman CYR" w:ascii="Times New Roman CYR" w:hAnsi="Times New Roman CYR"/>
          <w:sz w:val="24"/>
          <w:szCs w:val="24"/>
          <w:lang w:val="bg-BG"/>
        </w:rPr>
        <w:t xml:space="preserve">се задължава периодично да анализира и в случай на необходимост да актуализира и преработи политиката си по качеството. В края на календарната 2020 г. ръководството се ангажира съвместно със създадените работни групи да заложи целите на СУ за следващата календарна година. </w:t>
      </w:r>
    </w:p>
    <w:p>
      <w:pPr>
        <w:pStyle w:val="Normal"/>
        <w:ind w:firstLine="360" w:end="708"/>
        <w:jc w:val="both"/>
        <w:rPr/>
      </w:pPr>
      <w:r>
        <w:rPr>
          <w:rFonts w:cs="Times New Roman CYR" w:ascii="Times New Roman CYR" w:hAnsi="Times New Roman CYR"/>
          <w:sz w:val="24"/>
          <w:szCs w:val="24"/>
          <w:lang w:val="bg-BG"/>
        </w:rPr>
        <w:t>Ръководството поема личен ангажимент за съблюдаване правилността на извършваните дейности съгласно изискванията на стандарта и да осигури необходимите човешки и финансови ресурси.</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Непрекъснатото подобряване на система за управление е ключова мисия и визия на ръководството на дружеството, целяща намаляване оптимизиране на всички фактори, имащи вредно влияние върху качеството.</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Препоръчва се да се определи нов ПР за СУ, който да поеме дейността от лицето, изпълняващо длъжността до края на м. септември 2020 г. Ново определеното лице следва да бъде запознато с начина на водене на документацията и спецификите при работа със системата. При необходимост, новото лице следва да премине курс за мениджъри на интегрирани системи за управление.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Изходните елементи са достъпни за разпространение на всички заинтересовани страни,  желаещи достъп до тази информация.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Управител: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ab/>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sz w:val="24"/>
          <w:szCs w:val="24"/>
          <w:lang w:val="bg-BG"/>
        </w:rPr>
      </w:pPr>
      <w:r>
        <w:rPr>
          <w:sz w:val="24"/>
          <w:szCs w:val="24"/>
          <w:lang w:val="bg-BG"/>
        </w:rPr>
      </w:r>
    </w:p>
    <w:p>
      <w:pPr>
        <w:pStyle w:val="Normal"/>
        <w:ind w:end="708"/>
        <w:jc w:val="both"/>
        <w:rPr>
          <w:sz w:val="24"/>
          <w:szCs w:val="24"/>
          <w:lang w:val="bg-BG"/>
        </w:rPr>
      </w:pPr>
      <w:r>
        <w:rPr>
          <w:sz w:val="24"/>
          <w:szCs w:val="24"/>
          <w:lang w:val="bg-BG"/>
        </w:rPr>
      </w:r>
    </w:p>
    <w:p>
      <w:pPr>
        <w:pStyle w:val="Normal"/>
        <w:ind w:firstLine="360" w:end="708"/>
        <w:jc w:val="both"/>
        <w:rPr/>
      </w:pPr>
      <w:r>
        <w:rPr>
          <w:b/>
          <w:sz w:val="24"/>
          <w:szCs w:val="24"/>
          <w:lang w:val="bg-BG"/>
        </w:rPr>
        <w:t>Дата: 17.06.2020 г.</w:t>
      </w:r>
    </w:p>
    <w:sectPr>
      <w:headerReference w:type="default" r:id="rId2"/>
      <w:footerReference w:type="default" r:id="rId3"/>
      <w:type w:val="nextPage"/>
      <w:pgSz w:w="11906" w:h="16838"/>
      <w:pgMar w:left="1276" w:right="567" w:gutter="0" w:header="708" w:top="764" w:footer="708" w:bottom="7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Arial">
    <w:charset w:val="cc" w:characterSet="windows-1251"/>
    <w:family w:val="swiss"/>
    <w:pitch w:val="variable"/>
  </w:font>
  <w:font w:name="Times New Roman CYR">
    <w:charset w:val="cc" w:characterSet="windows-1251"/>
    <w:family w:val="roman"/>
    <w:pitch w:val="variable"/>
  </w:font>
  <w:font w:name="Liberation Sans">
    <w:altName w:val="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lang w:val="bg-BG"/>
      </w:rPr>
    </w:pPr>
    <w:r>
      <w:rPr>
        <w:sz w:val="24"/>
        <w:szCs w:val="24"/>
        <w:lang w:val="bg-BG"/>
      </w:rPr>
      <w:t>Стр.</w:t>
    </w:r>
    <w:r>
      <w:rPr>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5</w:t>
    </w:r>
    <w:r>
      <w:rPr>
        <w:sz w:val="24"/>
        <w:szCs w:val="24"/>
      </w:rPr>
      <w:fldChar w:fldCharType="end"/>
    </w:r>
    <w:r>
      <w:rPr>
        <w:sz w:val="24"/>
        <w:szCs w:val="24"/>
      </w:rPr>
      <w:t xml:space="preserve"> </w:t>
    </w:r>
  </w:p>
  <w:p>
    <w:pPr>
      <w:pStyle w:val="Footer"/>
      <w:jc w:val="center"/>
      <w:rPr>
        <w:sz w:val="24"/>
        <w:szCs w:val="24"/>
        <w:lang w:val="bg-BG"/>
      </w:rPr>
    </w:pPr>
    <w:r>
      <w:rPr>
        <w:sz w:val="24"/>
        <w:szCs w:val="24"/>
        <w:lang w:val="bg-BG"/>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sz w:val="40"/>
        <w:szCs w:val="48"/>
        <w:lang w:val="bg-BG"/>
      </w:rPr>
      <w:t>“</w:t>
    </w:r>
    <w:r>
      <w:rPr>
        <w:rFonts w:cs="Arial" w:ascii="Arial" w:hAnsi="Arial"/>
        <w:b/>
        <w:sz w:val="40"/>
        <w:szCs w:val="48"/>
        <w:lang w:val="bg-BG"/>
      </w:rPr>
      <w:t>Артпласт” ЕООД</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abstractNum>
  <w:abstractNum w:abstractNumId="2">
    <w:lvl w:ilvl="0">
      <w:start w:val="2"/>
      <w:numFmt w:val="bullet"/>
      <w:lvlText w:val="-"/>
      <w:lvlJc w:val="start"/>
      <w:pPr>
        <w:tabs>
          <w:tab w:val="num" w:pos="720"/>
        </w:tabs>
        <w:ind w:start="720" w:hanging="360"/>
      </w:pPr>
      <w:rPr>
        <w:rFonts w:ascii="Arial" w:hAnsi="Arial" w:cs="Aria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5z0">
    <w:name w:val="WW8Num5z0"/>
    <w:qFormat/>
    <w:rPr>
      <w:rFonts w:ascii="Arial" w:hAnsi="Arial"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Symbol" w:hAnsi="Symbol" w:cs="Symbol"/>
    </w:rPr>
  </w:style>
  <w:style w:type="character" w:styleId="WW8Num10z0">
    <w:name w:val="WW8Num10z0"/>
    <w:qFormat/>
    <w:rPr/>
  </w:style>
  <w:style w:type="character" w:styleId="WW8Num11z0">
    <w:name w:val="WW8Num11z0"/>
    <w:qFormat/>
    <w:rPr>
      <w:rFonts w:ascii="Times New Roman CYR" w:hAnsi="Times New Roman CYR" w:cs="Times New Roman CYR"/>
      <w:b w:val="false"/>
      <w:i w:val="false"/>
      <w:sz w:val="24"/>
      <w:u w:val="none"/>
    </w:rPr>
  </w:style>
  <w:style w:type="character" w:styleId="WW8Num12z0">
    <w:name w:val="WW8Num12z0"/>
    <w:qFormat/>
    <w:rPr/>
  </w:style>
  <w:style w:type="character" w:styleId="WW8Num13z0">
    <w:name w:val="WW8Num13z0"/>
    <w:qFormat/>
    <w:rPr>
      <w:b/>
    </w:rPr>
  </w:style>
  <w:style w:type="character" w:styleId="WW8Num14z0">
    <w:name w:val="WW8Num14z0"/>
    <w:qFormat/>
    <w:rPr/>
  </w:style>
  <w:style w:type="character" w:styleId="WW8Num15z0">
    <w:name w:val="WW8Num15z0"/>
    <w:qFormat/>
    <w:rPr>
      <w:rFonts w:ascii="Times New Roman CYR" w:hAnsi="Times New Roman CYR" w:eastAsia="Times New Roman" w:cs="Times New Roman CYR"/>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cs="Times New Roman"/>
    </w:rPr>
  </w:style>
  <w:style w:type="character" w:styleId="WW8Num17z0">
    <w:name w:val="WW8Num17z0"/>
    <w:qFormat/>
    <w:rPr>
      <w:rFonts w:ascii="Wingdings" w:hAnsi="Wingdings" w:cs="Wingdings"/>
    </w:rPr>
  </w:style>
  <w:style w:type="character" w:styleId="WW8Num17z1">
    <w:name w:val="WW8Num17z1"/>
    <w:qFormat/>
    <w:rPr>
      <w:rFonts w:ascii="Symbol" w:hAnsi="Symbol" w:cs="Symbol"/>
    </w:rPr>
  </w:style>
  <w:style w:type="character" w:styleId="WW8Num17z4">
    <w:name w:val="WW8Num17z4"/>
    <w:qFormat/>
    <w:rPr>
      <w:rFonts w:ascii="Courier New" w:hAnsi="Courier New" w:cs="Courier New"/>
    </w:rPr>
  </w:style>
  <w:style w:type="character" w:styleId="WW8Num18z0">
    <w:name w:val="WW8Num18z0"/>
    <w:qFormat/>
    <w:rPr/>
  </w:style>
  <w:style w:type="character" w:styleId="WW8Num19z0">
    <w:name w:val="WW8Num19z0"/>
    <w:qFormat/>
    <w:rPr/>
  </w:style>
  <w:style w:type="character" w:styleId="WW8Num20z0">
    <w:name w:val="WW8Num20z0"/>
    <w:qFormat/>
    <w:rPr>
      <w:b/>
    </w:rPr>
  </w:style>
  <w:style w:type="character" w:styleId="Style14">
    <w:name w:val="Шрифт на абзаца по подразбиране"/>
    <w:qFormat/>
    <w:rPr/>
  </w:style>
  <w:style w:type="paragraph" w:styleId="Style15">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Указател"/>
    <w:basedOn w:val="Normal"/>
    <w:qFormat/>
    <w:pPr>
      <w:suppressLineNumbers/>
    </w:pPr>
    <w:rPr>
      <w:rFonts w:cs="Arial"/>
    </w:rPr>
  </w:style>
  <w:style w:type="paragraph" w:styleId="Style17">
    <w:name w:val="Колонтитули"/>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lang w:val="en-AU"/>
    </w:rPr>
  </w:style>
  <w:style w:type="paragraph" w:styleId="Header">
    <w:name w:val="header"/>
    <w:basedOn w:val="Normal"/>
    <w:pPr>
      <w:tabs>
        <w:tab w:val="clear" w:pos="720"/>
        <w:tab w:val="center" w:pos="4703" w:leader="none"/>
        <w:tab w:val="right" w:pos="9406" w:leader="none"/>
      </w:tabs>
    </w:pPr>
    <w:rPr/>
  </w:style>
  <w:style w:type="paragraph" w:styleId="BodyTextIndent">
    <w:name w:val="Body Text Indent"/>
    <w:basedOn w:val="Normal"/>
    <w:pPr>
      <w:ind w:firstLine="360" w:start="0" w:end="0"/>
      <w:jc w:val="both"/>
    </w:pPr>
    <w:rPr>
      <w:sz w:val="24"/>
      <w:szCs w:val="24"/>
      <w:lang w:val="bg-BG"/>
    </w:rPr>
  </w:style>
  <w:style w:type="paragraph" w:styleId="Style18">
    <w:name w:val="Изнесен текст"/>
    <w:basedOn w:val="Normal"/>
    <w:qFormat/>
    <w:pPr/>
    <w:rPr>
      <w:rFonts w:ascii="Tahoma" w:hAnsi="Tahoma" w:cs="Tahoma"/>
      <w:sz w:val="16"/>
      <w:szCs w:val="16"/>
    </w:rPr>
  </w:style>
  <w:style w:type="paragraph" w:styleId="Style19">
    <w:name w:val="Списък с водещи символи"/>
    <w:basedOn w:val="Normal"/>
    <w:qFormat/>
    <w:pPr>
      <w:numPr>
        <w:ilvl w:val="0"/>
        <w:numId w:val="1"/>
      </w:numPr>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2007-08-28T11:04:00Z</dcterms:created>
  <dc:creator>v</dc:creator>
  <dc:description/>
  <cp:keywords/>
  <dc:language>bg-BG</dc:language>
  <cp:lastModifiedBy>lenovo</cp:lastModifiedBy>
  <cp:lastPrinted>2015-09-11T14:13:00Z</cp:lastPrinted>
  <dcterms:modified xsi:type="dcterms:W3CDTF">2020-07-28T18:47:00Z</dcterms:modified>
  <cp:revision>175</cp:revision>
  <dc:subject/>
  <dc:title>ДЕКЛАРАЦИЯ ЗА ПОЛЗВАНЕ НА СКЛАДОВА БАЗА</dc:title>
</cp:coreProperties>
</file>