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  <w:szCs w:val="22"/>
          <w:u w:val="single"/>
          <w:lang w:eastAsia="en-US"/>
        </w:rPr>
      </w:pPr>
      <w:r>
        <w:rPr>
          <w:b/>
          <w:sz w:val="22"/>
          <w:szCs w:val="22"/>
          <w:u w:val="single"/>
          <w:lang w:eastAsia="en-US"/>
        </w:rPr>
        <w:t xml:space="preserve">1. Външни и вътрешни </w:t>
      </w:r>
      <w:r>
        <w:rPr>
          <w:b/>
          <w:sz w:val="22"/>
          <w:szCs w:val="22"/>
          <w:u w:val="single"/>
          <w:lang w:val="bg-BG" w:eastAsia="en-US"/>
        </w:rPr>
        <w:t>процеси</w:t>
      </w:r>
      <w:r>
        <w:rPr>
          <w:b/>
          <w:sz w:val="22"/>
          <w:szCs w:val="22"/>
          <w:u w:val="single"/>
          <w:lang w:eastAsia="en-US"/>
        </w:rPr>
        <w:t>, които са от значение за целите на организацията</w:t>
      </w:r>
    </w:p>
    <w:p>
      <w:pPr>
        <w:pStyle w:val="Normal"/>
        <w:rPr>
          <w:b/>
          <w:sz w:val="22"/>
          <w:szCs w:val="22"/>
          <w:u w:val="single"/>
          <w:lang w:eastAsia="en-US"/>
        </w:rPr>
      </w:pPr>
      <w:r>
        <w:rPr>
          <w:b/>
          <w:sz w:val="22"/>
          <w:szCs w:val="22"/>
          <w:u w:val="single"/>
          <w:lang w:eastAsia="en-US"/>
        </w:rPr>
      </w:r>
    </w:p>
    <w:p>
      <w:pPr>
        <w:pStyle w:val="Heading3"/>
        <w:ind w:hanging="0" w:start="0"/>
        <w:rPr>
          <w:rFonts w:ascii="Times New Roman" w:hAnsi="Times New Roman" w:cs="Times New Roman"/>
          <w:b/>
          <w:szCs w:val="22"/>
          <w:lang w:val="bg-BG"/>
        </w:rPr>
      </w:pPr>
      <w:r>
        <w:rPr>
          <w:rFonts w:cs="Times New Roman" w:ascii="Times New Roman" w:hAnsi="Times New Roman"/>
          <w:b/>
          <w:szCs w:val="22"/>
          <w:lang w:val="bg-BG"/>
        </w:rPr>
        <w:t>Външни процеси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  <w:lang w:val="bg-BG"/>
        </w:rPr>
      </w:pPr>
      <w:r>
        <w:rPr>
          <w:rFonts w:cs="Times New Roman"/>
          <w:b/>
          <w:sz w:val="22"/>
          <w:szCs w:val="22"/>
          <w:lang w:val="bg-BG"/>
        </w:rPr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0"/>
        <w:gridCol w:w="2283"/>
        <w:gridCol w:w="1873"/>
        <w:gridCol w:w="2078"/>
        <w:gridCol w:w="2078"/>
      </w:tblGrid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Heading5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Тип процеси</w:t>
            </w:r>
          </w:p>
        </w:tc>
        <w:tc>
          <w:tcPr>
            <w:tcW w:w="83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Детайли</w:t>
            </w:r>
          </w:p>
        </w:tc>
      </w:tr>
      <w:tr>
        <w:trPr>
          <w:cantSplit/>
        </w:trPr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Интернационално ниво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Национално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Регионално ниво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Местно ниво</w:t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Правни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Технологични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Конкурентни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Пазарни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Културни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Социални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Икономически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eastAsia="en-US"/>
        </w:rPr>
        <w:t xml:space="preserve">Забележка: </w:t>
      </w:r>
      <w:r>
        <w:rPr>
          <w:sz w:val="22"/>
          <w:szCs w:val="22"/>
          <w:lang w:val="bg-BG" w:eastAsia="en-US"/>
        </w:rPr>
        <w:t>Процесите</w:t>
      </w:r>
      <w:r>
        <w:rPr>
          <w:sz w:val="22"/>
          <w:szCs w:val="22"/>
          <w:lang w:eastAsia="en-US"/>
        </w:rPr>
        <w:t xml:space="preserve"> могат да включват положителн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(+) и отрицателен</w:t>
      </w:r>
      <w:r>
        <w:rPr>
          <w:sz w:val="22"/>
          <w:szCs w:val="22"/>
          <w:lang w:val="bg-BG" w:eastAsia="en-US"/>
        </w:rPr>
        <w:t>и</w:t>
      </w:r>
      <w:r>
        <w:rPr>
          <w:sz w:val="22"/>
          <w:szCs w:val="22"/>
          <w:lang w:eastAsia="en-US"/>
        </w:rPr>
        <w:t xml:space="preserve"> (-) фактори или условия.</w:t>
      </w:r>
    </w:p>
    <w:p>
      <w:pPr>
        <w:pStyle w:val="Normal"/>
        <w:rPr>
          <w:sz w:val="22"/>
          <w:szCs w:val="22"/>
          <w:lang w:val="bg-BG" w:eastAsia="en-US"/>
        </w:rPr>
      </w:pPr>
      <w:r>
        <w:rPr>
          <w:sz w:val="22"/>
          <w:szCs w:val="22"/>
          <w:lang w:val="bg-BG" w:eastAsia="en-US"/>
        </w:rPr>
      </w:r>
    </w:p>
    <w:p>
      <w:pPr>
        <w:pStyle w:val="Heading2"/>
        <w:ind w:hanging="0" w:start="0"/>
        <w:rPr>
          <w:szCs w:val="22"/>
          <w:lang w:val="bg-BG"/>
        </w:rPr>
      </w:pPr>
      <w:r>
        <w:rPr>
          <w:szCs w:val="22"/>
          <w:lang w:val="bg-BG"/>
        </w:rPr>
        <w:t>Вътрешни процеси</w:t>
      </w:r>
    </w:p>
    <w:p>
      <w:pPr>
        <w:pStyle w:val="Normal"/>
        <w:rPr>
          <w:sz w:val="22"/>
          <w:szCs w:val="22"/>
          <w:lang w:val="bg-BG"/>
        </w:rPr>
      </w:pPr>
      <w:r>
        <w:rPr>
          <w:sz w:val="22"/>
          <w:szCs w:val="22"/>
          <w:lang w:val="bg-BG"/>
        </w:rPr>
      </w:r>
    </w:p>
    <w:tbl>
      <w:tblPr>
        <w:tblW w:w="102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30"/>
        <w:gridCol w:w="7852"/>
      </w:tblGrid>
      <w:tr>
        <w:trPr/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Тип процеси</w:t>
            </w:r>
          </w:p>
        </w:tc>
        <w:tc>
          <w:tcPr>
            <w:tcW w:w="7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Детайли</w:t>
            </w:r>
          </w:p>
        </w:tc>
      </w:tr>
      <w:tr>
        <w:trPr/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 w:eastAsia="en-US"/>
              </w:rPr>
              <w:t>Ценности</w:t>
            </w:r>
          </w:p>
        </w:tc>
        <w:tc>
          <w:tcPr>
            <w:tcW w:w="7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</w:tr>
      <w:tr>
        <w:trPr/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Култура</w:t>
            </w:r>
          </w:p>
        </w:tc>
        <w:tc>
          <w:tcPr>
            <w:tcW w:w="7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</w:tr>
      <w:tr>
        <w:trPr/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Знания</w:t>
            </w:r>
          </w:p>
        </w:tc>
        <w:tc>
          <w:tcPr>
            <w:tcW w:w="7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</w:tr>
      <w:tr>
        <w:trPr/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  <w:t>Производителност</w:t>
            </w:r>
          </w:p>
        </w:tc>
        <w:tc>
          <w:tcPr>
            <w:tcW w:w="7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 w:eastAsia="en-US"/>
              </w:rPr>
            </w:pPr>
            <w:r>
              <w:rPr>
                <w:sz w:val="22"/>
                <w:szCs w:val="22"/>
                <w:lang w:val="bg-BG" w:eastAsia="en-US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sz w:val="22"/>
          <w:szCs w:val="22"/>
          <w:u w:val="single"/>
          <w:lang w:val="bg-BG"/>
        </w:rPr>
      </w:pPr>
      <w:r>
        <w:rPr>
          <w:b/>
          <w:sz w:val="22"/>
          <w:szCs w:val="22"/>
          <w:u w:val="single"/>
          <w:lang w:val="bg-BG"/>
        </w:rPr>
        <w:t>2. Нуждите и очакванията на заинтересованите страни, имащи отношение към СУК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90"/>
        <w:gridCol w:w="3285"/>
        <w:gridCol w:w="3285"/>
      </w:tblGrid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Заинтересовани страни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Нужди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Очаквания</w:t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  <w:lang w:val="bg-BG"/>
              </w:rPr>
              <w:t>Клиенти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  <w:lang w:val="bg-BG"/>
              </w:rPr>
              <w:t>Собственици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  <w:lang w:val="bg-BG"/>
              </w:rPr>
              <w:t>Служители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  <w:lang w:val="bg-BG"/>
              </w:rPr>
              <w:t>Доставчици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  <w:lang w:val="bg-BG"/>
              </w:rPr>
              <w:t>Банки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  <w:lang w:val="bg-BG"/>
              </w:rPr>
              <w:t>Контролни органи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  <w:lang w:val="bg-BG"/>
              </w:rPr>
              <w:t>Профсъюзи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  <w:lang w:val="bg-BG"/>
              </w:rPr>
              <w:t>Общественост (Конкуренти)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  <w:lang w:val="bg-BG"/>
              </w:rPr>
              <w:t>Общественост (Рискови групи)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4050"/>
        <w:gridCol w:w="1530"/>
        <w:gridCol w:w="3150"/>
      </w:tblGrid>
      <w:tr>
        <w:trPr/>
        <w:tc>
          <w:tcPr>
            <w:tcW w:w="1350" w:type="dxa"/>
            <w:tcBorders/>
          </w:tcPr>
          <w:p>
            <w:pPr>
              <w:pStyle w:val="Normal"/>
              <w:ind w:end="-318"/>
              <w:rPr/>
            </w:pPr>
            <w:r>
              <w:rPr>
                <w:sz w:val="22"/>
                <w:szCs w:val="22"/>
                <w:lang w:val="bg-BG"/>
              </w:rPr>
              <w:t>Изготвил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</w:rPr>
              <w:t>………………………………</w:t>
            </w:r>
            <w:r>
              <w:rPr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Проверил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>..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050" w:type="dxa"/>
            <w:tcBorders/>
          </w:tcPr>
          <w:p>
            <w:pPr>
              <w:pStyle w:val="Heading5"/>
              <w:ind w:hanging="0" w:start="0"/>
              <w:rPr>
                <w:szCs w:val="22"/>
                <w:lang w:val="bg-BG"/>
              </w:rPr>
            </w:pPr>
            <w:r>
              <w:rPr>
                <w:szCs w:val="22"/>
                <w:lang w:val="bg-BG"/>
              </w:rPr>
              <w:t>Отговорник по качеството</w:t>
            </w:r>
          </w:p>
        </w:tc>
        <w:tc>
          <w:tcPr>
            <w:tcW w:w="1530" w:type="dxa"/>
            <w:tcBorders/>
          </w:tcPr>
          <w:p>
            <w:pPr>
              <w:pStyle w:val="Normal"/>
              <w:snapToGrid w:val="false"/>
              <w:ind w:end="-108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</w:rPr>
              <w:t xml:space="preserve">       </w:t>
            </w:r>
            <w:r>
              <w:rPr>
                <w:b/>
                <w:sz w:val="22"/>
                <w:szCs w:val="22"/>
                <w:lang w:val="bg-BG"/>
              </w:rPr>
              <w:t>Управител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30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sz w:val="22"/>
                <w:szCs w:val="22"/>
                <w:lang w:val="bg-BG"/>
              </w:rPr>
              <w:t>Дата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15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i/>
          <w:sz w:val="22"/>
          <w:szCs w:val="22"/>
          <w:lang w:val="bg-BG"/>
        </w:rPr>
      </w:pPr>
      <w:r>
        <w:rPr>
          <w:i/>
          <w:sz w:val="22"/>
          <w:szCs w:val="22"/>
          <w:lang w:val="bg-BG"/>
        </w:rPr>
        <w:t>Забележка: Този документ трябва да бъде актуализиран на всеки шест месеца</w:t>
      </w:r>
    </w:p>
    <w:p>
      <w:pPr>
        <w:pStyle w:val="Normal"/>
        <w:rPr>
          <w:i/>
          <w:sz w:val="22"/>
          <w:szCs w:val="22"/>
          <w:lang w:val="bg-BG"/>
        </w:rPr>
      </w:pPr>
      <w:r>
        <w:rPr>
          <w:i/>
          <w:sz w:val="22"/>
          <w:szCs w:val="22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166" w:right="569" w:gutter="0" w:header="540" w:top="2250" w:footer="933" w:bottom="10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rPr/>
    </w:pPr>
    <w:r>
      <w:rPr>
        <w:i/>
        <w:lang w:val="bg-BG"/>
      </w:rPr>
      <w:t>Стр. № 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Heading5"/>
            <w:ind w:hanging="0" w:start="0"/>
            <w:jc w:val="center"/>
            <w:rPr>
              <w:b w:val="false"/>
              <w:sz w:val="24"/>
              <w:szCs w:val="24"/>
            </w:rPr>
          </w:pPr>
          <w:r>
            <w:rPr>
              <w:rFonts w:eastAsia="Times New Roman CYR"/>
              <w:b w:val="false"/>
              <w:bCs/>
            </w:rPr>
            <w:t>"Артпласт"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120" w:after="0"/>
            <w:jc w:val="center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</w:rPr>
            <w:t>НАРЪЧНИК</w:t>
          </w:r>
        </w:p>
        <w:p>
          <w:pPr>
            <w:pStyle w:val="Heading2"/>
            <w:spacing w:before="120" w:after="0"/>
            <w:ind w:hanging="0" w:start="0"/>
            <w:jc w:val="center"/>
            <w:rPr>
              <w:b w:val="false"/>
              <w:bCs/>
              <w:sz w:val="24"/>
              <w:lang w:val="ru-RU"/>
            </w:rPr>
          </w:pPr>
          <w:r>
            <w:rPr>
              <w:b w:val="false"/>
              <w:bCs/>
              <w:sz w:val="24"/>
              <w:lang w:val="ru-RU"/>
            </w:rPr>
            <w:t xml:space="preserve">СИСТЕМА ЗА УПРАВЛЕНЕНИЕ НА КАЧЕСТВОТО </w:t>
          </w:r>
        </w:p>
        <w:p>
          <w:pPr>
            <w:pStyle w:val="Normal"/>
            <w:jc w:val="center"/>
            <w:rPr>
              <w:sz w:val="32"/>
            </w:rPr>
          </w:pPr>
          <w:r>
            <w:rPr>
              <w:sz w:val="24"/>
              <w:lang w:val="ru-RU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НК - Ф – 1</w:t>
          </w:r>
        </w:p>
        <w:p>
          <w:pPr>
            <w:pStyle w:val="BodyText"/>
            <w:spacing w:before="0" w:after="120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Формуляр Контекст на Организацията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jc w:val="start"/>
            <w:rPr/>
          </w:pPr>
          <w:r>
            <w:rPr>
              <w:bCs/>
              <w:sz w:val="20"/>
            </w:rPr>
            <w:t>Издание</w:t>
          </w:r>
          <w:r>
            <w:rPr>
              <w:sz w:val="20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rPr>
              <w:bCs/>
              <w:i/>
            </w:rPr>
          </w:pPr>
          <w:r>
            <w:rPr>
              <w:bCs/>
              <w:i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Cs/>
              <w:i/>
              <w:sz w:val="36"/>
              <w:szCs w:val="36"/>
            </w:rPr>
          </w:pPr>
          <w:r>
            <w:rPr>
              <w:bCs/>
              <w:i/>
              <w:sz w:val="36"/>
              <w:szCs w:val="36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80" w:after="0"/>
            <w:jc w:val="center"/>
            <w:rPr/>
          </w:pP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  <w:lang w:val="bg-BG"/>
            </w:rPr>
            <w:t>.05.2020г.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>
              <w:lang w:val="bg-BG"/>
            </w:rPr>
          </w:pPr>
          <w:r>
            <w:rPr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rStyle w:val="PageNumber"/>
              <w:i/>
              <w:sz w:val="28"/>
              <w:szCs w:val="28"/>
              <w:lang w:val="bg-BG"/>
            </w:rPr>
          </w:pPr>
          <w:r>
            <w:rPr>
              <w:rStyle w:val="PageNumber"/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rStyle w:val="PageNumber"/>
              <w:b/>
              <w:bCs/>
              <w:i/>
              <w:sz w:val="28"/>
              <w:szCs w:val="28"/>
              <w:lang w:val="bg-BG"/>
            </w:rPr>
          </w:pPr>
          <w:r>
            <w:rPr/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/>
          </w:pPr>
          <w:r>
            <w:rPr/>
            <w:t>Страница</w:t>
          </w:r>
          <w:r>
            <w:rPr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b/>
              <w:iCs/>
            </w:rPr>
          </w:pPr>
          <w:r>
            <w:rPr>
              <w:b/>
              <w:iCs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 Narrow" w:hAnsi="Arial Narrow" w:cs="Arial Narrow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Cambria" w:hAnsi="Cambria" w:cs="Cambria"/>
      <w:sz w:val="22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2"/>
    </w:rPr>
  </w:style>
  <w:style w:type="character" w:styleId="Style9">
    <w:name w:val="Шрифт на абзаца по подразбиране"/>
    <w:qFormat/>
    <w:rPr/>
  </w:style>
  <w:style w:type="character" w:styleId="PageNumber">
    <w:name w:val="page number"/>
    <w:basedOn w:val="Style9"/>
    <w:rPr/>
  </w:style>
  <w:style w:type="character" w:styleId="Style10">
    <w:name w:val="Горен колонтитул Знак"/>
    <w:qFormat/>
    <w:rPr/>
  </w:style>
  <w:style w:type="character" w:styleId="Style11">
    <w:name w:val="Основен текст Знак"/>
    <w:qFormat/>
    <w:rPr>
      <w:lang w:val="en-GB"/>
    </w:rPr>
  </w:style>
  <w:style w:type="character" w:styleId="Style12">
    <w:name w:val="Изнесен текст Знак"/>
    <w:qFormat/>
    <w:rPr>
      <w:rFonts w:ascii="Segoe UI" w:hAnsi="Segoe UI" w:cs="Segoe UI"/>
      <w:sz w:val="18"/>
      <w:szCs w:val="18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autoSpaceDE w:val="false"/>
      <w:spacing w:before="0" w:after="120"/>
    </w:pPr>
    <w:rPr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6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2019-11-24T01:42:00Z</dcterms:created>
  <dc:creator>WS</dc:creator>
  <dc:description/>
  <cp:keywords/>
  <dc:language>bg-BG</dc:language>
  <cp:lastModifiedBy>lenovo</cp:lastModifiedBy>
  <cp:lastPrinted>2019-08-01T15:43:00Z</cp:lastPrinted>
  <dcterms:modified xsi:type="dcterms:W3CDTF">2020-07-28T13:48:00Z</dcterms:modified>
  <cp:revision>15</cp:revision>
  <dc:subject/>
  <dc:title>Personnel No: …………………</dc:title>
</cp:coreProperties>
</file>