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276" w:leader="none"/>
        </w:tabs>
        <w:ind w:end="474"/>
        <w:rPr>
          <w:b/>
          <w:szCs w:val="24"/>
          <w:lang w:val="bg-BG"/>
        </w:rPr>
      </w:pPr>
      <w:r>
        <w:rPr>
          <w:b/>
          <w:szCs w:val="24"/>
          <w:lang w:val="bg-BG"/>
        </w:rPr>
        <w:tab/>
      </w:r>
    </w:p>
    <w:p>
      <w:pPr>
        <w:pStyle w:val="Heading3"/>
        <w:numPr>
          <w:ilvl w:val="0"/>
          <w:numId w:val="0"/>
        </w:numPr>
        <w:ind w:hanging="0" w:start="0"/>
        <w:jc w:val="start"/>
        <w:rPr>
          <w:rFonts w:ascii="Times New Roman" w:hAnsi="Times New Roman" w:cs="Times New Roman"/>
          <w:b w:val="false"/>
          <w:i w:val="false"/>
          <w:sz w:val="20"/>
          <w:szCs w:val="24"/>
          <w:lang w:val="bg-BG"/>
        </w:rPr>
      </w:pPr>
      <w:r>
        <w:rPr>
          <w:rFonts w:cs="Times New Roman" w:ascii="Times New Roman" w:hAnsi="Times New Roman"/>
          <w:b w:val="false"/>
          <w:i w:val="false"/>
          <w:sz w:val="20"/>
          <w:szCs w:val="24"/>
          <w:lang w:val="bg-BG"/>
        </w:rPr>
      </w:r>
    </w:p>
    <w:p>
      <w:pPr>
        <w:pStyle w:val="Normal"/>
        <w:ind w:firstLine="12" w:start="5652" w:end="0"/>
        <w:rPr>
          <w:szCs w:val="24"/>
          <w:lang w:val="bg-BG"/>
        </w:rPr>
      </w:pPr>
      <w:r>
        <w:rPr>
          <w:szCs w:val="24"/>
          <w:lang w:val="bg-BG"/>
        </w:rPr>
        <w:t>Утвърждавам:</w:t>
      </w:r>
    </w:p>
    <w:p>
      <w:pPr>
        <w:pStyle w:val="Normal"/>
        <w:ind w:firstLine="720" w:start="4932" w:end="423"/>
        <w:rPr>
          <w:szCs w:val="24"/>
          <w:lang w:val="bg-BG"/>
        </w:rPr>
      </w:pPr>
      <w:r>
        <w:rPr>
          <w:szCs w:val="24"/>
          <w:lang w:val="bg-BG"/>
        </w:rPr>
        <w:t xml:space="preserve">Управител: </w:t>
      </w:r>
    </w:p>
    <w:p>
      <w:pPr>
        <w:pStyle w:val="Normal"/>
        <w:jc w:val="both"/>
        <w:rPr>
          <w:szCs w:val="24"/>
          <w:lang w:val="bg-BG"/>
        </w:rPr>
      </w:pPr>
      <w:r>
        <w:rPr>
          <w:szCs w:val="24"/>
          <w:lang w:val="bg-BG"/>
        </w:rPr>
        <w:tab/>
        <w:tab/>
        <w:tab/>
        <w:tab/>
        <w:tab/>
        <w:tab/>
        <w:tab/>
        <w:t xml:space="preserve">           </w:t>
      </w:r>
    </w:p>
    <w:p>
      <w:pPr>
        <w:pStyle w:val="Normal"/>
        <w:spacing w:before="0" w:after="100"/>
        <w:ind w:start="-181" w:end="476"/>
        <w:jc w:val="center"/>
        <w:rPr/>
      </w:pPr>
      <w:r>
        <w:rPr/>
        <w:t>СПИСЪК НА ПРЕДСТАВИТЕЛИТЕ НА ЗАИНТЕРЕСОВАНИТЕ СТРАНИ</w:t>
      </w:r>
    </w:p>
    <w:tbl>
      <w:tblPr>
        <w:tblW w:w="1062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8"/>
        <w:gridCol w:w="3227"/>
        <w:gridCol w:w="1446"/>
        <w:gridCol w:w="2524"/>
        <w:gridCol w:w="2845"/>
      </w:tblGrid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№ </w:t>
            </w:r>
            <w:r>
              <w:rPr>
                <w:b/>
                <w:szCs w:val="24"/>
                <w:lang w:val="bg-BG"/>
              </w:rPr>
              <w:t>по ред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ind w:end="474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Заинтересована страна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ind w:end="474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Статус</w:t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238" w:leader="none"/>
              </w:tabs>
              <w:ind w:end="63"/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Лице за контакт</w:t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 xml:space="preserve">Адрес, телефон; </w:t>
            </w:r>
          </w:p>
          <w:p>
            <w:pPr>
              <w:pStyle w:val="Normal"/>
              <w:tabs>
                <w:tab w:val="clear" w:pos="708"/>
                <w:tab w:val="left" w:pos="2441" w:leader="none"/>
              </w:tabs>
              <w:jc w:val="center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  <w:t>e-mail</w:t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b/>
                <w:szCs w:val="24"/>
                <w:lang w:val="bg-BG"/>
              </w:rPr>
            </w:pPr>
            <w:r>
              <w:rPr>
                <w:b/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  <w:tr>
        <w:trPr/>
        <w:tc>
          <w:tcPr>
            <w:tcW w:w="5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32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1446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5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  <w:tc>
          <w:tcPr>
            <w:tcW w:w="28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276" w:leader="none"/>
              </w:tabs>
              <w:snapToGrid w:val="false"/>
              <w:spacing w:before="120" w:after="120"/>
              <w:ind w:end="474"/>
              <w:rPr>
                <w:szCs w:val="24"/>
                <w:lang w:val="bg-BG"/>
              </w:rPr>
            </w:pPr>
            <w:r>
              <w:rPr>
                <w:szCs w:val="24"/>
                <w:lang w:val="bg-BG"/>
              </w:rPr>
            </w:r>
          </w:p>
        </w:tc>
      </w:tr>
    </w:tbl>
    <w:p>
      <w:pPr>
        <w:pStyle w:val="Heading3"/>
        <w:numPr>
          <w:ilvl w:val="0"/>
          <w:numId w:val="0"/>
        </w:numPr>
        <w:ind w:hanging="0" w:start="0"/>
        <w:jc w:val="start"/>
        <w:rPr>
          <w:szCs w:val="24"/>
        </w:rPr>
      </w:pPr>
      <w:r>
        <w:rPr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709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Monotype Sorts">
    <w:altName w:val="Symbol"/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Cyr">
    <w:altName w:val="Courier New"/>
    <w:charset w:val="00" w:characterSet="windows-1252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eastAsia="ar-SA"/>
            </w:rPr>
          </w:pPr>
          <w:r>
            <w:rPr>
              <w:rFonts w:cs="MS Serif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  <w:t>Боян Янев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843"/>
      <w:gridCol w:w="2567"/>
      <w:gridCol w:w="3192"/>
      <w:gridCol w:w="2093"/>
    </w:tblGrid>
    <w:tr>
      <w:trPr>
        <w:cantSplit/>
      </w:trPr>
      <w:tc>
        <w:tcPr>
          <w:tcW w:w="1843" w:type="dxa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eastAsia="ar-SA"/>
            </w:rPr>
          </w:pPr>
          <w:r>
            <w:rPr>
              <w:rFonts w:cs="MS Serif"/>
              <w:sz w:val="20"/>
              <w:lang w:eastAsia="ar-SA"/>
            </w:rPr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Организационно звено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Име, фамилия</w:t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Подпис</w:t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Съставил: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Проверил: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  <w:tr>
      <w:trPr>
        <w:cantSplit/>
      </w:trPr>
      <w:tc>
        <w:tcPr>
          <w:tcW w:w="18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Утвърдил:</w:t>
          </w:r>
        </w:p>
      </w:tc>
      <w:tc>
        <w:tcPr>
          <w:tcW w:w="25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Управител</w:t>
          </w:r>
        </w:p>
      </w:tc>
      <w:tc>
        <w:tcPr>
          <w:tcW w:w="3192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20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4050"/>
      <w:gridCol w:w="4314"/>
      <w:gridCol w:w="1482"/>
    </w:tblGrid>
    <w:tr>
      <w:trPr>
        <w:trHeight w:val="1517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suppressAutoHyphens w:val="true"/>
            <w:overflowPunct w:val="true"/>
            <w:autoSpaceDE w:val="true"/>
            <w:snapToGrid w:val="false"/>
            <w:ind w:start="-142" w:end="3156"/>
            <w:jc w:val="end"/>
            <w:textAlignment w:val="auto"/>
            <w:rPr>
              <w:rFonts w:cs="MS Serif"/>
              <w:sz w:val="20"/>
              <w:highlight w:val="yellow"/>
              <w:lang w:val="bg-BG" w:eastAsia="ar-SA"/>
            </w:rPr>
          </w:pPr>
          <w:r>
            <w:rPr>
              <w:rFonts w:cs="MS Serif"/>
              <w:sz w:val="20"/>
              <w:highlight w:val="yellow"/>
              <w:lang w:val="bg-BG" w:eastAsia="ar-SA"/>
            </w:rPr>
          </w:r>
        </w:p>
      </w:tc>
      <w:tc>
        <w:tcPr>
          <w:tcW w:w="4314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ind w:start="32" w:end="0"/>
            <w:jc w:val="center"/>
            <w:textAlignment w:val="auto"/>
            <w:rPr>
              <w:rFonts w:cs="MS Serif"/>
              <w:b/>
              <w:sz w:val="28"/>
              <w:highlight w:val="yellow"/>
              <w:lang w:val="bg-BG" w:eastAsia="ar-SA"/>
            </w:rPr>
          </w:pPr>
          <w:r>
            <w:rPr>
              <w:rFonts w:cs="MS Serif"/>
              <w:b/>
              <w:color w:val="000000"/>
              <w:sz w:val="22"/>
              <w:highlight w:val="yellow"/>
              <w:lang w:val="bg-BG" w:eastAsia="ar-SA"/>
            </w:rPr>
            <w:t>"БАЛКАНРЕМОНТ ИНЖЕНЕРИНГ" ООД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spacing w:before="120" w:after="0"/>
            <w:jc w:val="center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ПОС 4.4.3</w:t>
          </w:r>
        </w:p>
      </w:tc>
    </w:tr>
    <w:tr>
      <w:trPr>
        <w:trHeight w:val="28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Раздел: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Система за управление на околната среда</w:t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Наименование на документа:</w:t>
          </w:r>
        </w:p>
      </w:tc>
      <w:tc>
        <w:tcPr>
          <w:tcW w:w="5796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Обмен на информация по околна среда, участие и консултиране</w:t>
          </w:r>
        </w:p>
      </w:tc>
    </w:tr>
    <w:tr>
      <w:trPr>
        <w:trHeight w:val="33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 xml:space="preserve">Дата на утвърждаване:  </w:t>
          </w:r>
          <w:r>
            <w:rPr>
              <w:rFonts w:cs="MS Serif"/>
              <w:sz w:val="22"/>
              <w:highlight w:val="yellow"/>
              <w:lang w:val="bg-BG" w:eastAsia="ar-SA"/>
            </w:rPr>
            <w:t>02.05.2018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  <w:t>Версия 01</w:t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  <w:tr>
      <w:trPr>
        <w:trHeight w:val="300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 xml:space="preserve">Дата на влизане в сила: </w:t>
          </w:r>
          <w:r>
            <w:rPr>
              <w:rFonts w:cs="MS Serif"/>
              <w:sz w:val="22"/>
              <w:highlight w:val="yellow"/>
              <w:lang w:val="bg-BG" w:eastAsia="ar-SA"/>
            </w:rPr>
            <w:t>02.05.2018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  <w:tr>
      <w:trPr>
        <w:trHeight w:val="75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ascii="Wingdings" w:hAnsi="Wingdings" w:eastAsia="Wingdings" w:cs="Wingdings"/>
              <w:sz w:val="20"/>
              <w:lang w:val="bg-BG" w:eastAsia="ar-SA"/>
            </w:rPr>
          </w:pPr>
          <w:r>
            <w:rPr>
              <w:rFonts w:eastAsia="Wingdings" w:cs="Wingdings" w:ascii="Wingdings" w:hAnsi="Wingdings"/>
              <w:sz w:val="20"/>
              <w:lang w:val="bg-BG" w:eastAsia="ar-SA"/>
            </w:rPr>
            <w:sym w:font="Wingdings" w:char="f0fe"/>
          </w:r>
        </w:p>
      </w:tc>
    </w:tr>
    <w:tr>
      <w:trPr>
        <w:trHeight w:val="84" w:hRule="atLeast"/>
        <w:cantSplit/>
      </w:trPr>
      <w:tc>
        <w:tcPr>
          <w:tcW w:w="40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  <w:t>Неконтролирано копие</w:t>
          </w:r>
        </w:p>
      </w:tc>
      <w:tc>
        <w:tcPr>
          <w:tcW w:w="4314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both"/>
            <w:textAlignment w:val="auto"/>
            <w:rPr>
              <w:rFonts w:cs="MS Serif"/>
              <w:b/>
              <w:sz w:val="20"/>
              <w:lang w:val="bg-BG" w:eastAsia="ar-SA"/>
            </w:rPr>
          </w:pPr>
          <w:r>
            <w:rPr>
              <w:rFonts w:cs="MS Serif"/>
              <w:b/>
              <w:sz w:val="20"/>
              <w:lang w:val="bg-BG" w:eastAsia="ar-SA"/>
            </w:rPr>
          </w:r>
        </w:p>
      </w:tc>
      <w:tc>
        <w:tcPr>
          <w:tcW w:w="148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overflowPunct w:val="true"/>
            <w:autoSpaceDE w:val="true"/>
            <w:snapToGrid w:val="false"/>
            <w:jc w:val="center"/>
            <w:textAlignment w:val="auto"/>
            <w:rPr>
              <w:rFonts w:cs="MS Serif"/>
              <w:sz w:val="20"/>
              <w:lang w:val="bg-BG" w:eastAsia="ar-SA"/>
            </w:rPr>
          </w:pPr>
          <w:r>
            <w:rPr>
              <w:rFonts w:cs="MS Serif"/>
              <w:sz w:val="20"/>
              <w:lang w:val="bg-BG" w:eastAsia="ar-SA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10"/>
      <w:gridCol w:w="1976"/>
      <w:gridCol w:w="3969"/>
      <w:gridCol w:w="2791"/>
    </w:tblGrid>
    <w:tr>
      <w:trPr>
        <w:trHeight w:val="1140" w:hRule="atLeast"/>
        <w:cantSplit/>
      </w:trPr>
      <w:tc>
        <w:tcPr>
          <w:tcW w:w="3686" w:type="dxa"/>
          <w:gridSpan w:val="2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overflowPunct w:val="true"/>
            <w:jc w:val="center"/>
            <w:textAlignment w:val="auto"/>
            <w:outlineLvl w:val="4"/>
            <w:rPr>
              <w:bCs/>
              <w:szCs w:val="24"/>
              <w:lang w:val="bg-BG"/>
            </w:rPr>
          </w:pPr>
          <w:r>
            <w:rPr>
              <w:szCs w:val="24"/>
            </w:rPr>
            <w:t>"Артпласт" ЕООД</w:t>
          </w:r>
        </w:p>
      </w:tc>
      <w:tc>
        <w:tcPr>
          <w:tcW w:w="3969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tabs>
              <w:tab w:val="clear" w:pos="708"/>
              <w:tab w:val="center" w:pos="4153" w:leader="none"/>
              <w:tab w:val="right" w:pos="8306" w:leader="none"/>
            </w:tabs>
            <w:overflowPunct w:val="true"/>
            <w:spacing w:before="120" w:after="0"/>
            <w:jc w:val="center"/>
            <w:textAlignment w:val="auto"/>
            <w:rPr>
              <w:b/>
              <w:bCs/>
              <w:sz w:val="36"/>
              <w:szCs w:val="36"/>
              <w:lang w:val="bg-BG"/>
            </w:rPr>
          </w:pPr>
          <w:r>
            <w:rPr>
              <w:b/>
              <w:bCs/>
              <w:sz w:val="36"/>
              <w:szCs w:val="36"/>
              <w:lang w:val="en-GB"/>
            </w:rPr>
            <w:t>НАРЪЧНИК</w:t>
          </w:r>
        </w:p>
        <w:p>
          <w:pPr>
            <w:pStyle w:val="Normal"/>
            <w:keepNext w:val="true"/>
            <w:numPr>
              <w:ilvl w:val="0"/>
              <w:numId w:val="0"/>
            </w:numPr>
            <w:overflowPunct w:val="true"/>
            <w:spacing w:before="120" w:after="0"/>
            <w:jc w:val="center"/>
            <w:textAlignment w:val="auto"/>
            <w:outlineLvl w:val="1"/>
            <w:rPr>
              <w:szCs w:val="36"/>
              <w:lang w:val="ru-RU"/>
            </w:rPr>
          </w:pPr>
          <w:r>
            <w:rPr>
              <w:szCs w:val="36"/>
              <w:lang w:val="ru-RU"/>
            </w:rPr>
            <w:t xml:space="preserve">СИСТЕМА ЗА УПРАВЛЕНЕНИЕ НА КАЧЕСТВОТО </w:t>
          </w:r>
        </w:p>
        <w:p>
          <w:pPr>
            <w:pStyle w:val="Normal"/>
            <w:overflowPunct w:val="true"/>
            <w:jc w:val="center"/>
            <w:textAlignment w:val="auto"/>
            <w:rPr>
              <w:sz w:val="32"/>
              <w:lang w:val="en-GB"/>
            </w:rPr>
          </w:pPr>
          <w:r>
            <w:rPr>
              <w:lang w:val="ru-RU"/>
            </w:rPr>
            <w:t xml:space="preserve">ISO 9001:2015 </w:t>
          </w:r>
        </w:p>
      </w:tc>
      <w:tc>
        <w:tcPr>
          <w:tcW w:w="2791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  <w:vAlign w:val="center"/>
        </w:tcPr>
        <w:p>
          <w:pPr>
            <w:pStyle w:val="Normal"/>
            <w:overflowPunct w:val="true"/>
            <w:spacing w:before="0" w:after="120"/>
            <w:jc w:val="center"/>
            <w:textAlignment w:val="auto"/>
            <w:rPr>
              <w:b/>
              <w:sz w:val="20"/>
              <w:szCs w:val="24"/>
              <w:effect w:val="blinkBackground"/>
              <w:lang w:val="bg-BG"/>
            </w:rPr>
          </w:pPr>
          <w:r>
            <w:rPr>
              <w:b/>
              <w:sz w:val="20"/>
              <w:szCs w:val="24"/>
              <w:effect w:val="blinkBackground"/>
              <w:lang w:val="bg-BG"/>
            </w:rPr>
            <w:t xml:space="preserve">НК - Ф - 2 </w:t>
          </w:r>
        </w:p>
        <w:p>
          <w:pPr>
            <w:pStyle w:val="Normal"/>
            <w:overflowPunct w:val="true"/>
            <w:spacing w:before="0" w:after="120"/>
            <w:jc w:val="center"/>
            <w:textAlignment w:val="auto"/>
            <w:rPr>
              <w:b/>
              <w:sz w:val="20"/>
              <w:szCs w:val="24"/>
              <w:effect w:val="blinkBackground"/>
              <w:lang w:val="bg-BG"/>
            </w:rPr>
          </w:pPr>
          <w:r>
            <w:rPr>
              <w:b/>
              <w:sz w:val="20"/>
              <w:szCs w:val="24"/>
              <w:effect w:val="blinkBackground"/>
              <w:lang w:val="bg-BG"/>
            </w:rPr>
            <w:t>Списък на заинтересованите страни</w:t>
          </w:r>
        </w:p>
      </w:tc>
    </w:tr>
    <w:tr>
      <w:trPr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numPr>
              <w:ilvl w:val="0"/>
              <w:numId w:val="0"/>
            </w:numPr>
            <w:overflowPunct w:val="true"/>
            <w:spacing w:before="40" w:after="40"/>
            <w:textAlignment w:val="auto"/>
            <w:outlineLvl w:val="3"/>
            <w:rPr/>
          </w:pPr>
          <w:r>
            <w:rPr>
              <w:bCs/>
              <w:sz w:val="20"/>
              <w:lang w:val="bg-BG"/>
            </w:rPr>
            <w:t>Издание</w:t>
          </w:r>
          <w:r>
            <w:rPr>
              <w:sz w:val="20"/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numPr>
              <w:ilvl w:val="0"/>
              <w:numId w:val="0"/>
            </w:numPr>
            <w:overflowPunct w:val="true"/>
            <w:spacing w:before="40" w:after="40"/>
            <w:jc w:val="center"/>
            <w:textAlignment w:val="auto"/>
            <w:outlineLvl w:val="3"/>
            <w:rPr>
              <w:bCs/>
              <w:i/>
              <w:sz w:val="28"/>
              <w:lang w:val="bg-BG"/>
            </w:rPr>
          </w:pPr>
          <w:r>
            <w:rPr>
              <w:bCs/>
              <w:i/>
              <w:sz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napToGrid w:val="false"/>
            <w:jc w:val="center"/>
            <w:textAlignment w:val="auto"/>
            <w:rPr>
              <w:bCs/>
              <w:i/>
              <w:sz w:val="36"/>
              <w:szCs w:val="36"/>
              <w:lang w:val="bg-BG"/>
            </w:rPr>
          </w:pPr>
          <w:r>
            <w:rPr>
              <w:bCs/>
              <w:i/>
              <w:sz w:val="36"/>
              <w:szCs w:val="36"/>
              <w:lang w:val="bg-BG"/>
            </w:rPr>
          </w:r>
        </w:p>
      </w:tc>
      <w:tc>
        <w:tcPr>
          <w:tcW w:w="2791" w:type="dxa"/>
          <w:vMerge w:val="restart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pacing w:before="480" w:after="0"/>
            <w:jc w:val="center"/>
            <w:textAlignment w:val="auto"/>
            <w:rPr>
              <w:b/>
              <w:szCs w:val="24"/>
              <w:lang w:val="bg-BG"/>
            </w:rPr>
          </w:pPr>
          <w:r>
            <w:rPr>
              <w:b/>
              <w:szCs w:val="24"/>
            </w:rPr>
            <w:t>11</w:t>
          </w:r>
          <w:r>
            <w:rPr>
              <w:b/>
              <w:szCs w:val="24"/>
              <w:lang w:val="bg-BG"/>
            </w:rPr>
            <w:t>.0</w:t>
          </w:r>
          <w:r>
            <w:rPr>
              <w:b/>
              <w:szCs w:val="24"/>
            </w:rPr>
            <w:t>5</w:t>
          </w:r>
          <w:r>
            <w:rPr>
              <w:b/>
              <w:szCs w:val="24"/>
              <w:lang w:val="bg-BG"/>
            </w:rPr>
            <w:t>.2020г.</w:t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pacing w:before="40" w:after="40"/>
            <w:textAlignment w:val="auto"/>
            <w:rPr>
              <w:sz w:val="20"/>
              <w:lang w:val="bg-BG"/>
            </w:rPr>
          </w:pPr>
          <w:r>
            <w:rPr>
              <w:sz w:val="20"/>
              <w:lang w:val="bg-BG"/>
            </w:rPr>
            <w:t>Версия: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pacing w:before="40" w:after="40"/>
            <w:jc w:val="center"/>
            <w:textAlignment w:val="auto"/>
            <w:rPr>
              <w:i/>
              <w:sz w:val="28"/>
              <w:szCs w:val="28"/>
              <w:lang w:val="bg-BG"/>
            </w:rPr>
          </w:pPr>
          <w:r>
            <w:rPr>
              <w:i/>
              <w:sz w:val="28"/>
              <w:szCs w:val="28"/>
              <w:lang w:val="bg-BG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napToGrid w:val="false"/>
            <w:spacing w:before="40" w:after="40"/>
            <w:jc w:val="center"/>
            <w:textAlignment w:val="auto"/>
            <w:rPr>
              <w:b/>
              <w:bCs/>
              <w:i/>
              <w:sz w:val="20"/>
              <w:szCs w:val="28"/>
              <w:lang w:val="bg-BG"/>
            </w:rPr>
          </w:pPr>
          <w:r>
            <w:rPr>
              <w:b/>
              <w:bCs/>
              <w:i/>
              <w:sz w:val="20"/>
              <w:szCs w:val="28"/>
              <w:lang w:val="bg-BG"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napToGrid w:val="false"/>
            <w:spacing w:before="40" w:after="40"/>
            <w:textAlignment w:val="auto"/>
            <w:rPr>
              <w:b/>
              <w:bCs/>
              <w:sz w:val="20"/>
              <w:lang w:val="bg-BG"/>
            </w:rPr>
          </w:pPr>
          <w:r>
            <w:rPr>
              <w:b/>
              <w:bCs/>
              <w:sz w:val="20"/>
              <w:lang w:val="bg-BG"/>
            </w:rPr>
          </w:r>
        </w:p>
      </w:tc>
    </w:tr>
    <w:tr>
      <w:trPr>
        <w:trHeight w:val="45" w:hRule="atLeast"/>
        <w:cantSplit/>
      </w:trPr>
      <w:tc>
        <w:tcPr>
          <w:tcW w:w="1710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pacing w:before="40" w:after="40"/>
            <w:textAlignment w:val="auto"/>
            <w:rPr/>
          </w:pPr>
          <w:r>
            <w:rPr>
              <w:sz w:val="20"/>
              <w:lang w:val="en-GB"/>
            </w:rPr>
            <w:t>Страница</w:t>
          </w:r>
          <w:r>
            <w:rPr>
              <w:sz w:val="20"/>
              <w:lang w:val="bg-BG"/>
            </w:rPr>
            <w:t>:</w:t>
          </w:r>
        </w:p>
      </w:tc>
      <w:tc>
        <w:tcPr>
          <w:tcW w:w="1976" w:type="dxa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pacing w:before="40" w:after="40"/>
            <w:jc w:val="center"/>
            <w:textAlignment w:val="auto"/>
            <w:rPr>
              <w:b/>
              <w:iCs/>
              <w:sz w:val="20"/>
            </w:rPr>
          </w:pPr>
          <w:r>
            <w:rPr>
              <w:b/>
              <w:iCs/>
              <w:sz w:val="20"/>
            </w:rPr>
            <w:t>1</w:t>
          </w:r>
        </w:p>
      </w:tc>
      <w:tc>
        <w:tcPr>
          <w:tcW w:w="3969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napToGrid w:val="false"/>
            <w:spacing w:before="40" w:after="40"/>
            <w:jc w:val="center"/>
            <w:textAlignment w:val="auto"/>
            <w:rPr>
              <w:b/>
              <w:bCs/>
              <w:iCs/>
              <w:sz w:val="20"/>
            </w:rPr>
          </w:pPr>
          <w:r>
            <w:rPr>
              <w:b/>
              <w:bCs/>
              <w:iCs/>
              <w:sz w:val="20"/>
            </w:rPr>
          </w:r>
        </w:p>
      </w:tc>
      <w:tc>
        <w:tcPr>
          <w:tcW w:w="2791" w:type="dxa"/>
          <w:vMerge w:val="continue"/>
          <w:tcBorders>
            <w:top w:val="thickThinLargeGap" w:sz="6" w:space="0" w:color="C0C0C0"/>
            <w:start w:val="thickThinLargeGap" w:sz="6" w:space="0" w:color="C0C0C0"/>
            <w:bottom w:val="thickThinLargeGap" w:sz="6" w:space="0" w:color="C0C0C0"/>
            <w:end w:val="thickThinLargeGap" w:sz="6" w:space="0" w:color="C0C0C0"/>
          </w:tcBorders>
        </w:tcPr>
        <w:p>
          <w:pPr>
            <w:pStyle w:val="Normal"/>
            <w:overflowPunct w:val="true"/>
            <w:snapToGrid w:val="false"/>
            <w:spacing w:before="40" w:after="40"/>
            <w:textAlignment w:val="auto"/>
            <w:rPr>
              <w:b/>
              <w:bCs/>
              <w:sz w:val="20"/>
              <w:lang w:val="bg-BG"/>
            </w:rPr>
          </w:pPr>
          <w:r>
            <w:rPr>
              <w:b/>
              <w:bCs/>
              <w:sz w:val="20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158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bullet"/>
      <w:lvlText w:val=""/>
      <w:lvlJc w:val="start"/>
      <w:pPr>
        <w:tabs>
          <w:tab w:val="num" w:pos="1324"/>
        </w:tabs>
        <w:ind w:start="0" w:firstLine="964"/>
      </w:pPr>
      <w:rPr>
        <w:rFonts w:ascii="Monotype Sorts" w:hAnsi="Monotype Sorts" w:cs="Monotype Sorts" w:hint="default"/>
        <w:b w:val="false"/>
        <w:i w:val="false"/>
        <w:sz w:val="20"/>
      </w:rPr>
    </w:lvl>
    <w:lvl w:ilvl="1">
      <w:start w:val="1"/>
      <w:numFmt w:val="bullet"/>
      <w:lvlText w:val=""/>
      <w:lvlJc w:val="start"/>
      <w:pPr>
        <w:tabs>
          <w:tab w:val="num" w:pos="1324"/>
        </w:tabs>
        <w:ind w:start="0" w:firstLine="964"/>
      </w:pPr>
      <w:rPr>
        <w:rFonts w:ascii="Monotype Sorts" w:hAnsi="Monotype Sorts" w:cs="Monotype Sorts" w:hint="default"/>
        <w:b w:val="false"/>
        <w:i w:val="false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432" w:leader="none"/>
      </w:tabs>
      <w:jc w:val="center"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576" w:leader="none"/>
      </w:tabs>
      <w:jc w:val="end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720" w:leader="none"/>
      </w:tabs>
      <w:jc w:val="center"/>
      <w:outlineLvl w:val="2"/>
    </w:pPr>
    <w:rPr>
      <w:rFonts w:ascii="Arial" w:hAnsi="Arial" w:cs="Arial"/>
      <w:b/>
      <w:i/>
      <w:color w:val="000000"/>
      <w:sz w:val="32"/>
      <w:lang w:val="en-A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864" w:leader="none"/>
      </w:tabs>
      <w:jc w:val="center"/>
      <w:outlineLvl w:val="3"/>
    </w:pPr>
    <w:rPr>
      <w:sz w:val="20"/>
      <w:u w:val="single"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08" w:leader="none"/>
      </w:tabs>
      <w:jc w:val="center"/>
      <w:outlineLvl w:val="4"/>
    </w:pPr>
    <w:rPr>
      <w:b/>
      <w:sz w:val="20"/>
      <w:lang w:val="bg-BG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08"/>
        <w:tab w:val="left" w:pos="1152" w:leader="none"/>
      </w:tabs>
      <w:jc w:val="center"/>
      <w:outlineLvl w:val="5"/>
    </w:pPr>
    <w:rPr>
      <w:b/>
      <w:sz w:val="30"/>
      <w:lang w:val="bg-BG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708"/>
        <w:tab w:val="left" w:pos="1296" w:leader="none"/>
      </w:tabs>
      <w:jc w:val="center"/>
      <w:outlineLvl w:val="6"/>
    </w:pPr>
    <w:rPr>
      <w:b/>
      <w:sz w:val="28"/>
      <w:lang w:val="bg-BG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08"/>
        <w:tab w:val="left" w:pos="1440" w:leader="none"/>
      </w:tabs>
      <w:outlineLvl w:val="7"/>
    </w:pPr>
    <w:rPr>
      <w:b/>
      <w:sz w:val="20"/>
      <w:lang w:val="bg-BG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08"/>
        <w:tab w:val="left" w:pos="1584" w:leader="none"/>
      </w:tabs>
      <w:jc w:val="center"/>
      <w:outlineLvl w:val="8"/>
    </w:pPr>
    <w:rPr>
      <w:sz w:val="32"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sz w:val="24"/>
      <w:szCs w:val="24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Monotype Sorts;Symbol" w:hAnsi="Monotype Sorts;Symbol" w:cs="Monotype Sorts;Symbol"/>
      <w:b w:val="false"/>
      <w:i w:val="false"/>
      <w:sz w:val="20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sz w:val="20"/>
      <w:szCs w:val="2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character" w:styleId="Style6">
    <w:name w:val="Горен колонтитул Знак"/>
    <w:qFormat/>
    <w:rPr>
      <w:lang w:val="en-AU" w:bidi="ar-SA"/>
    </w:rPr>
  </w:style>
  <w:style w:type="character" w:styleId="Style7">
    <w:name w:val="Основен текст Знак"/>
    <w:qFormat/>
    <w:rPr>
      <w:sz w:val="24"/>
      <w:lang w:bidi="ar-SA"/>
    </w:rPr>
  </w:style>
  <w:style w:type="character" w:styleId="Style8">
    <w:name w:val="Изнесен текст Знак"/>
    <w:qFormat/>
    <w:rPr>
      <w:rFonts w:ascii="Segoe UI" w:hAnsi="Segoe UI" w:cs="Segoe UI"/>
      <w:sz w:val="18"/>
      <w:szCs w:val="18"/>
    </w:rPr>
  </w:style>
  <w:style w:type="paragraph" w:styleId="Style9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lang w:val="en-AU"/>
    </w:rPr>
  </w:style>
  <w:style w:type="paragraph" w:styleId="3">
    <w:name w:val="Основен текст 3"/>
    <w:basedOn w:val="Normal"/>
    <w:qFormat/>
    <w:pPr>
      <w:jc w:val="both"/>
    </w:pPr>
    <w:rPr>
      <w:i/>
      <w:lang w:val="bg-BG"/>
    </w:rPr>
  </w:style>
  <w:style w:type="paragraph" w:styleId="BodyTextIndent">
    <w:name w:val="Body Text Indent"/>
    <w:basedOn w:val="Normal"/>
    <w:pPr>
      <w:overflowPunct w:val="true"/>
      <w:autoSpaceDE w:val="true"/>
      <w:jc w:val="both"/>
      <w:textAlignment w:val="auto"/>
    </w:pPr>
    <w:rPr>
      <w:i/>
      <w:lang w:val="bg-BG"/>
    </w:rPr>
  </w:style>
  <w:style w:type="paragraph" w:styleId="Style12">
    <w:name w:val="Блоков текст"/>
    <w:basedOn w:val="Normal"/>
    <w:qFormat/>
    <w:pPr>
      <w:tabs>
        <w:tab w:val="clear" w:pos="708"/>
        <w:tab w:val="left" w:pos="1276" w:leader="none"/>
      </w:tabs>
      <w:ind w:hanging="0" w:start="-284" w:end="474"/>
      <w:jc w:val="both"/>
    </w:pPr>
    <w:rPr>
      <w:lang w:val="bg-BG"/>
    </w:rPr>
  </w:style>
  <w:style w:type="paragraph" w:styleId="TC">
    <w:name w:val="TC"/>
    <w:qFormat/>
    <w:pPr>
      <w:keepNext w:val="true"/>
      <w:keepLines/>
      <w:widowControl/>
      <w:bidi w:val="0"/>
      <w:jc w:val="center"/>
    </w:pPr>
    <w:rPr>
      <w:rFonts w:ascii="CourierCyr;Courier New" w:hAnsi="CourierCyr;Courier New" w:eastAsia="Times New Roman" w:cs="CourierCyr;Courier New"/>
      <w:color w:val="auto"/>
      <w:sz w:val="24"/>
      <w:szCs w:val="20"/>
      <w:lang w:val="en-GB" w:bidi="ar-SA" w:eastAsia="zh-CN"/>
    </w:rPr>
  </w:style>
  <w:style w:type="paragraph" w:styleId="Style13">
    <w:name w:val="Нормален (уеб)"/>
    <w:basedOn w:val="Normal"/>
    <w:qFormat/>
    <w:pPr>
      <w:overflowPunct w:val="true"/>
      <w:autoSpaceDE w:val="true"/>
      <w:spacing w:before="280" w:after="280"/>
      <w:textAlignment w:val="auto"/>
    </w:pPr>
    <w:rPr>
      <w:szCs w:val="24"/>
      <w:lang w:val="bg-BG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vto1">
    <w:name w:val="Avto1"/>
    <w:basedOn w:val="Normal"/>
    <w:qFormat/>
    <w:pPr>
      <w:numPr>
        <w:ilvl w:val="0"/>
        <w:numId w:val="2"/>
      </w:numPr>
      <w:overflowPunct w:val="true"/>
      <w:autoSpaceDE w:val="true"/>
      <w:spacing w:before="120" w:after="0"/>
      <w:jc w:val="both"/>
      <w:textAlignment w:val="auto"/>
    </w:pPr>
    <w:rPr>
      <w:lang w:val="bg-BG"/>
    </w:rPr>
  </w:style>
  <w:style w:type="paragraph" w:styleId="Style14">
    <w:name w:val="Изнесен текст"/>
    <w:basedOn w:val="Normal"/>
    <w:qFormat/>
    <w:pPr/>
    <w:rPr>
      <w:rFonts w:ascii="Segoe UI" w:hAnsi="Segoe UI" w:cs="Segoe UI"/>
      <w:sz w:val="18"/>
      <w:szCs w:val="18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2019-11-24T01:43:00Z</dcterms:created>
  <dc:creator>user</dc:creator>
  <dc:description/>
  <cp:keywords/>
  <dc:language>bg-BG</dc:language>
  <cp:lastModifiedBy>lenovo</cp:lastModifiedBy>
  <cp:lastPrinted>2020-01-21T09:27:00Z</cp:lastPrinted>
  <dcterms:modified xsi:type="dcterms:W3CDTF">2020-07-28T13:49:00Z</dcterms:modified>
  <cp:revision>17</cp:revision>
  <dc:subject/>
  <dc:title>ИНТЕГРИРАНА СИСТЕМА ЗА УПРАВЛЕНИЕ</dc:title>
</cp:coreProperties>
</file>