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4320"/>
          <w:tab w:val="clear" w:pos="8640"/>
        </w:tabs>
        <w:ind w:firstLine="720" w:end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ПОЛИТИКА </w:t>
      </w:r>
    </w:p>
    <w:p>
      <w:pPr>
        <w:pStyle w:val="Header"/>
        <w:tabs>
          <w:tab w:val="clear" w:pos="4320"/>
          <w:tab w:val="clear" w:pos="8640"/>
        </w:tabs>
        <w:ind w:firstLine="720" w:end="0"/>
        <w:jc w:val="center"/>
        <w:rPr>
          <w:b/>
          <w:sz w:val="24"/>
          <w:szCs w:val="24"/>
          <w:lang w:val="bg-BG"/>
        </w:rPr>
      </w:pPr>
      <w:r>
        <w:rPr>
          <w:b/>
          <w:sz w:val="24"/>
          <w:szCs w:val="24"/>
        </w:rPr>
        <w:t>ПО КАЧЕСТВОТО</w:t>
      </w:r>
      <w:r>
        <w:rPr>
          <w:b/>
          <w:sz w:val="24"/>
          <w:szCs w:val="24"/>
          <w:lang w:val="bg-BG"/>
        </w:rPr>
        <w:t xml:space="preserve"> </w:t>
      </w:r>
    </w:p>
    <w:p>
      <w:pPr>
        <w:pStyle w:val="Header"/>
        <w:tabs>
          <w:tab w:val="clear" w:pos="4320"/>
          <w:tab w:val="clear" w:pos="8640"/>
        </w:tabs>
        <w:ind w:start="360" w:end="0"/>
        <w:jc w:val="both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tabs>
          <w:tab w:val="clear" w:pos="4320"/>
          <w:tab w:val="clear" w:pos="8640"/>
        </w:tabs>
        <w:ind w:firstLine="709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Висшето Ръководство на Организацията ясно декларира своята Политика по качеството, която да бъде поддържана и прилагана от целия персонал на фирма </w:t>
      </w:r>
      <w:r>
        <w:rPr>
          <w:b/>
          <w:color w:val="000000"/>
          <w:sz w:val="24"/>
          <w:szCs w:val="24"/>
          <w:lang w:val="bg-BG"/>
        </w:rPr>
        <w:t>ДЕОН-БГ ЕООД</w:t>
      </w:r>
    </w:p>
    <w:p>
      <w:pPr>
        <w:pStyle w:val="Header"/>
        <w:tabs>
          <w:tab w:val="clear" w:pos="4320"/>
          <w:tab w:val="clear" w:pos="8640"/>
        </w:tabs>
        <w:jc w:val="both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rPr>
          <w:sz w:val="24"/>
          <w:szCs w:val="24"/>
        </w:rPr>
      </w:pPr>
      <w:r>
        <w:rPr>
          <w:sz w:val="24"/>
          <w:szCs w:val="24"/>
        </w:rPr>
        <w:t>Задоволяване нуждите на клиентите в областта на</w:t>
      </w:r>
      <w:r>
        <w:rPr>
          <w:sz w:val="24"/>
          <w:szCs w:val="24"/>
          <w:lang w:val="bg-BG"/>
        </w:rPr>
        <w:t>:</w:t>
      </w:r>
    </w:p>
    <w:p>
      <w:pPr>
        <w:pStyle w:val="Header"/>
        <w:tabs>
          <w:tab w:val="clear" w:pos="4320"/>
          <w:tab w:val="clear" w:pos="8640"/>
        </w:tabs>
        <w:jc w:val="center"/>
        <w:rPr>
          <w:b/>
          <w:i/>
          <w:sz w:val="24"/>
          <w:szCs w:val="24"/>
          <w:lang w:val="bg-BG"/>
        </w:rPr>
      </w:pPr>
      <w:r>
        <w:rPr>
          <w:b/>
          <w:i/>
          <w:sz w:val="24"/>
          <w:szCs w:val="24"/>
          <w:lang w:val="bg-BG"/>
        </w:rPr>
      </w:r>
    </w:p>
    <w:p>
      <w:pPr>
        <w:pStyle w:val="Header"/>
        <w:tabs>
          <w:tab w:val="clear" w:pos="4320"/>
          <w:tab w:val="clear" w:pos="8640"/>
        </w:tabs>
        <w:jc w:val="center"/>
        <w:rPr>
          <w:b/>
          <w:i/>
          <w:sz w:val="24"/>
          <w:szCs w:val="24"/>
          <w:lang w:val="bg-BG"/>
        </w:rPr>
      </w:pPr>
      <w:r>
        <w:rPr>
          <w:b/>
          <w:sz w:val="24"/>
          <w:szCs w:val="24"/>
          <w:lang w:val="ru-RU"/>
        </w:rPr>
        <w:t>Печат и обработващи операции върху текстил, производство и търговия на текстил и текстилни изделия. Щампиране, обагряне, избелване, боядисване и конфекциониране на текстилни изделия и продукти. Внос, износ и търговия със синтетични и щапелни влакна.</w:t>
      </w:r>
      <w:r>
        <w:rPr>
          <w:b/>
          <w:i/>
          <w:sz w:val="24"/>
          <w:szCs w:val="24"/>
          <w:lang w:val="bg-BG"/>
        </w:rPr>
        <w:tab/>
      </w:r>
    </w:p>
    <w:p>
      <w:pPr>
        <w:pStyle w:val="Header"/>
        <w:tabs>
          <w:tab w:val="clear" w:pos="4320"/>
          <w:tab w:val="clear" w:pos="8640"/>
        </w:tabs>
        <w:jc w:val="both"/>
        <w:rPr>
          <w:b/>
          <w:i/>
          <w:sz w:val="24"/>
          <w:szCs w:val="24"/>
          <w:lang w:val="bg-BG"/>
        </w:rPr>
      </w:pPr>
      <w:r>
        <w:rPr>
          <w:b/>
          <w:i/>
          <w:sz w:val="24"/>
          <w:szCs w:val="24"/>
          <w:lang w:val="bg-BG"/>
        </w:rPr>
      </w:r>
    </w:p>
    <w:p>
      <w:pPr>
        <w:pStyle w:val="Header"/>
        <w:tabs>
          <w:tab w:val="clear" w:pos="4320"/>
          <w:tab w:val="clear" w:pos="8640"/>
        </w:tabs>
        <w:ind w:firstLine="720" w:end="0"/>
        <w:jc w:val="center"/>
        <w:rPr>
          <w:b/>
          <w:sz w:val="24"/>
          <w:szCs w:val="24"/>
          <w:lang w:val="bg-BG"/>
        </w:rPr>
      </w:pPr>
      <w:r>
        <w:rPr>
          <w:b/>
          <w:sz w:val="24"/>
          <w:szCs w:val="24"/>
        </w:rPr>
        <w:t>ЦЕЛИ ПО КАЧЕСТВОТО</w:t>
      </w:r>
      <w:r>
        <w:rPr>
          <w:b/>
          <w:sz w:val="24"/>
          <w:szCs w:val="24"/>
          <w:lang w:val="bg-BG"/>
        </w:rPr>
        <w:t xml:space="preserve"> </w:t>
      </w:r>
    </w:p>
    <w:p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ind w:firstLine="360" w:start="360" w:end="0"/>
        <w:jc w:val="both"/>
        <w:rPr>
          <w:sz w:val="24"/>
          <w:szCs w:val="24"/>
        </w:rPr>
      </w:pPr>
      <w:r>
        <w:rPr>
          <w:sz w:val="24"/>
          <w:szCs w:val="24"/>
        </w:rPr>
        <w:t>Във връзка с обявената Политика по качеството, Висшето Ръководство определя следните Цели по качество:</w:t>
      </w:r>
    </w:p>
    <w:p>
      <w:pPr>
        <w:pStyle w:val="Header"/>
        <w:tabs>
          <w:tab w:val="clear" w:pos="4320"/>
          <w:tab w:val="clear" w:pos="8640"/>
        </w:tabs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suppressAutoHyphens w:val="true"/>
        <w:jc w:val="both"/>
        <w:rPr>
          <w:i/>
          <w:sz w:val="24"/>
          <w:szCs w:val="24"/>
        </w:rPr>
      </w:pPr>
      <w:r>
        <w:rPr>
          <w:i/>
          <w:sz w:val="24"/>
          <w:szCs w:val="24"/>
          <w:lang w:val="bg-BG"/>
        </w:rPr>
        <w:t>П</w:t>
      </w:r>
      <w:r>
        <w:rPr>
          <w:i/>
          <w:sz w:val="24"/>
          <w:szCs w:val="24"/>
        </w:rPr>
        <w:t>овишаване квалификацията на персонала;</w:t>
      </w:r>
      <w:r>
        <w:rPr>
          <w:i/>
          <w:sz w:val="24"/>
          <w:szCs w:val="24"/>
          <w:lang w:val="bg-BG"/>
        </w:rPr>
        <w:t xml:space="preserve"> </w:t>
      </w:r>
    </w:p>
    <w:p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suppressAutoHyphens w:val="true"/>
        <w:jc w:val="both"/>
        <w:rPr>
          <w:i/>
          <w:sz w:val="24"/>
          <w:szCs w:val="24"/>
        </w:rPr>
      </w:pPr>
      <w:r>
        <w:rPr>
          <w:i/>
          <w:sz w:val="24"/>
          <w:szCs w:val="24"/>
          <w:lang w:val="bg-BG"/>
        </w:rPr>
        <w:t>К</w:t>
      </w:r>
      <w:r>
        <w:rPr>
          <w:i/>
          <w:sz w:val="24"/>
          <w:szCs w:val="24"/>
        </w:rPr>
        <w:t>ачествена, бърза и ефективна дейност, водеща до задоволяване изискванията на клиентите;</w:t>
      </w:r>
    </w:p>
    <w:p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suppressAutoHyphens w:val="true"/>
        <w:jc w:val="both"/>
        <w:rPr>
          <w:i/>
          <w:sz w:val="24"/>
          <w:szCs w:val="24"/>
        </w:rPr>
      </w:pPr>
      <w:r>
        <w:rPr>
          <w:i/>
          <w:sz w:val="24"/>
          <w:szCs w:val="24"/>
          <w:lang w:val="bg-BG"/>
        </w:rPr>
        <w:t>Р</w:t>
      </w:r>
      <w:r>
        <w:rPr>
          <w:i/>
          <w:sz w:val="24"/>
          <w:szCs w:val="24"/>
        </w:rPr>
        <w:t>азширяване на пазара;</w:t>
      </w:r>
    </w:p>
    <w:p>
      <w:pPr>
        <w:pStyle w:val="Header"/>
        <w:numPr>
          <w:ilvl w:val="0"/>
          <w:numId w:val="2"/>
        </w:numPr>
        <w:tabs>
          <w:tab w:val="clear" w:pos="4320"/>
          <w:tab w:val="clear" w:pos="8640"/>
          <w:tab w:val="center" w:pos="4153" w:leader="none"/>
          <w:tab w:val="right" w:pos="8306" w:leader="none"/>
        </w:tabs>
        <w:suppressAutoHyphens w:val="true"/>
        <w:jc w:val="both"/>
        <w:rPr>
          <w:i/>
          <w:sz w:val="24"/>
          <w:szCs w:val="24"/>
          <w:lang w:val="bg-BG"/>
        </w:rPr>
      </w:pPr>
      <w:r>
        <w:rPr>
          <w:i/>
          <w:sz w:val="24"/>
          <w:szCs w:val="24"/>
          <w:lang w:val="bg-BG"/>
        </w:rPr>
        <w:t xml:space="preserve">Гарантиране на качеството и  безопасността на хранителните продукти чрез проследимост и непрекъснато подобряване. </w:t>
      </w:r>
    </w:p>
    <w:p>
      <w:pPr>
        <w:pStyle w:val="Header"/>
        <w:numPr>
          <w:ilvl w:val="0"/>
          <w:numId w:val="2"/>
        </w:numPr>
        <w:tabs>
          <w:tab w:val="clear" w:pos="4320"/>
          <w:tab w:val="clear" w:pos="8640"/>
          <w:tab w:val="center" w:pos="4153" w:leader="none"/>
          <w:tab w:val="right" w:pos="8306" w:leader="none"/>
        </w:tabs>
        <w:suppressAutoHyphens w:val="true"/>
        <w:jc w:val="both"/>
        <w:rPr>
          <w:i/>
          <w:sz w:val="24"/>
          <w:szCs w:val="24"/>
          <w:lang w:val="bg-BG"/>
        </w:rPr>
      </w:pPr>
      <w:r>
        <w:rPr>
          <w:i/>
          <w:sz w:val="24"/>
          <w:szCs w:val="24"/>
          <w:lang w:val="bg-BG"/>
        </w:rPr>
        <w:t xml:space="preserve">Намаляване на брака с 10% </w:t>
      </w:r>
    </w:p>
    <w:p>
      <w:pPr>
        <w:pStyle w:val="Header"/>
        <w:numPr>
          <w:ilvl w:val="0"/>
          <w:numId w:val="2"/>
        </w:numPr>
        <w:tabs>
          <w:tab w:val="clear" w:pos="4320"/>
          <w:tab w:val="clear" w:pos="8640"/>
          <w:tab w:val="center" w:pos="4153" w:leader="none"/>
          <w:tab w:val="right" w:pos="8306" w:leader="none"/>
        </w:tabs>
        <w:suppressAutoHyphens w:val="true"/>
        <w:jc w:val="both"/>
        <w:rPr>
          <w:i/>
          <w:sz w:val="24"/>
          <w:szCs w:val="24"/>
          <w:lang w:val="bg-BG"/>
        </w:rPr>
      </w:pPr>
      <w:r>
        <w:rPr>
          <w:i/>
          <w:sz w:val="24"/>
          <w:szCs w:val="24"/>
          <w:lang w:val="bg-BG"/>
        </w:rPr>
        <w:t xml:space="preserve">Повишаване удовлетвореността на клиентите и повишаване на доверието към компанията. </w:t>
      </w:r>
    </w:p>
    <w:p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suppressAutoHyphens w:val="true"/>
        <w:jc w:val="both"/>
        <w:rPr>
          <w:i/>
          <w:sz w:val="24"/>
          <w:szCs w:val="24"/>
        </w:rPr>
      </w:pPr>
      <w:r>
        <w:rPr>
          <w:i/>
          <w:sz w:val="24"/>
          <w:szCs w:val="24"/>
          <w:lang w:val="bg-BG"/>
        </w:rPr>
        <w:t>О</w:t>
      </w:r>
      <w:r>
        <w:rPr>
          <w:i/>
          <w:sz w:val="24"/>
          <w:szCs w:val="24"/>
        </w:rPr>
        <w:t xml:space="preserve">сигуряване на ресурси за дейността на </w:t>
      </w:r>
      <w:r>
        <w:rPr>
          <w:b/>
          <w:i/>
          <w:color w:val="000000"/>
          <w:sz w:val="24"/>
          <w:szCs w:val="24"/>
        </w:rPr>
        <w:t>Дружеството</w:t>
      </w:r>
      <w:r>
        <w:rPr>
          <w:b/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>в това число човешки, материални и др.</w:t>
      </w:r>
    </w:p>
    <w:p>
      <w:pPr>
        <w:pStyle w:val="Header"/>
        <w:numPr>
          <w:ilvl w:val="0"/>
          <w:numId w:val="2"/>
        </w:numPr>
        <w:tabs>
          <w:tab w:val="clear" w:pos="4320"/>
          <w:tab w:val="clear" w:pos="8640"/>
          <w:tab w:val="center" w:pos="4153" w:leader="none"/>
          <w:tab w:val="right" w:pos="8306" w:leader="none"/>
        </w:tabs>
        <w:suppressAutoHyphens w:val="true"/>
        <w:jc w:val="both"/>
        <w:rPr>
          <w:i/>
          <w:sz w:val="24"/>
          <w:szCs w:val="24"/>
        </w:rPr>
      </w:pPr>
      <w:r>
        <w:rPr>
          <w:i/>
          <w:sz w:val="24"/>
          <w:szCs w:val="24"/>
          <w:lang w:val="bg-BG"/>
        </w:rPr>
        <w:t>Съответствие,</w:t>
      </w:r>
      <w:r>
        <w:rPr>
          <w:i/>
          <w:sz w:val="24"/>
          <w:szCs w:val="24"/>
        </w:rPr>
        <w:t xml:space="preserve"> както на законовите и нормативните изисквания, така и на съвместно договорените изисквания на клиентите за </w:t>
      </w:r>
      <w:r>
        <w:rPr>
          <w:i/>
          <w:sz w:val="24"/>
          <w:szCs w:val="24"/>
          <w:lang w:val="bg-BG"/>
        </w:rPr>
        <w:t xml:space="preserve">качеството и </w:t>
      </w:r>
      <w:r>
        <w:rPr>
          <w:i/>
          <w:sz w:val="24"/>
          <w:szCs w:val="24"/>
        </w:rPr>
        <w:t xml:space="preserve">безопасност на </w:t>
      </w:r>
      <w:r>
        <w:rPr>
          <w:i/>
          <w:sz w:val="24"/>
          <w:szCs w:val="24"/>
          <w:lang w:val="bg-BG"/>
        </w:rPr>
        <w:t>хранителните продукти</w:t>
      </w:r>
      <w:r>
        <w:rPr>
          <w:i/>
          <w:sz w:val="24"/>
          <w:szCs w:val="24"/>
        </w:rPr>
        <w:t>;</w:t>
      </w:r>
    </w:p>
    <w:p>
      <w:pPr>
        <w:pStyle w:val="Header"/>
        <w:tabs>
          <w:tab w:val="clear" w:pos="4320"/>
          <w:tab w:val="clear" w:pos="8640"/>
          <w:tab w:val="center" w:pos="4153" w:leader="none"/>
          <w:tab w:val="right" w:pos="8306" w:leader="none"/>
        </w:tabs>
        <w:suppressAutoHyphens w:val="true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Header"/>
        <w:tabs>
          <w:tab w:val="clear" w:pos="4320"/>
          <w:tab w:val="clear" w:pos="8640"/>
          <w:tab w:val="center" w:pos="4153" w:leader="none"/>
          <w:tab w:val="right" w:pos="8306" w:leader="none"/>
        </w:tabs>
        <w:suppressAutoHyphens w:val="true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Header"/>
        <w:jc w:val="center"/>
        <w:rPr/>
      </w:pPr>
      <w:r>
        <w:rPr>
          <w:b/>
          <w:i/>
          <w:sz w:val="24"/>
          <w:szCs w:val="24"/>
        </w:rPr>
        <w:t xml:space="preserve">Аз, </w:t>
      </w:r>
      <w:r>
        <w:rPr>
          <w:b/>
          <w:i/>
          <w:sz w:val="24"/>
          <w:szCs w:val="24"/>
          <w:lang w:val="bg-BG"/>
        </w:rPr>
        <w:t>Тодор Тодоров,</w:t>
      </w:r>
      <w:r>
        <w:rPr>
          <w:b/>
          <w:i/>
          <w:sz w:val="24"/>
          <w:szCs w:val="24"/>
        </w:rPr>
        <w:t xml:space="preserve"> в качеството си на Управител на фирма</w:t>
      </w:r>
      <w:r>
        <w:rPr/>
        <w:t xml:space="preserve"> </w:t>
      </w:r>
      <w:r>
        <w:rPr>
          <w:b/>
          <w:i/>
          <w:sz w:val="24"/>
          <w:szCs w:val="24"/>
        </w:rPr>
        <w:t>ДЕОН-БГ ЕООД, декларирам личното си участие и отговорност за прилагането и постоянното подобрение на декларираната Политика по качеството.</w:t>
      </w:r>
      <w:r>
        <w:rPr>
          <w:sz w:val="24"/>
          <w:szCs w:val="24"/>
          <w:lang w:val="en-GB" w:eastAsia="en-US"/>
        </w:rPr>
        <w:t xml:space="preserve"> </w:t>
      </w:r>
    </w:p>
    <w:p>
      <w:pPr>
        <w:pStyle w:val="Header"/>
        <w:tabs>
          <w:tab w:val="clear" w:pos="4320"/>
          <w:tab w:val="clear" w:pos="8640"/>
        </w:tabs>
        <w:ind w:firstLine="360" w:start="720" w:end="0"/>
        <w:jc w:val="both"/>
        <w:rPr>
          <w:sz w:val="24"/>
          <w:szCs w:val="24"/>
          <w:lang w:val="en-GB" w:eastAsia="en-US"/>
        </w:rPr>
      </w:pPr>
      <w:r>
        <w:rPr>
          <w:sz w:val="24"/>
          <w:szCs w:val="24"/>
          <w:lang w:val="en-GB" w:eastAsia="en-US"/>
        </w:rPr>
      </w:r>
    </w:p>
    <w:p>
      <w:pPr>
        <w:pStyle w:val="Normal"/>
        <w:tabs>
          <w:tab w:val="clear" w:pos="720"/>
          <w:tab w:val="center" w:pos="4153" w:leader="none"/>
          <w:tab w:val="right" w:pos="8306" w:leader="none"/>
        </w:tabs>
        <w:autoSpaceDE w:val="false"/>
        <w:jc w:val="both"/>
        <w:rPr>
          <w:b/>
          <w:sz w:val="24"/>
          <w:szCs w:val="24"/>
          <w:lang w:val="en-GB" w:eastAsia="en-US"/>
        </w:rPr>
      </w:pPr>
      <w:r>
        <w:rPr>
          <w:b/>
          <w:sz w:val="24"/>
          <w:szCs w:val="24"/>
          <w:lang w:val="en-GB" w:eastAsia="en-US"/>
        </w:rPr>
      </w:r>
    </w:p>
    <w:p>
      <w:pPr>
        <w:pStyle w:val="Normal"/>
        <w:tabs>
          <w:tab w:val="clear" w:pos="720"/>
          <w:tab w:val="center" w:pos="4153" w:leader="none"/>
          <w:tab w:val="right" w:pos="8306" w:leader="none"/>
        </w:tabs>
        <w:autoSpaceDE w:val="false"/>
        <w:jc w:val="both"/>
        <w:rPr>
          <w:b/>
          <w:sz w:val="24"/>
          <w:szCs w:val="24"/>
          <w:lang w:val="en-GB" w:eastAsia="en-US"/>
        </w:rPr>
      </w:pPr>
      <w:r>
        <w:rPr>
          <w:b/>
          <w:sz w:val="24"/>
          <w:szCs w:val="24"/>
          <w:lang w:val="en-GB" w:eastAsia="en-US"/>
        </w:rPr>
      </w:r>
    </w:p>
    <w:p>
      <w:pPr>
        <w:pStyle w:val="Normal"/>
        <w:tabs>
          <w:tab w:val="clear" w:pos="720"/>
          <w:tab w:val="center" w:pos="4153" w:leader="none"/>
          <w:tab w:val="right" w:pos="8306" w:leader="none"/>
        </w:tabs>
        <w:autoSpaceDE w:val="false"/>
        <w:jc w:val="both"/>
        <w:rPr>
          <w:b/>
          <w:sz w:val="24"/>
          <w:szCs w:val="24"/>
          <w:lang w:val="en-GB" w:eastAsia="en-US"/>
        </w:rPr>
      </w:pPr>
      <w:r>
        <w:rPr>
          <w:b/>
          <w:sz w:val="24"/>
          <w:szCs w:val="24"/>
          <w:lang w:val="en-GB" w:eastAsia="en-US"/>
        </w:rPr>
      </w:r>
    </w:p>
    <w:p>
      <w:pPr>
        <w:pStyle w:val="Normal"/>
        <w:tabs>
          <w:tab w:val="clear" w:pos="720"/>
          <w:tab w:val="center" w:pos="4153" w:leader="none"/>
          <w:tab w:val="right" w:pos="8306" w:leader="none"/>
        </w:tabs>
        <w:autoSpaceDE w:val="false"/>
        <w:jc w:val="both"/>
        <w:rPr/>
      </w:pPr>
      <w:r>
        <w:rPr>
          <w:b/>
          <w:sz w:val="24"/>
          <w:szCs w:val="24"/>
          <w:lang w:val="en-GB" w:eastAsia="en-US"/>
        </w:rPr>
        <w:t>202</w:t>
      </w:r>
      <w:r>
        <w:rPr>
          <w:b/>
          <w:sz w:val="24"/>
          <w:szCs w:val="24"/>
          <w:lang w:val="bg-BG" w:eastAsia="en-US"/>
        </w:rPr>
        <w:t>2</w:t>
      </w:r>
      <w:r>
        <w:rPr>
          <w:b/>
          <w:sz w:val="24"/>
          <w:szCs w:val="24"/>
          <w:lang w:val="en-GB" w:eastAsia="en-US"/>
        </w:rPr>
        <w:t>г.</w:t>
        <w:tab/>
        <w:tab/>
        <w:t>Управител:</w:t>
      </w:r>
    </w:p>
    <w:sectPr>
      <w:headerReference w:type="default" r:id="rId2"/>
      <w:type w:val="nextPage"/>
      <w:pgSz w:w="11906" w:h="16838"/>
      <w:pgMar w:left="567" w:right="993" w:gutter="0" w:header="985" w:top="1041" w:footer="0" w:bottom="1000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Arial Narrow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46" w:type="dxa"/>
      <w:jc w:val="start"/>
      <w:tblInd w:w="583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710"/>
      <w:gridCol w:w="1976"/>
      <w:gridCol w:w="3969"/>
      <w:gridCol w:w="2791"/>
    </w:tblGrid>
    <w:tr>
      <w:trPr>
        <w:trHeight w:val="1140" w:hRule="atLeast"/>
        <w:cantSplit/>
      </w:trPr>
      <w:tc>
        <w:tcPr>
          <w:tcW w:w="3686" w:type="dxa"/>
          <w:gridSpan w:val="2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  <w:vAlign w:val="center"/>
        </w:tcPr>
        <w:p>
          <w:pPr>
            <w:pStyle w:val="Normal"/>
            <w:keepNext w:val="true"/>
            <w:numPr>
              <w:ilvl w:val="0"/>
              <w:numId w:val="0"/>
            </w:numPr>
            <w:autoSpaceDE w:val="false"/>
            <w:jc w:val="center"/>
            <w:outlineLvl w:val="4"/>
            <w:rPr>
              <w:bCs/>
              <w:sz w:val="24"/>
              <w:szCs w:val="24"/>
              <w:lang w:val="bg-BG" w:eastAsia="en-US"/>
            </w:rPr>
          </w:pPr>
          <w:r>
            <w:rPr>
              <w:sz w:val="24"/>
              <w:szCs w:val="24"/>
            </w:rPr>
            <w:t>ДЕОН-БГ ЕООД</w:t>
          </w:r>
        </w:p>
      </w:tc>
      <w:tc>
        <w:tcPr>
          <w:tcW w:w="3969" w:type="dxa"/>
          <w:vMerge w:val="restart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autoSpaceDE w:val="false"/>
            <w:spacing w:before="120" w:after="0"/>
            <w:jc w:val="center"/>
            <w:rPr>
              <w:b/>
              <w:bCs/>
              <w:sz w:val="36"/>
              <w:szCs w:val="36"/>
              <w:lang w:val="bg-BG" w:eastAsia="en-US"/>
            </w:rPr>
          </w:pPr>
          <w:r>
            <w:rPr>
              <w:b/>
              <w:bCs/>
              <w:sz w:val="36"/>
              <w:szCs w:val="36"/>
              <w:lang w:val="en-GB" w:eastAsia="en-US"/>
            </w:rPr>
            <w:t>НАРЪЧНИК</w:t>
          </w:r>
        </w:p>
        <w:p>
          <w:pPr>
            <w:pStyle w:val="Normal"/>
            <w:keepNext w:val="true"/>
            <w:numPr>
              <w:ilvl w:val="0"/>
              <w:numId w:val="0"/>
            </w:numPr>
            <w:autoSpaceDE w:val="false"/>
            <w:spacing w:before="120" w:after="0"/>
            <w:jc w:val="center"/>
            <w:outlineLvl w:val="1"/>
            <w:rPr>
              <w:sz w:val="24"/>
              <w:szCs w:val="36"/>
              <w:lang w:val="ru-RU" w:eastAsia="en-US"/>
            </w:rPr>
          </w:pPr>
          <w:r>
            <w:rPr>
              <w:sz w:val="24"/>
              <w:szCs w:val="36"/>
              <w:lang w:val="ru-RU" w:eastAsia="en-US"/>
            </w:rPr>
            <w:t xml:space="preserve">СИСТЕМА ЗА УПРАВЛЕНЕНИЕ НА КАЧЕСТВОТО </w:t>
          </w:r>
        </w:p>
        <w:p>
          <w:pPr>
            <w:pStyle w:val="Normal"/>
            <w:autoSpaceDE w:val="false"/>
            <w:jc w:val="center"/>
            <w:rPr>
              <w:sz w:val="32"/>
              <w:lang w:val="en-GB" w:eastAsia="en-US"/>
            </w:rPr>
          </w:pPr>
          <w:r>
            <w:rPr>
              <w:sz w:val="24"/>
              <w:lang w:val="ru-RU" w:eastAsia="en-US"/>
            </w:rPr>
            <w:t xml:space="preserve">ISO 9001:2015 </w:t>
          </w:r>
        </w:p>
      </w:tc>
      <w:tc>
        <w:tcPr>
          <w:tcW w:w="2791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  <w:vAlign w:val="center"/>
        </w:tcPr>
        <w:p>
          <w:pPr>
            <w:pStyle w:val="Normal"/>
            <w:autoSpaceDE w:val="false"/>
            <w:spacing w:before="0" w:after="120"/>
            <w:jc w:val="center"/>
            <w:rPr/>
          </w:pPr>
          <w:r>
            <w:rPr>
              <w:b/>
              <w:szCs w:val="24"/>
              <w:effect w:val="blinkBackground"/>
              <w:lang w:val="bg-BG" w:eastAsia="en-US"/>
            </w:rPr>
            <w:t xml:space="preserve">НК - Ф - 6 </w:t>
          </w:r>
        </w:p>
        <w:p>
          <w:pPr>
            <w:pStyle w:val="Normal"/>
            <w:autoSpaceDE w:val="false"/>
            <w:spacing w:before="0" w:after="120"/>
            <w:jc w:val="center"/>
            <w:rPr>
              <w:b/>
              <w:szCs w:val="24"/>
              <w:effect w:val="blinkBackground"/>
              <w:lang w:val="bg-BG" w:eastAsia="en-US"/>
            </w:rPr>
          </w:pPr>
          <w:r>
            <w:rPr>
              <w:b/>
              <w:szCs w:val="24"/>
              <w:effect w:val="blinkBackground"/>
              <w:lang w:val="bg-BG" w:eastAsia="en-US"/>
            </w:rPr>
            <w:t>Политика и цели</w:t>
          </w:r>
        </w:p>
      </w:tc>
    </w:tr>
    <w:tr>
      <w:trPr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numPr>
              <w:ilvl w:val="0"/>
              <w:numId w:val="0"/>
            </w:numPr>
            <w:autoSpaceDE w:val="false"/>
            <w:spacing w:before="40" w:after="40"/>
            <w:outlineLvl w:val="3"/>
            <w:rPr/>
          </w:pPr>
          <w:r>
            <w:rPr>
              <w:bCs/>
              <w:lang w:val="bg-BG" w:eastAsia="en-US"/>
            </w:rPr>
            <w:t>Издание</w:t>
          </w:r>
          <w:r>
            <w:rPr>
              <w:lang w:val="bg-BG" w:eastAsia="en-US"/>
            </w:rPr>
            <w:t>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numPr>
              <w:ilvl w:val="0"/>
              <w:numId w:val="0"/>
            </w:numPr>
            <w:autoSpaceDE w:val="false"/>
            <w:spacing w:before="40" w:after="40"/>
            <w:jc w:val="center"/>
            <w:outlineLvl w:val="3"/>
            <w:rPr>
              <w:bCs/>
              <w:i/>
              <w:sz w:val="28"/>
              <w:lang w:val="bg-BG" w:eastAsia="en-US"/>
            </w:rPr>
          </w:pPr>
          <w:r>
            <w:rPr>
              <w:bCs/>
              <w:i/>
              <w:sz w:val="28"/>
              <w:lang w:val="bg-BG" w:eastAsia="en-US"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autoSpaceDE w:val="false"/>
            <w:snapToGrid w:val="false"/>
            <w:jc w:val="center"/>
            <w:rPr>
              <w:bCs/>
              <w:i/>
              <w:sz w:val="36"/>
              <w:szCs w:val="36"/>
              <w:lang w:val="bg-BG" w:eastAsia="en-US"/>
            </w:rPr>
          </w:pPr>
          <w:r>
            <w:rPr>
              <w:bCs/>
              <w:i/>
              <w:sz w:val="36"/>
              <w:szCs w:val="36"/>
              <w:lang w:val="bg-BG" w:eastAsia="en-US"/>
            </w:rPr>
          </w:r>
        </w:p>
      </w:tc>
      <w:tc>
        <w:tcPr>
          <w:tcW w:w="2791" w:type="dxa"/>
          <w:vMerge w:val="restart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autoSpaceDE w:val="false"/>
            <w:spacing w:before="480" w:after="0"/>
            <w:jc w:val="center"/>
            <w:rPr>
              <w:b/>
              <w:sz w:val="24"/>
              <w:szCs w:val="24"/>
              <w:lang w:val="bg-BG" w:eastAsia="en-US"/>
            </w:rPr>
          </w:pPr>
          <w:r>
            <w:rPr>
              <w:b/>
              <w:sz w:val="24"/>
              <w:szCs w:val="24"/>
              <w:lang w:eastAsia="en-US"/>
            </w:rPr>
            <w:t>11</w:t>
          </w:r>
          <w:r>
            <w:rPr>
              <w:b/>
              <w:sz w:val="24"/>
              <w:szCs w:val="24"/>
              <w:lang w:val="bg-BG" w:eastAsia="en-US"/>
            </w:rPr>
            <w:t>.0</w:t>
          </w:r>
          <w:r>
            <w:rPr>
              <w:b/>
              <w:sz w:val="24"/>
              <w:szCs w:val="24"/>
              <w:lang w:eastAsia="en-US"/>
            </w:rPr>
            <w:t>5</w:t>
          </w:r>
          <w:r>
            <w:rPr>
              <w:b/>
              <w:sz w:val="24"/>
              <w:szCs w:val="24"/>
              <w:lang w:val="bg-BG" w:eastAsia="en-US"/>
            </w:rPr>
            <w:t>.2022г.</w:t>
          </w:r>
        </w:p>
      </w:tc>
    </w:tr>
    <w:tr>
      <w:trPr>
        <w:trHeight w:val="45" w:hRule="atLeast"/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autoSpaceDE w:val="false"/>
            <w:spacing w:before="40" w:after="40"/>
            <w:rPr>
              <w:lang w:val="bg-BG" w:eastAsia="en-US"/>
            </w:rPr>
          </w:pPr>
          <w:r>
            <w:rPr>
              <w:lang w:val="bg-BG" w:eastAsia="en-US"/>
            </w:rPr>
            <w:t>Версия: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autoSpaceDE w:val="false"/>
            <w:spacing w:before="40" w:after="40"/>
            <w:jc w:val="center"/>
            <w:rPr>
              <w:i/>
              <w:sz w:val="28"/>
              <w:szCs w:val="28"/>
              <w:lang w:val="bg-BG" w:eastAsia="en-US"/>
            </w:rPr>
          </w:pPr>
          <w:r>
            <w:rPr>
              <w:i/>
              <w:sz w:val="28"/>
              <w:szCs w:val="28"/>
              <w:lang w:val="bg-BG" w:eastAsia="en-US"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autoSpaceDE w:val="false"/>
            <w:snapToGrid w:val="false"/>
            <w:spacing w:before="40" w:after="40"/>
            <w:jc w:val="center"/>
            <w:rPr>
              <w:b/>
              <w:bCs/>
              <w:i/>
              <w:sz w:val="28"/>
              <w:szCs w:val="28"/>
              <w:lang w:val="bg-BG" w:eastAsia="en-US"/>
            </w:rPr>
          </w:pPr>
          <w:r>
            <w:rPr>
              <w:b/>
              <w:bCs/>
              <w:i/>
              <w:sz w:val="28"/>
              <w:szCs w:val="28"/>
              <w:lang w:val="bg-BG" w:eastAsia="en-US"/>
            </w:rPr>
          </w:r>
        </w:p>
      </w:tc>
      <w:tc>
        <w:tcPr>
          <w:tcW w:w="2791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autoSpaceDE w:val="false"/>
            <w:snapToGrid w:val="false"/>
            <w:spacing w:before="40" w:after="40"/>
            <w:rPr>
              <w:b/>
              <w:bCs/>
              <w:sz w:val="24"/>
              <w:lang w:val="bg-BG" w:eastAsia="en-US"/>
            </w:rPr>
          </w:pPr>
          <w:r>
            <w:rPr>
              <w:b/>
              <w:bCs/>
              <w:sz w:val="24"/>
              <w:lang w:val="bg-BG" w:eastAsia="en-US"/>
            </w:rPr>
          </w:r>
        </w:p>
      </w:tc>
    </w:tr>
    <w:tr>
      <w:trPr>
        <w:trHeight w:val="45" w:hRule="atLeast"/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autoSpaceDE w:val="false"/>
            <w:spacing w:before="40" w:after="40"/>
            <w:rPr/>
          </w:pPr>
          <w:r>
            <w:rPr>
              <w:lang w:val="en-GB" w:eastAsia="en-US"/>
            </w:rPr>
            <w:t>Страница</w:t>
          </w:r>
          <w:r>
            <w:rPr>
              <w:lang w:val="bg-BG" w:eastAsia="en-US"/>
            </w:rPr>
            <w:t>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autoSpaceDE w:val="false"/>
            <w:spacing w:before="40" w:after="40"/>
            <w:jc w:val="center"/>
            <w:rPr>
              <w:b/>
              <w:iCs/>
              <w:lang w:eastAsia="en-US"/>
            </w:rPr>
          </w:pPr>
          <w:r>
            <w:rPr>
              <w:b/>
              <w:iCs/>
              <w:lang w:eastAsia="en-US"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autoSpaceDE w:val="false"/>
            <w:snapToGrid w:val="false"/>
            <w:spacing w:before="40" w:after="40"/>
            <w:jc w:val="center"/>
            <w:rPr>
              <w:b/>
              <w:bCs/>
              <w:iCs/>
              <w:lang w:eastAsia="en-US"/>
            </w:rPr>
          </w:pPr>
          <w:r>
            <w:rPr>
              <w:b/>
              <w:bCs/>
              <w:iCs/>
              <w:lang w:eastAsia="en-US"/>
            </w:rPr>
          </w:r>
        </w:p>
      </w:tc>
      <w:tc>
        <w:tcPr>
          <w:tcW w:w="2791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autoSpaceDE w:val="false"/>
            <w:snapToGrid w:val="false"/>
            <w:spacing w:before="40" w:after="40"/>
            <w:rPr>
              <w:b/>
              <w:bCs/>
              <w:sz w:val="24"/>
              <w:lang w:val="bg-BG" w:eastAsia="en-US"/>
            </w:rPr>
          </w:pPr>
          <w:r>
            <w:rPr>
              <w:b/>
              <w:bCs/>
              <w:sz w:val="24"/>
              <w:lang w:val="bg-BG" w:eastAsia="en-US"/>
            </w:rPr>
          </w:r>
        </w:p>
      </w:tc>
    </w:tr>
  </w:tbl>
  <w:p>
    <w:pPr>
      <w:pStyle w:val="Header"/>
      <w:rPr>
        <w:b/>
        <w:sz w:val="6"/>
      </w:rPr>
    </w:pPr>
    <w:r>
      <w:rPr>
        <w:b/>
        <w:sz w:val="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 Narrow" w:hAnsi="Arial Narrow" w:cs="Arial Narrow"/>
      <w:b/>
      <w:sz w:val="2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0" w:end="-108"/>
      <w:outlineLvl w:val="2"/>
    </w:pPr>
    <w:rPr>
      <w:rFonts w:ascii="Arial Narrow" w:hAnsi="Arial Narrow" w:cs="Arial Narrow"/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Arial Narrow" w:hAnsi="Arial Narrow" w:cs="Arial Narrow"/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0" w:end="-108"/>
      <w:outlineLvl w:val="4"/>
    </w:pPr>
    <w:rPr>
      <w:rFonts w:ascii="Arial Narrow" w:hAnsi="Arial Narrow" w:cs="Arial Narrow"/>
      <w:b/>
      <w:color w:val="00000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rFonts w:ascii="Arial Narrow" w:hAnsi="Arial Narrow" w:cs="Arial Narrow"/>
      <w:b/>
      <w:color w:val="000000"/>
      <w:sz w:val="1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0" w:end="-108"/>
      <w:outlineLvl w:val="6"/>
    </w:pPr>
    <w:rPr>
      <w:b/>
      <w:i/>
      <w:sz w:val="22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b/>
      <w:sz w:val="18"/>
    </w:rPr>
  </w:style>
  <w:style w:type="character" w:styleId="WW8Num1z0">
    <w:name w:val="WW8Num1z0"/>
    <w:qFormat/>
    <w:rPr>
      <w:rFonts w:ascii="Times New Roman" w:hAnsi="Times New Roman" w:cs="Times New Roman"/>
      <w:b/>
    </w:rPr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/>
  </w:style>
  <w:style w:type="character" w:styleId="PageNumber">
    <w:name w:val="page number"/>
    <w:basedOn w:val="DefaultParagraphFont"/>
    <w:rPr/>
  </w:style>
  <w:style w:type="paragraph" w:styleId="Style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1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7">
    <w:name w:val="Указател"/>
    <w:basedOn w:val="Normal"/>
    <w:qFormat/>
    <w:pPr>
      <w:suppressLineNumbers/>
    </w:pPr>
    <w:rPr>
      <w:rFonts w:cs="Arial"/>
    </w:rPr>
  </w:style>
  <w:style w:type="paragraph" w:styleId="Style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2019-11-25T01:43:00Z</dcterms:created>
  <dc:creator>ws</dc:creator>
  <dc:description/>
  <cp:keywords/>
  <dc:language>bg-BG</dc:language>
  <cp:lastModifiedBy>Георги Георгиев</cp:lastModifiedBy>
  <cp:lastPrinted>2003-12-24T16:25:00Z</cp:lastPrinted>
  <dcterms:modified xsi:type="dcterms:W3CDTF">2025-01-02T22:38:00Z</dcterms:modified>
  <cp:revision>23</cp:revision>
  <dc:subject/>
  <dc:title>Meeting No: …………                        Meeting Date: …………</dc:title>
</cp:coreProperties>
</file>