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1.ОБЛАСТ НА ПРИЛОЖЕНИЕ.</w:t>
      </w:r>
    </w:p>
    <w:p>
      <w:pPr>
        <w:pStyle w:val="Normal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  <w:lang w:val="ru-RU"/>
        </w:rPr>
        <w:t xml:space="preserve">Настоящата процедура </w:t>
      </w:r>
      <w:r>
        <w:rPr>
          <w:sz w:val="24"/>
          <w:szCs w:val="24"/>
          <w:lang w:val="bg-BG"/>
        </w:rPr>
        <w:t>регламентира реда</w:t>
      </w:r>
      <w:r>
        <w:rPr>
          <w:sz w:val="24"/>
          <w:szCs w:val="24"/>
          <w:lang w:val="ru-RU"/>
        </w:rPr>
        <w:t xml:space="preserve"> за управление на продукт, за който е констатирано несъответствие с изисквания по време на производствения процес в </w:t>
      </w:r>
      <w:r>
        <w:rPr>
          <w:b/>
          <w:sz w:val="22"/>
          <w:szCs w:val="22"/>
          <w:lang w:val="ru-RU"/>
        </w:rPr>
        <w:t>"Артпласт" ЕООД</w:t>
      </w:r>
      <w:r>
        <w:rPr>
          <w:sz w:val="24"/>
          <w:szCs w:val="24"/>
          <w:lang w:val="ru-RU"/>
        </w:rPr>
        <w:t xml:space="preserve">, за разпореждането с него и реда за бракуване на продуктите, произвеждани </w:t>
      </w:r>
      <w:r>
        <w:rPr>
          <w:sz w:val="24"/>
          <w:szCs w:val="24"/>
          <w:lang w:val="bg-BG"/>
        </w:rPr>
        <w:t>и/</w:t>
      </w:r>
      <w:r>
        <w:rPr>
          <w:sz w:val="24"/>
          <w:szCs w:val="24"/>
          <w:lang w:val="ru-RU"/>
        </w:rPr>
        <w:t>и</w:t>
      </w:r>
      <w:r>
        <w:rPr>
          <w:sz w:val="24"/>
          <w:szCs w:val="24"/>
          <w:lang w:val="bg-BG"/>
        </w:rPr>
        <w:t>ли</w:t>
      </w:r>
      <w:r>
        <w:rPr>
          <w:sz w:val="24"/>
          <w:szCs w:val="24"/>
          <w:lang w:val="ru-RU"/>
        </w:rPr>
        <w:t xml:space="preserve"> закупувани от дружеството</w:t>
      </w:r>
      <w:r>
        <w:rPr>
          <w:sz w:val="24"/>
          <w:szCs w:val="24"/>
          <w:lang w:val="bg-BG"/>
        </w:rPr>
        <w:t>.</w:t>
      </w:r>
    </w:p>
    <w:p>
      <w:pPr>
        <w:pStyle w:val="Normal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ru-RU"/>
        </w:rPr>
        <w:tab/>
      </w:r>
      <w:r>
        <w:rPr>
          <w:b/>
          <w:sz w:val="24"/>
          <w:szCs w:val="24"/>
        </w:rPr>
        <w:t>2.ПОЗОВАВАНИЯ.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jc w:val="both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bg-BG"/>
        </w:rPr>
        <w:t xml:space="preserve">2.1 </w:t>
      </w:r>
      <w:r>
        <w:rPr>
          <w:sz w:val="24"/>
          <w:szCs w:val="24"/>
        </w:rPr>
        <w:t>Посочените по-долу процедури и други нормативни документи, съдържат изисквания, които използвани в този текст, се превръщат в изисквания на настоящата процедура.</w:t>
      </w:r>
    </w:p>
    <w:p>
      <w:pPr>
        <w:pStyle w:val="Normal"/>
        <w:spacing w:before="60" w:after="0"/>
        <w:ind w:firstLine="720" w:end="0"/>
        <w:jc w:val="both"/>
        <w:rPr/>
      </w:pPr>
      <w:r>
        <w:rPr>
          <w:sz w:val="24"/>
          <w:szCs w:val="24"/>
        </w:rPr>
        <w:t>2.2.</w:t>
      </w:r>
      <w:r>
        <w:rPr>
          <w:sz w:val="24"/>
          <w:szCs w:val="24"/>
          <w:lang w:val="ru-RU"/>
        </w:rPr>
        <w:t>БДС</w:t>
      </w:r>
      <w:r>
        <w:rPr>
          <w:sz w:val="24"/>
          <w:szCs w:val="24"/>
        </w:rPr>
        <w:t xml:space="preserve"> EN ISO 900</w:t>
      </w:r>
      <w:r>
        <w:rPr>
          <w:sz w:val="24"/>
          <w:szCs w:val="24"/>
          <w:lang w:val="bg-BG"/>
        </w:rPr>
        <w:t>1</w:t>
      </w:r>
      <w:r>
        <w:rPr>
          <w:sz w:val="24"/>
          <w:szCs w:val="24"/>
        </w:rPr>
        <w:t>:20</w:t>
      </w:r>
      <w:r>
        <w:rPr>
          <w:sz w:val="24"/>
          <w:szCs w:val="24"/>
          <w:lang w:val="bg-BG"/>
        </w:rPr>
        <w:t>15</w:t>
      </w:r>
      <w:r>
        <w:rPr>
          <w:sz w:val="24"/>
          <w:szCs w:val="24"/>
        </w:rPr>
        <w:t xml:space="preserve"> "</w:t>
      </w:r>
      <w:r>
        <w:rPr>
          <w:bCs/>
          <w:sz w:val="24"/>
          <w:szCs w:val="24"/>
        </w:rPr>
        <w:t>Системи за управление на качество. Основни принципи и речник</w:t>
      </w:r>
      <w:r>
        <w:rPr>
          <w:sz w:val="24"/>
          <w:szCs w:val="24"/>
        </w:rPr>
        <w:t>"</w:t>
      </w:r>
      <w:r>
        <w:rPr>
          <w:bCs/>
          <w:sz w:val="24"/>
          <w:szCs w:val="24"/>
        </w:rPr>
        <w:t>.</w:t>
      </w:r>
    </w:p>
    <w:p>
      <w:pPr>
        <w:pStyle w:val="Style12"/>
        <w:widowControl w:val="false"/>
        <w:numPr>
          <w:ilvl w:val="0"/>
          <w:numId w:val="0"/>
        </w:numPr>
        <w:ind w:hanging="0" w:start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rPr/>
      </w:pPr>
      <w:r>
        <w:rPr>
          <w:b/>
          <w:sz w:val="24"/>
          <w:szCs w:val="24"/>
          <w:lang w:val="ru-RU"/>
        </w:rPr>
        <w:tab/>
      </w:r>
      <w:r>
        <w:rPr>
          <w:b/>
          <w:sz w:val="24"/>
          <w:szCs w:val="24"/>
        </w:rPr>
        <w:t>3.ТЕРМИНИ, ОПРЕДЕЛЕНИЯ, СЪКРАЩЕНИЯ И ОЗНАЧЕНИЯ.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snapToGrid w:val="false"/>
        <w:ind w:firstLine="720" w:start="0" w:end="0"/>
        <w:jc w:val="both"/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Всички термини и определения използвани в тази процедура, са съобразно </w:t>
      </w:r>
      <w:r>
        <w:rPr>
          <w:sz w:val="24"/>
          <w:szCs w:val="24"/>
        </w:rPr>
        <w:t>ISO 9001:20</w:t>
      </w:r>
      <w:r>
        <w:rPr>
          <w:sz w:val="24"/>
          <w:szCs w:val="24"/>
          <w:lang w:val="bg-BG"/>
        </w:rPr>
        <w:t>15</w:t>
      </w:r>
      <w:r>
        <w:rPr>
          <w:sz w:val="24"/>
          <w:szCs w:val="24"/>
        </w:rPr>
        <w:t xml:space="preserve"> “</w:t>
      </w:r>
      <w:r>
        <w:rPr>
          <w:bCs/>
          <w:sz w:val="24"/>
          <w:szCs w:val="24"/>
        </w:rPr>
        <w:t>Системи за управление на качество . Основни принципи и речник”.</w:t>
      </w:r>
    </w:p>
    <w:p>
      <w:pPr>
        <w:pStyle w:val="Normal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4.ОБЩИ ПОЛОЖЕНИЯ.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2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>4.1.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>В рамките на</w:t>
      </w:r>
      <w:r>
        <w:rPr/>
        <w:t xml:space="preserve"> </w:t>
      </w:r>
      <w:r>
        <w:rPr>
          <w:b/>
          <w:sz w:val="24"/>
          <w:szCs w:val="24"/>
          <w:lang w:val="ru-RU"/>
        </w:rPr>
        <w:t xml:space="preserve">"Артпласт" ЕООД </w:t>
      </w:r>
      <w:r>
        <w:rPr>
          <w:sz w:val="24"/>
          <w:szCs w:val="24"/>
          <w:lang w:val="ru-RU"/>
        </w:rPr>
        <w:t xml:space="preserve">е създадена организация, основаваща се на прилагането на контролни </w:t>
      </w:r>
      <w:r>
        <w:rPr>
          <w:sz w:val="24"/>
          <w:szCs w:val="24"/>
          <w:lang w:val="bg-BG"/>
        </w:rPr>
        <w:t>изисквания</w:t>
      </w:r>
      <w:r>
        <w:rPr>
          <w:sz w:val="24"/>
          <w:szCs w:val="24"/>
          <w:lang w:val="ru-RU"/>
        </w:rPr>
        <w:t xml:space="preserve">, която гарантира определянето на несъответстващите продукти </w:t>
      </w:r>
      <w:r>
        <w:rPr>
          <w:sz w:val="24"/>
          <w:szCs w:val="24"/>
          <w:lang w:val="bg-BG"/>
        </w:rPr>
        <w:t>/</w:t>
      </w:r>
      <w:r>
        <w:rPr>
          <w:sz w:val="24"/>
          <w:szCs w:val="24"/>
          <w:lang w:val="ru-RU"/>
        </w:rPr>
        <w:t xml:space="preserve">закупувани или </w:t>
      </w:r>
      <w:r>
        <w:rPr>
          <w:sz w:val="24"/>
          <w:szCs w:val="24"/>
          <w:lang w:val="bg-BG"/>
        </w:rPr>
        <w:t>произведени/</w:t>
      </w:r>
      <w:r>
        <w:rPr>
          <w:sz w:val="24"/>
          <w:szCs w:val="24"/>
          <w:lang w:val="ru-RU"/>
        </w:rPr>
        <w:t xml:space="preserve">. Тези продукти се идентифицират по подходящ начин </w:t>
      </w:r>
      <w:r>
        <w:rPr>
          <w:sz w:val="24"/>
          <w:szCs w:val="24"/>
          <w:lang w:val="bg-BG"/>
        </w:rPr>
        <w:t>/</w:t>
      </w:r>
      <w:r>
        <w:rPr>
          <w:sz w:val="24"/>
          <w:szCs w:val="24"/>
          <w:lang w:val="ru-RU"/>
        </w:rPr>
        <w:t>чрез етикети, табели и други</w:t>
      </w:r>
      <w:r>
        <w:rPr>
          <w:sz w:val="24"/>
          <w:szCs w:val="24"/>
          <w:lang w:val="bg-BG"/>
        </w:rPr>
        <w:t>/</w:t>
      </w:r>
      <w:r>
        <w:rPr>
          <w:sz w:val="24"/>
          <w:szCs w:val="24"/>
          <w:lang w:val="ru-RU"/>
        </w:rPr>
        <w:t>, като се спазват изискванията за идентификация и проследимост.</w:t>
      </w:r>
    </w:p>
    <w:p>
      <w:pPr>
        <w:pStyle w:val="Normal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2"/>
        <w:rPr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>4.2.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След идентификацията на несъответстващия продукт, в дружеството задължително се спазва правилото за неговото отделяне или предпазване от смесване със съответстващи продукти. Целта е да се предотврати неговото използване не по предназначение или за доставка на клиента.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2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>4.3.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 xml:space="preserve">В зависимост от конкретната ситуация отговорни за управлението на несъответстващия продукт в дружеството е отговорникът по производство. </w:t>
      </w:r>
      <w:r>
        <w:rPr>
          <w:sz w:val="24"/>
          <w:szCs w:val="24"/>
        </w:rPr>
        <w:t xml:space="preserve">Той получава екземпляр от </w:t>
      </w:r>
      <w:r>
        <w:rPr>
          <w:sz w:val="24"/>
          <w:szCs w:val="24"/>
          <w:lang w:val="bg-BG"/>
        </w:rPr>
        <w:t>документа</w:t>
      </w:r>
      <w:r>
        <w:rPr>
          <w:sz w:val="24"/>
          <w:szCs w:val="24"/>
        </w:rPr>
        <w:t xml:space="preserve">, за извършено наблюдение и измерване на продукта от производството, </w:t>
      </w:r>
      <w:r>
        <w:rPr>
          <w:sz w:val="24"/>
          <w:szCs w:val="24"/>
          <w:lang w:val="bg-BG"/>
        </w:rPr>
        <w:t xml:space="preserve">както и </w:t>
      </w:r>
      <w:r>
        <w:rPr>
          <w:sz w:val="24"/>
          <w:szCs w:val="24"/>
        </w:rPr>
        <w:t>за всички случаи на констатирани несъответствия.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2"/>
        <w:widowControl w:val="false"/>
        <w:numPr>
          <w:ilvl w:val="0"/>
          <w:numId w:val="0"/>
        </w:numPr>
        <w:ind w:hanging="0" w:start="0"/>
        <w:rPr/>
      </w:pPr>
      <w:r>
        <w:rPr>
          <w:sz w:val="24"/>
          <w:szCs w:val="24"/>
        </w:rPr>
        <w:tab/>
        <w:t>4.4. Той, подпомаган от персонала на дружеството, извършва следните разпоредителни действия по отношение на несъответстващия продукт:</w:t>
      </w:r>
    </w:p>
    <w:p>
      <w:pPr>
        <w:pStyle w:val="2"/>
        <w:rPr/>
      </w:pPr>
      <w:r>
        <w:rPr>
          <w:sz w:val="24"/>
          <w:szCs w:val="24"/>
        </w:rPr>
        <w:tab/>
        <w:t>4.4.1.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 xml:space="preserve">Чрез предприемане на дейности за отстраняване на откритото несъответствие </w:t>
      </w:r>
      <w:r>
        <w:rPr>
          <w:sz w:val="24"/>
          <w:szCs w:val="24"/>
          <w:lang w:val="bg-BG"/>
        </w:rPr>
        <w:t>/</w:t>
      </w:r>
      <w:r>
        <w:rPr>
          <w:sz w:val="24"/>
          <w:szCs w:val="24"/>
          <w:lang w:val="ru-RU"/>
        </w:rPr>
        <w:t>корекция, преработка/;</w:t>
      </w:r>
    </w:p>
    <w:p>
      <w:pPr>
        <w:pStyle w:val="Normal"/>
        <w:jc w:val="both"/>
        <w:rPr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>4.4.</w:t>
      </w:r>
      <w:r>
        <w:rPr>
          <w:sz w:val="24"/>
          <w:szCs w:val="24"/>
          <w:lang w:val="bg-BG"/>
        </w:rPr>
        <w:t>2</w:t>
      </w:r>
      <w:r>
        <w:rPr>
          <w:sz w:val="24"/>
          <w:szCs w:val="24"/>
        </w:rPr>
        <w:t>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 xml:space="preserve">Чрез предприемане на дейности за предотвратяване на неговото използване по основното му предназначение или прилагане </w:t>
      </w:r>
      <w:r>
        <w:rPr>
          <w:sz w:val="24"/>
          <w:szCs w:val="24"/>
          <w:lang w:val="bg-BG"/>
        </w:rPr>
        <w:t xml:space="preserve">на </w:t>
      </w:r>
      <w:r>
        <w:rPr>
          <w:sz w:val="24"/>
          <w:szCs w:val="24"/>
        </w:rPr>
        <w:t>бракуване.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2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>4.5.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 xml:space="preserve">Записите , свързани с естеството на констатираното несъответствие се поддържат при </w:t>
      </w:r>
      <w:r>
        <w:rPr>
          <w:sz w:val="24"/>
          <w:szCs w:val="24"/>
          <w:lang w:val="bg-BG"/>
        </w:rPr>
        <w:t>началник цеховете</w:t>
      </w:r>
      <w:r>
        <w:rPr>
          <w:sz w:val="24"/>
          <w:szCs w:val="24"/>
          <w:lang w:val="ru-RU"/>
        </w:rPr>
        <w:t xml:space="preserve"> от дружеството, упълномощени да прилагат изискванията за контрол на произведения продукт. Записите </w:t>
      </w:r>
      <w:r>
        <w:rPr>
          <w:sz w:val="24"/>
          <w:szCs w:val="24"/>
          <w:lang w:val="bg-BG"/>
        </w:rPr>
        <w:t>от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bg-BG"/>
        </w:rPr>
        <w:t>предприетите</w:t>
      </w:r>
      <w:r>
        <w:rPr>
          <w:sz w:val="24"/>
          <w:szCs w:val="24"/>
          <w:lang w:val="ru-RU"/>
        </w:rPr>
        <w:t xml:space="preserve"> коригиращи или превантивни действия, съобразно П</w:t>
      </w:r>
      <w:r>
        <w:rPr>
          <w:sz w:val="24"/>
          <w:szCs w:val="24"/>
          <w:lang w:val="bg-BG"/>
        </w:rPr>
        <w:t>УБХ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bg-BG"/>
        </w:rPr>
        <w:t>05</w:t>
      </w:r>
      <w:r>
        <w:rPr>
          <w:sz w:val="24"/>
          <w:szCs w:val="24"/>
          <w:lang w:val="ru-RU"/>
        </w:rPr>
        <w:t xml:space="preserve"> и П</w:t>
      </w:r>
      <w:r>
        <w:rPr>
          <w:sz w:val="24"/>
          <w:szCs w:val="24"/>
          <w:lang w:val="bg-BG"/>
        </w:rPr>
        <w:t>УБХ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bg-BG"/>
        </w:rPr>
        <w:t>06</w:t>
      </w:r>
      <w:r>
        <w:rPr>
          <w:sz w:val="24"/>
          <w:szCs w:val="24"/>
          <w:lang w:val="ru-RU"/>
        </w:rPr>
        <w:t>, се поддържат при звеното, отговорно за закупуването или производството на продукта.</w:t>
      </w:r>
    </w:p>
    <w:p>
      <w:pPr>
        <w:pStyle w:val="Normal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>4.6.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 xml:space="preserve">Когато несъответстващия продукт е коригиран, чрез прилагане на дейностите по </w:t>
      </w:r>
    </w:p>
    <w:p>
      <w:pPr>
        <w:pStyle w:val="2"/>
        <w:rPr/>
      </w:pPr>
      <w:r>
        <w:rPr>
          <w:sz w:val="24"/>
          <w:szCs w:val="24"/>
        </w:rPr>
        <w:t>т.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4.4.1, то същия се подлага на повторно наблюдение или измерване. Крайната цел е да се докаже, че след коригирането той отговаря на изискванията към него.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2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>4.7. В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 xml:space="preserve"> случаи, че несъответстващия продукт е открит след доставката или след като е започнало неговото използване, в </w:t>
      </w:r>
      <w:r>
        <w:rPr>
          <w:b/>
          <w:sz w:val="24"/>
          <w:szCs w:val="24"/>
          <w:lang w:val="ru-RU"/>
        </w:rPr>
        <w:t xml:space="preserve">"Артпласт" ЕООД </w:t>
      </w:r>
      <w:r>
        <w:rPr>
          <w:sz w:val="24"/>
          <w:szCs w:val="24"/>
          <w:lang w:val="ru-RU"/>
        </w:rPr>
        <w:t>се предприемат действия, относно последващите или евентуалните последици от несъответствието му, като:</w:t>
      </w:r>
    </w:p>
    <w:p>
      <w:pPr>
        <w:pStyle w:val="Normal"/>
        <w:rPr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>4.7.1.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Клиентът се информира за случая и се търсят приемливи решения за въпроса;</w:t>
      </w:r>
    </w:p>
    <w:p>
      <w:pPr>
        <w:pStyle w:val="Normal"/>
        <w:jc w:val="both"/>
        <w:rPr/>
      </w:pPr>
      <w:r>
        <w:rPr>
          <w:sz w:val="24"/>
          <w:szCs w:val="24"/>
        </w:rPr>
        <w:tab/>
        <w:t>4.7.2.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Прави се рекламация пред доставчика, като се търси приемливо решение за дружеството;</w:t>
      </w:r>
    </w:p>
    <w:p>
      <w:pPr>
        <w:pStyle w:val="2"/>
        <w:rPr/>
      </w:pPr>
      <w:r>
        <w:rPr>
          <w:sz w:val="24"/>
          <w:szCs w:val="24"/>
        </w:rPr>
        <w:tab/>
        <w:t>4.7.3.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 xml:space="preserve">Несъответстващите продукти се изолират и идентифицират, спрямо съответстващите, в т.ч. се спира влагането </w:t>
      </w:r>
      <w:r>
        <w:rPr>
          <w:sz w:val="24"/>
          <w:szCs w:val="24"/>
          <w:lang w:val="bg-BG"/>
        </w:rPr>
        <w:t xml:space="preserve">им </w:t>
      </w:r>
      <w:r>
        <w:rPr>
          <w:sz w:val="24"/>
          <w:szCs w:val="24"/>
        </w:rPr>
        <w:t>в ново производство;</w:t>
      </w:r>
    </w:p>
    <w:p>
      <w:pPr>
        <w:pStyle w:val="2"/>
        <w:rPr>
          <w:sz w:val="24"/>
          <w:szCs w:val="24"/>
        </w:rPr>
      </w:pPr>
      <w:r>
        <w:rPr>
          <w:sz w:val="24"/>
          <w:szCs w:val="24"/>
        </w:rPr>
        <w:tab/>
        <w:t>4.7.4.Правят се изчисления за оценка на загубите, във връзка с направената констатация за несъответстващ продукт.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2"/>
        <w:rPr/>
      </w:pPr>
      <w:r>
        <w:rPr>
          <w:sz w:val="24"/>
          <w:szCs w:val="24"/>
        </w:rPr>
        <w:tab/>
        <w:t xml:space="preserve">4.8.Общо в дейностите по управление на продукт, </w:t>
      </w:r>
      <w:r>
        <w:rPr>
          <w:sz w:val="24"/>
          <w:szCs w:val="24"/>
          <w:lang w:val="bg-BG"/>
        </w:rPr>
        <w:t>несъответстващ</w:t>
      </w:r>
      <w:r>
        <w:rPr>
          <w:sz w:val="24"/>
          <w:szCs w:val="24"/>
        </w:rPr>
        <w:t xml:space="preserve"> на изисквания</w:t>
      </w:r>
      <w:r>
        <w:rPr>
          <w:sz w:val="24"/>
          <w:szCs w:val="24"/>
          <w:lang w:val="bg-BG"/>
        </w:rPr>
        <w:t>та</w:t>
      </w:r>
      <w:r>
        <w:rPr>
          <w:sz w:val="24"/>
          <w:szCs w:val="24"/>
        </w:rPr>
        <w:t>, се ползват следните документи:</w:t>
      </w:r>
    </w:p>
    <w:p>
      <w:pPr>
        <w:pStyle w:val="Normal"/>
        <w:spacing w:before="40" w:after="0"/>
        <w:rPr>
          <w:sz w:val="24"/>
          <w:szCs w:val="24"/>
          <w:lang w:val="ru-RU"/>
        </w:rPr>
      </w:pPr>
      <w:r>
        <w:rPr>
          <w:sz w:val="24"/>
          <w:szCs w:val="24"/>
        </w:rPr>
        <w:tab/>
        <w:t>4.8.1.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>Протоколи</w:t>
      </w:r>
      <w:r>
        <w:rPr>
          <w:sz w:val="24"/>
          <w:szCs w:val="24"/>
          <w:lang w:val="bg-BG"/>
        </w:rPr>
        <w:t xml:space="preserve"> за</w:t>
      </w:r>
      <w:r>
        <w:rPr>
          <w:sz w:val="24"/>
          <w:szCs w:val="24"/>
          <w:lang w:val="ru-RU"/>
        </w:rPr>
        <w:t xml:space="preserve"> несъответствия - ОД 04-01</w:t>
      </w:r>
    </w:p>
    <w:p>
      <w:pPr>
        <w:pStyle w:val="Normal"/>
        <w:spacing w:before="40" w:after="0"/>
        <w:rPr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>4.8.2.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Предписания за изпитване;</w:t>
      </w:r>
    </w:p>
    <w:p>
      <w:pPr>
        <w:pStyle w:val="Normal"/>
        <w:spacing w:before="40" w:after="0"/>
        <w:rPr/>
      </w:pPr>
      <w:r>
        <w:rPr>
          <w:sz w:val="24"/>
          <w:szCs w:val="24"/>
        </w:rPr>
        <w:tab/>
        <w:t>4.8.3.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Доказателства за проведено изпитване;</w:t>
      </w:r>
    </w:p>
    <w:p>
      <w:pPr>
        <w:pStyle w:val="Normal"/>
        <w:spacing w:before="40" w:after="0"/>
        <w:rPr/>
      </w:pPr>
      <w:r>
        <w:rPr>
          <w:sz w:val="24"/>
          <w:szCs w:val="24"/>
        </w:rPr>
        <w:tab/>
        <w:t>4.8.4.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Информация за клиента;</w:t>
      </w:r>
    </w:p>
    <w:p>
      <w:pPr>
        <w:pStyle w:val="Normal"/>
        <w:spacing w:before="40" w:after="0"/>
        <w:rPr/>
      </w:pPr>
      <w:r>
        <w:rPr>
          <w:sz w:val="24"/>
          <w:szCs w:val="24"/>
        </w:rPr>
        <w:tab/>
        <w:t>4.8.5.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Рекламации до доставчици;</w:t>
      </w:r>
    </w:p>
    <w:p>
      <w:pPr>
        <w:pStyle w:val="Normal"/>
        <w:spacing w:before="40" w:after="0"/>
        <w:rPr/>
      </w:pPr>
      <w:r>
        <w:rPr>
          <w:sz w:val="24"/>
          <w:szCs w:val="24"/>
        </w:rPr>
        <w:tab/>
        <w:t>4.8.6.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 xml:space="preserve">Допълнителни </w:t>
      </w:r>
      <w:r>
        <w:rPr>
          <w:sz w:val="24"/>
          <w:szCs w:val="24"/>
          <w:lang w:val="bg-BG"/>
        </w:rPr>
        <w:t>изпитвания</w:t>
      </w:r>
      <w:r>
        <w:rPr>
          <w:sz w:val="24"/>
          <w:szCs w:val="24"/>
        </w:rPr>
        <w:t>;</w:t>
      </w:r>
    </w:p>
    <w:p>
      <w:pPr>
        <w:pStyle w:val="Normal"/>
        <w:spacing w:before="40" w:after="0"/>
        <w:rPr/>
      </w:pPr>
      <w:r>
        <w:rPr>
          <w:sz w:val="24"/>
          <w:szCs w:val="24"/>
        </w:rPr>
        <w:tab/>
        <w:t>4.8.7.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Протоколи за одобряване;</w:t>
      </w:r>
    </w:p>
    <w:p>
      <w:pPr>
        <w:pStyle w:val="Normal"/>
        <w:spacing w:before="40" w:after="0"/>
        <w:rPr>
          <w:sz w:val="24"/>
          <w:szCs w:val="24"/>
          <w:lang w:val="bg-BG"/>
        </w:rPr>
      </w:pPr>
      <w:r>
        <w:rPr>
          <w:sz w:val="24"/>
          <w:szCs w:val="24"/>
        </w:rPr>
        <w:tab/>
        <w:t>4.8.8.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Експертизи;</w:t>
      </w:r>
    </w:p>
    <w:p>
      <w:pPr>
        <w:pStyle w:val="Normal"/>
        <w:spacing w:before="40" w:after="0"/>
        <w:rPr/>
      </w:pPr>
      <w:r>
        <w:rPr>
          <w:sz w:val="24"/>
          <w:szCs w:val="24"/>
          <w:lang w:val="bg-BG"/>
        </w:rPr>
        <w:tab/>
        <w:t>4.8.9. Други.</w:t>
      </w:r>
    </w:p>
    <w:p>
      <w:pPr>
        <w:pStyle w:val="Style12"/>
        <w:widowControl w:val="false"/>
        <w:numPr>
          <w:ilvl w:val="0"/>
          <w:numId w:val="0"/>
        </w:numPr>
        <w:tabs>
          <w:tab w:val="left" w:pos="720" w:leader="none"/>
        </w:tabs>
        <w:ind w:hanging="0" w:start="284" w:end="284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Style12"/>
        <w:widowControl w:val="false"/>
        <w:numPr>
          <w:ilvl w:val="0"/>
          <w:numId w:val="0"/>
        </w:numPr>
        <w:tabs>
          <w:tab w:val="left" w:pos="720" w:leader="none"/>
        </w:tabs>
        <w:ind w:hanging="0" w:start="284" w:end="28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2"/>
        <w:widowControl w:val="false"/>
        <w:numPr>
          <w:ilvl w:val="0"/>
          <w:numId w:val="0"/>
        </w:numPr>
        <w:tabs>
          <w:tab w:val="left" w:pos="720" w:leader="none"/>
        </w:tabs>
        <w:ind w:hanging="0" w:start="284" w:end="28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2"/>
        <w:widowControl w:val="false"/>
        <w:numPr>
          <w:ilvl w:val="0"/>
          <w:numId w:val="0"/>
        </w:numPr>
        <w:tabs>
          <w:tab w:val="left" w:pos="720" w:leader="none"/>
        </w:tabs>
        <w:ind w:hanging="0" w:start="284" w:end="28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2"/>
        <w:widowControl w:val="false"/>
        <w:numPr>
          <w:ilvl w:val="0"/>
          <w:numId w:val="0"/>
        </w:numPr>
        <w:tabs>
          <w:tab w:val="left" w:pos="720" w:leader="none"/>
        </w:tabs>
        <w:ind w:hanging="0" w:start="284" w:end="28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2"/>
        <w:widowControl w:val="false"/>
        <w:numPr>
          <w:ilvl w:val="0"/>
          <w:numId w:val="0"/>
        </w:numPr>
        <w:tabs>
          <w:tab w:val="left" w:pos="720" w:leader="none"/>
        </w:tabs>
        <w:ind w:hanging="0" w:start="284" w:end="28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5.ДЕЙНОСТИ, ОТГОВОРНОСТИ И ПЪЛНОМОЩИЯ.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</w:rPr>
        <w:tab/>
        <w:t>Отговорностите и пълномощията в дейностите по управлението на несъответстващия продукт, са регламентирани в дадената по-долу таблица.</w:t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МАТРИЦА ЗА ДЕЙНОСТИ, ОТГОВОРНОСТИ И ПЪЛНОМОЩИЯ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9356" w:type="dxa"/>
        <w:jc w:val="start"/>
        <w:tblInd w:w="17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444"/>
        <w:gridCol w:w="4774"/>
        <w:gridCol w:w="992"/>
        <w:gridCol w:w="1038"/>
        <w:gridCol w:w="1115"/>
        <w:gridCol w:w="993"/>
      </w:tblGrid>
      <w:tr>
        <w:trPr/>
        <w:tc>
          <w:tcPr>
            <w:tcW w:w="44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477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4138" w:type="dxa"/>
            <w:gridSpan w:val="4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ОТГОВОРНОСТИ И</w:t>
            </w:r>
          </w:p>
        </w:tc>
      </w:tr>
      <w:tr>
        <w:trPr/>
        <w:tc>
          <w:tcPr>
            <w:tcW w:w="44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№</w:t>
            </w:r>
          </w:p>
        </w:tc>
        <w:tc>
          <w:tcPr>
            <w:tcW w:w="477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ДЕЙНОСТИ</w:t>
            </w:r>
          </w:p>
        </w:tc>
        <w:tc>
          <w:tcPr>
            <w:tcW w:w="4138" w:type="dxa"/>
            <w:gridSpan w:val="4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9"/>
              <w:tabs>
                <w:tab w:val="left" w:pos="720" w:leader="none"/>
              </w:tabs>
              <w:spacing w:before="240" w:after="60"/>
              <w:ind w:hanging="0" w:start="0"/>
              <w:jc w:val="center"/>
              <w:rPr>
                <w:rFonts w:ascii="Times New Roman" w:hAnsi="Times New Roman" w:cs="Times New Roman"/>
                <w:i w:val="false"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 w:val="false"/>
                <w:iCs/>
                <w:sz w:val="24"/>
                <w:szCs w:val="24"/>
              </w:rPr>
              <w:t>ПЪЛНОМОЩИЯ</w:t>
            </w:r>
          </w:p>
        </w:tc>
      </w:tr>
      <w:tr>
        <w:trPr/>
        <w:tc>
          <w:tcPr>
            <w:tcW w:w="444" w:type="dxa"/>
            <w:tcBorders>
              <w:start w:val="single" w:sz="6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i w:val="false"/>
                <w:iCs/>
                <w:sz w:val="24"/>
                <w:szCs w:val="24"/>
                <w:lang w:val="en-GB"/>
              </w:rPr>
            </w:pPr>
            <w:r>
              <w:rPr>
                <w:rFonts w:cs="Times New Roman"/>
                <w:b/>
                <w:bCs/>
                <w:i w:val="false"/>
                <w:iCs/>
                <w:sz w:val="24"/>
                <w:szCs w:val="24"/>
                <w:lang w:val="en-GB"/>
              </w:rPr>
            </w:r>
          </w:p>
        </w:tc>
        <w:tc>
          <w:tcPr>
            <w:tcW w:w="4774" w:type="dxa"/>
            <w:tcBorders>
              <w:start w:val="single" w:sz="6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</w:t>
            </w:r>
          </w:p>
        </w:tc>
        <w:tc>
          <w:tcPr>
            <w:tcW w:w="1038" w:type="dxa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</w:t>
            </w:r>
          </w:p>
        </w:tc>
      </w:tr>
      <w:tr>
        <w:trPr/>
        <w:tc>
          <w:tcPr>
            <w:tcW w:w="444" w:type="dxa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774" w:type="dxa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ind w:start="115"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Идентифициране на продукт, несъответстващ на изискванията</w:t>
            </w:r>
          </w:p>
        </w:tc>
        <w:tc>
          <w:tcPr>
            <w:tcW w:w="992" w:type="dxa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12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038" w:type="dxa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4"/>
                <w:lang w:val="bg-BG"/>
              </w:rPr>
              <w:t>НЦ, ИП</w:t>
            </w:r>
          </w:p>
        </w:tc>
        <w:tc>
          <w:tcPr>
            <w:tcW w:w="1115" w:type="dxa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НЦ</w:t>
            </w:r>
          </w:p>
        </w:tc>
        <w:tc>
          <w:tcPr>
            <w:tcW w:w="993" w:type="dxa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444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774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40"/>
              <w:ind w:start="113"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Отделяне на несъответстващите продукти</w:t>
            </w:r>
          </w:p>
        </w:tc>
        <w:tc>
          <w:tcPr>
            <w:tcW w:w="992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038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ИП</w:t>
            </w:r>
          </w:p>
        </w:tc>
        <w:tc>
          <w:tcPr>
            <w:tcW w:w="1115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4"/>
                <w:lang w:val="bg-BG"/>
              </w:rPr>
              <w:t>НЦ</w:t>
            </w:r>
          </w:p>
        </w:tc>
        <w:tc>
          <w:tcPr>
            <w:tcW w:w="993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444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774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ind w:start="115"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Преглед и разпореждане с продукт, който не съответства на определените изисквания</w:t>
            </w:r>
          </w:p>
        </w:tc>
        <w:tc>
          <w:tcPr>
            <w:tcW w:w="992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12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038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4"/>
                <w:lang w:val="bg-BG"/>
              </w:rPr>
              <w:t>НЦ, ИП</w:t>
            </w:r>
          </w:p>
        </w:tc>
        <w:tc>
          <w:tcPr>
            <w:tcW w:w="1115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4"/>
                <w:lang w:val="bg-BG"/>
              </w:rPr>
              <w:t>НЦ</w:t>
            </w:r>
          </w:p>
        </w:tc>
        <w:tc>
          <w:tcPr>
            <w:tcW w:w="993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444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774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ind w:start="115"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Документиране на дейностите по управлението на продукт с несъответствия</w:t>
            </w:r>
          </w:p>
        </w:tc>
        <w:tc>
          <w:tcPr>
            <w:tcW w:w="992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12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038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4"/>
                <w:lang w:val="bg-BG"/>
              </w:rPr>
              <w:t>НЦ, ИП</w:t>
            </w:r>
          </w:p>
        </w:tc>
        <w:tc>
          <w:tcPr>
            <w:tcW w:w="1115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4"/>
                <w:lang w:val="bg-BG"/>
              </w:rPr>
              <w:t>НЦ</w:t>
            </w:r>
          </w:p>
        </w:tc>
        <w:tc>
          <w:tcPr>
            <w:tcW w:w="993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444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774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ind w:start="115"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Предотвратяване на повторна проява на несъответствия</w:t>
            </w:r>
          </w:p>
        </w:tc>
        <w:tc>
          <w:tcPr>
            <w:tcW w:w="992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12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038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4"/>
                <w:lang w:val="bg-BG"/>
              </w:rPr>
              <w:t>НЦ, ИП</w:t>
            </w:r>
          </w:p>
        </w:tc>
        <w:tc>
          <w:tcPr>
            <w:tcW w:w="1115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4"/>
                <w:lang w:val="bg-BG"/>
              </w:rPr>
              <w:t>НЦ</w:t>
            </w:r>
          </w:p>
        </w:tc>
        <w:tc>
          <w:tcPr>
            <w:tcW w:w="993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444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774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40"/>
              <w:ind w:start="113"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Бракуване на продукти от доставчици</w:t>
            </w:r>
          </w:p>
        </w:tc>
        <w:tc>
          <w:tcPr>
            <w:tcW w:w="992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038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К, Сч</w:t>
            </w:r>
          </w:p>
        </w:tc>
        <w:tc>
          <w:tcPr>
            <w:tcW w:w="1115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4"/>
                <w:lang w:val="bg-BG"/>
              </w:rPr>
              <w:t>НЦ</w:t>
            </w:r>
          </w:p>
        </w:tc>
        <w:tc>
          <w:tcPr>
            <w:tcW w:w="993" w:type="dxa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</w:tbl>
    <w:p>
      <w:pPr>
        <w:pStyle w:val="Heading4"/>
        <w:ind w:hanging="0" w:start="0"/>
        <w:jc w:val="center"/>
        <w:rPr>
          <w:b/>
          <w:bCs/>
          <w:i w:val="false"/>
          <w:iCs/>
          <w:sz w:val="24"/>
          <w:szCs w:val="24"/>
        </w:rPr>
      </w:pPr>
      <w:r>
        <w:rPr>
          <w:b/>
          <w:bCs/>
          <w:i w:val="false"/>
          <w:iCs/>
          <w:sz w:val="24"/>
          <w:szCs w:val="24"/>
        </w:rPr>
      </w:r>
    </w:p>
    <w:p>
      <w:pPr>
        <w:pStyle w:val="Heading4"/>
        <w:ind w:hanging="0" w:start="0"/>
        <w:jc w:val="center"/>
        <w:rPr>
          <w:rFonts w:eastAsia="Arial Unicode MS"/>
          <w:b/>
          <w:bCs/>
          <w:i w:val="false"/>
          <w:iCs/>
          <w:sz w:val="24"/>
          <w:szCs w:val="24"/>
        </w:rPr>
      </w:pPr>
      <w:r>
        <w:rPr>
          <w:b/>
          <w:bCs/>
          <w:i w:val="false"/>
          <w:iCs/>
          <w:sz w:val="24"/>
          <w:szCs w:val="24"/>
        </w:rPr>
        <w:t>ЛЕГЕНДА</w:t>
      </w:r>
    </w:p>
    <w:p>
      <w:pPr>
        <w:pStyle w:val="Style12"/>
        <w:widowControl w:val="false"/>
        <w:numPr>
          <w:ilvl w:val="0"/>
          <w:numId w:val="0"/>
        </w:numPr>
        <w:spacing w:before="60" w:after="0"/>
        <w:ind w:hanging="0" w:start="0"/>
        <w:rPr>
          <w:rFonts w:eastAsia="Arial Unicode MS"/>
          <w:b/>
          <w:bCs/>
          <w:i/>
          <w:iCs/>
          <w:sz w:val="24"/>
          <w:szCs w:val="24"/>
        </w:rPr>
      </w:pPr>
      <w:r>
        <w:rPr>
          <w:rFonts w:eastAsia="Arial Unicode MS"/>
          <w:b/>
          <w:bCs/>
          <w:i/>
          <w:iCs/>
          <w:sz w:val="24"/>
          <w:szCs w:val="24"/>
        </w:rPr>
      </w:r>
    </w:p>
    <w:tbl>
      <w:tblPr>
        <w:tblW w:w="9356" w:type="dxa"/>
        <w:jc w:val="start"/>
        <w:tblInd w:w="255" w:type="dxa"/>
        <w:tblLayout w:type="fixed"/>
        <w:tblCellMar>
          <w:top w:w="0" w:type="dxa"/>
          <w:start w:w="113" w:type="dxa"/>
          <w:bottom w:w="0" w:type="dxa"/>
          <w:end w:w="113" w:type="dxa"/>
        </w:tblCellMar>
      </w:tblPr>
      <w:tblGrid>
        <w:gridCol w:w="2977"/>
        <w:gridCol w:w="6379"/>
      </w:tblGrid>
      <w:tr>
        <w:trPr>
          <w:cantSplit/>
        </w:trPr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 (РЕШЕНИЕ)</w:t>
            </w:r>
          </w:p>
        </w:tc>
        <w:tc>
          <w:tcPr>
            <w:tcW w:w="63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0"/>
              <w:jc w:val="both"/>
              <w:rPr/>
            </w:pPr>
            <w:r>
              <w:rPr>
                <w:b/>
                <w:sz w:val="24"/>
                <w:szCs w:val="24"/>
              </w:rPr>
              <w:t>Р</w:t>
            </w:r>
            <w:r>
              <w:rPr>
                <w:sz w:val="24"/>
                <w:szCs w:val="24"/>
              </w:rPr>
              <w:t>ъководителят на посоченото звено или длъжностно лице е упълномощен да взема решение по дадената дейност и носи отговорност за същото</w:t>
            </w:r>
          </w:p>
        </w:tc>
      </w:tr>
      <w:tr>
        <w:trPr>
          <w:cantSplit/>
        </w:trPr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 (ОСЪЩЕСТВЯВАНЕ)</w:t>
            </w:r>
          </w:p>
        </w:tc>
        <w:tc>
          <w:tcPr>
            <w:tcW w:w="63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0"/>
              <w:jc w:val="both"/>
              <w:rPr/>
            </w:pPr>
            <w:r>
              <w:rPr>
                <w:b/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осоченият ръководител на звено или длъжностно лице е упълномощен и отговорен за осъществяването на дадената дейност</w:t>
            </w:r>
          </w:p>
        </w:tc>
      </w:tr>
      <w:tr>
        <w:trPr>
          <w:cantSplit/>
        </w:trPr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 (СЪДЕЙСТВИЕ)</w:t>
            </w:r>
          </w:p>
        </w:tc>
        <w:tc>
          <w:tcPr>
            <w:tcW w:w="63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0"/>
              <w:jc w:val="both"/>
              <w:rPr/>
            </w:pPr>
            <w:r>
              <w:rPr>
                <w:b/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осоченият ръководител на звено или длъжностно лице сътрудничи, съгласува и подкрепя осъществяването на дадената дейност</w:t>
            </w:r>
          </w:p>
        </w:tc>
      </w:tr>
      <w:tr>
        <w:trPr>
          <w:cantSplit/>
        </w:trPr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rPr/>
            </w:pPr>
            <w:r>
              <w:rPr>
                <w:b/>
                <w:sz w:val="24"/>
                <w:szCs w:val="24"/>
              </w:rPr>
              <w:t>И (ИНФОРМИРАНЕ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63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0"/>
              <w:jc w:val="both"/>
              <w:rPr/>
            </w:pPr>
            <w:r>
              <w:rPr>
                <w:b/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осоченият ръководител на звено или длъжностно лице трябва да бъде информиран от длъжностното лице, осъществило дадената дейност</w:t>
            </w:r>
          </w:p>
        </w:tc>
      </w:tr>
    </w:tbl>
    <w:p>
      <w:pPr>
        <w:pStyle w:val="Normal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</w:p>
    <w:p>
      <w:pPr>
        <w:pStyle w:val="Normal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56" w:type="dxa"/>
        <w:jc w:val="start"/>
        <w:tblInd w:w="255" w:type="dxa"/>
        <w:tblLayout w:type="fixed"/>
        <w:tblCellMar>
          <w:top w:w="0" w:type="dxa"/>
          <w:start w:w="113" w:type="dxa"/>
          <w:bottom w:w="0" w:type="dxa"/>
          <w:end w:w="113" w:type="dxa"/>
        </w:tblCellMar>
      </w:tblPr>
      <w:tblGrid>
        <w:gridCol w:w="1264"/>
        <w:gridCol w:w="8092"/>
      </w:tblGrid>
      <w:tr>
        <w:trPr/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rFonts w:eastAsia="Arial Unicode MS"/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У</w:t>
            </w:r>
          </w:p>
        </w:tc>
        <w:tc>
          <w:tcPr>
            <w:tcW w:w="8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bCs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У</w:t>
            </w:r>
            <w:r>
              <w:rPr>
                <w:sz w:val="24"/>
                <w:szCs w:val="24"/>
                <w:lang w:val="bg-BG"/>
              </w:rPr>
              <w:t>правител</w:t>
            </w:r>
          </w:p>
        </w:tc>
      </w:tr>
      <w:tr>
        <w:trPr/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rFonts w:eastAsia="Arial Unicode MS"/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НЦ</w:t>
            </w:r>
          </w:p>
        </w:tc>
        <w:tc>
          <w:tcPr>
            <w:tcW w:w="8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bCs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Н</w:t>
            </w:r>
            <w:r>
              <w:rPr>
                <w:sz w:val="24"/>
                <w:szCs w:val="24"/>
                <w:lang w:val="bg-BG"/>
              </w:rPr>
              <w:t>ачалник цех</w:t>
            </w:r>
          </w:p>
        </w:tc>
      </w:tr>
      <w:tr>
        <w:trPr/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ИП</w:t>
            </w:r>
          </w:p>
        </w:tc>
        <w:tc>
          <w:tcPr>
            <w:tcW w:w="8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И</w:t>
            </w:r>
            <w:r>
              <w:rPr>
                <w:bCs/>
                <w:sz w:val="24"/>
                <w:szCs w:val="24"/>
                <w:lang w:val="bg-BG"/>
              </w:rPr>
              <w:t>зпълнителски персонал</w:t>
            </w:r>
          </w:p>
        </w:tc>
      </w:tr>
      <w:tr>
        <w:trPr/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К</w:t>
            </w:r>
          </w:p>
        </w:tc>
        <w:tc>
          <w:tcPr>
            <w:tcW w:w="8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/>
            </w:pPr>
            <w:r>
              <w:rPr>
                <w:b/>
                <w:bCs/>
                <w:sz w:val="24"/>
                <w:szCs w:val="24"/>
                <w:lang w:val="bg-BG"/>
              </w:rPr>
              <w:t>К</w:t>
            </w:r>
            <w:r>
              <w:rPr>
                <w:sz w:val="24"/>
                <w:szCs w:val="24"/>
                <w:lang w:val="bg-BG"/>
              </w:rPr>
              <w:t>омисия</w:t>
            </w:r>
          </w:p>
        </w:tc>
      </w:tr>
      <w:tr>
        <w:trPr/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Сч</w:t>
            </w:r>
          </w:p>
        </w:tc>
        <w:tc>
          <w:tcPr>
            <w:tcW w:w="8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/>
            </w:pPr>
            <w:r>
              <w:rPr>
                <w:b/>
                <w:bCs/>
                <w:sz w:val="24"/>
                <w:szCs w:val="24"/>
                <w:lang w:val="bg-BG"/>
              </w:rPr>
              <w:t>С</w:t>
            </w:r>
            <w:r>
              <w:rPr>
                <w:sz w:val="24"/>
                <w:szCs w:val="24"/>
                <w:lang w:val="bg-BG"/>
              </w:rPr>
              <w:t>четоводител</w:t>
            </w:r>
          </w:p>
        </w:tc>
      </w:tr>
    </w:tbl>
    <w:p>
      <w:pPr>
        <w:pStyle w:val="Normal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</w:p>
    <w:p>
      <w:pPr>
        <w:pStyle w:val="Normal"/>
        <w:rPr>
          <w:sz w:val="24"/>
          <w:szCs w:val="24"/>
          <w:u w:val="single"/>
          <w:lang w:val="bg-BG"/>
        </w:rPr>
      </w:pPr>
      <w:r>
        <w:rPr>
          <w:sz w:val="24"/>
          <w:szCs w:val="24"/>
          <w:u w:val="single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720" w:end="0"/>
        <w:rPr/>
      </w:pPr>
      <w:r>
        <w:rPr>
          <w:b/>
          <w:sz w:val="24"/>
          <w:szCs w:val="24"/>
        </w:rPr>
        <w:t>6.</w:t>
      </w:r>
      <w:r>
        <w:rPr>
          <w:b/>
          <w:sz w:val="24"/>
          <w:szCs w:val="24"/>
          <w:lang w:val="bg-BG"/>
        </w:rPr>
        <w:t xml:space="preserve"> </w:t>
      </w:r>
      <w:r>
        <w:rPr>
          <w:b/>
          <w:sz w:val="24"/>
          <w:szCs w:val="24"/>
        </w:rPr>
        <w:t>ПОСЛЕДОВАТЕЛНОСТ ПРИ ПРИЛАГАНЕ НА ПРОЦЕДУРАТА.</w:t>
      </w:r>
    </w:p>
    <w:p>
      <w:pPr>
        <w:pStyle w:val="Normal"/>
        <w:ind w:end="284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  <w:t>6.1.Идентификация на продукт, несъответстващ на изискванията.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2"/>
        <w:rPr/>
      </w:pPr>
      <w:r>
        <w:rPr>
          <w:sz w:val="24"/>
          <w:szCs w:val="24"/>
        </w:rPr>
        <w:tab/>
        <w:t xml:space="preserve">6.1.1.Идентификацията на несъответстващ продукт, получен от доставчик, е съобразно изискванията за идентификация и проследимост в дружеството. След получаване на необходимата информация от дейността по окачествяване, </w:t>
      </w:r>
      <w:r>
        <w:rPr>
          <w:sz w:val="24"/>
          <w:szCs w:val="24"/>
          <w:lang w:val="bg-BG"/>
        </w:rPr>
        <w:t>се попълва</w:t>
      </w:r>
      <w:r>
        <w:rPr>
          <w:sz w:val="24"/>
          <w:szCs w:val="24"/>
        </w:rPr>
        <w:t xml:space="preserve"> информация в стелажен етикет с подходяща цветна маркировка. С него се обозначава степента на несъответствие. При предаване на продукти от склада се попълва </w:t>
      </w:r>
      <w:r>
        <w:rPr>
          <w:sz w:val="24"/>
          <w:szCs w:val="24"/>
          <w:lang w:val="bg-BG"/>
        </w:rPr>
        <w:t xml:space="preserve">предавателен </w:t>
      </w:r>
      <w:r>
        <w:rPr>
          <w:sz w:val="24"/>
          <w:szCs w:val="24"/>
        </w:rPr>
        <w:t xml:space="preserve">документ, в който се обозначава </w:t>
      </w:r>
      <w:r>
        <w:rPr>
          <w:sz w:val="24"/>
          <w:szCs w:val="24"/>
          <w:lang w:val="bg-BG"/>
        </w:rPr>
        <w:t>статуса на продукта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bg-BG"/>
        </w:rPr>
        <w:t>М</w:t>
      </w:r>
      <w:r>
        <w:rPr>
          <w:sz w:val="24"/>
          <w:szCs w:val="24"/>
        </w:rPr>
        <w:t xml:space="preserve">оже да бъде издаден само продукт, който има ограничени несъответствия. За него следва да е получено решение за пренасочване и използване за друго предназначение. На тази база той се допуска. За всички оставащи случаи на несъответстващ продукт </w:t>
      </w:r>
      <w:r>
        <w:rPr>
          <w:sz w:val="24"/>
          <w:szCs w:val="24"/>
          <w:lang w:val="bg-BG"/>
        </w:rPr>
        <w:t>се прибягва до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 xml:space="preserve">съхранение в склада </w:t>
      </w:r>
      <w:r>
        <w:rPr>
          <w:sz w:val="24"/>
          <w:szCs w:val="24"/>
        </w:rPr>
        <w:t xml:space="preserve">до </w:t>
      </w:r>
      <w:r>
        <w:rPr>
          <w:sz w:val="24"/>
          <w:szCs w:val="24"/>
          <w:lang w:val="bg-BG"/>
        </w:rPr>
        <w:t xml:space="preserve">вземане </w:t>
      </w:r>
      <w:r>
        <w:rPr>
          <w:sz w:val="24"/>
          <w:szCs w:val="24"/>
        </w:rPr>
        <w:t>решение на въпроса с неговия доставчик.</w:t>
      </w:r>
    </w:p>
    <w:p>
      <w:pPr>
        <w:pStyle w:val="2"/>
        <w:rPr>
          <w:sz w:val="24"/>
          <w:szCs w:val="24"/>
        </w:rPr>
      </w:pPr>
      <w:r>
        <w:rPr>
          <w:sz w:val="24"/>
          <w:szCs w:val="24"/>
        </w:rPr>
        <w:tab/>
        <w:t>6.1.2.За случаите на идентификация на несъответстващ продукт, в рамките на основните технологични процеси на производство, се вземат необходимите мерки съобразно т. 4.4. Тяхната идентификация се обозначава с отделянето им в определена зона за несъответстващи продукти.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  <w:t>6.2.Отделяне на несъответстващи продукти.</w:t>
      </w:r>
    </w:p>
    <w:p>
      <w:pPr>
        <w:pStyle w:val="2"/>
        <w:rPr>
          <w:sz w:val="24"/>
          <w:szCs w:val="24"/>
        </w:rPr>
      </w:pPr>
      <w:r>
        <w:rPr>
          <w:sz w:val="24"/>
          <w:szCs w:val="24"/>
        </w:rPr>
        <w:tab/>
        <w:t>6.2.1.Несъответстващите продукти се отделят в обособени и идентифицирани за целта зони. В тази връзка се прилагат изискванията за идентификация и проследимост.</w:t>
      </w:r>
    </w:p>
    <w:p>
      <w:pPr>
        <w:pStyle w:val="2"/>
        <w:rPr>
          <w:sz w:val="24"/>
          <w:szCs w:val="24"/>
        </w:rPr>
      </w:pPr>
      <w:r>
        <w:rPr>
          <w:sz w:val="24"/>
          <w:szCs w:val="24"/>
        </w:rPr>
        <w:tab/>
        <w:t>6.2.2.В рамките на закритите площи на дружеството, в зависимост от статуса на продукта, се оформят зони за:</w:t>
      </w:r>
    </w:p>
    <w:p>
      <w:pPr>
        <w:pStyle w:val="Normal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Чакащи за уреждане на рекламация;</w:t>
      </w:r>
    </w:p>
    <w:p>
      <w:pPr>
        <w:pStyle w:val="Normal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За пресортиране или корекция </w:t>
      </w:r>
      <w:r>
        <w:rPr>
          <w:sz w:val="24"/>
          <w:szCs w:val="24"/>
          <w:lang w:val="bg-BG"/>
        </w:rPr>
        <w:t>/</w:t>
      </w:r>
      <w:r>
        <w:rPr>
          <w:sz w:val="24"/>
          <w:szCs w:val="24"/>
        </w:rPr>
        <w:t>преработка</w:t>
      </w:r>
      <w:r>
        <w:rPr>
          <w:sz w:val="24"/>
          <w:szCs w:val="24"/>
          <w:lang w:val="bg-BG"/>
        </w:rPr>
        <w:t>/</w:t>
      </w:r>
      <w:r>
        <w:rPr>
          <w:sz w:val="24"/>
          <w:szCs w:val="24"/>
        </w:rPr>
        <w:t>;</w:t>
      </w:r>
    </w:p>
    <w:p>
      <w:pPr>
        <w:pStyle w:val="Normal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За бракуване.</w:t>
      </w:r>
      <w:r>
        <w:rPr>
          <w:sz w:val="24"/>
          <w:szCs w:val="24"/>
          <w:lang w:val="bg-BG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2"/>
        <w:widowControl w:val="false"/>
        <w:numPr>
          <w:ilvl w:val="0"/>
          <w:numId w:val="0"/>
        </w:numPr>
        <w:ind w:hanging="0" w:start="0"/>
        <w:rPr/>
      </w:pPr>
      <w:r>
        <w:rPr>
          <w:sz w:val="24"/>
          <w:szCs w:val="24"/>
        </w:rPr>
        <w:tab/>
        <w:t xml:space="preserve">6.2.3.В зависимост от конкретната ситуация или вида на продуктите, идентифицираните зони могат да се изпълняват и от подходящи устройства с фиксиран обем и местоположение. Крайната цел на създаваната в </w:t>
      </w:r>
      <w:r>
        <w:rPr>
          <w:b/>
          <w:sz w:val="24"/>
          <w:szCs w:val="24"/>
          <w:lang w:val="ru-RU"/>
        </w:rPr>
        <w:t>"Артпласт" ЕООД</w:t>
      </w:r>
      <w:r>
        <w:rPr>
          <w:sz w:val="24"/>
          <w:szCs w:val="24"/>
        </w:rPr>
        <w:t xml:space="preserve"> организация на работа е предотвратяване на всякакви условия за смесване на съответстващи с несъответстващи продукти.</w:t>
      </w:r>
    </w:p>
    <w:p>
      <w:pPr>
        <w:pStyle w:val="Normal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jc w:val="both"/>
        <w:rPr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>6.3.Преглед и разпореждане с продукт, който не съответства на определените изисквания.</w:t>
      </w:r>
    </w:p>
    <w:p>
      <w:pPr>
        <w:pStyle w:val="2"/>
        <w:rPr/>
      </w:pPr>
      <w:r>
        <w:rPr>
          <w:sz w:val="24"/>
          <w:szCs w:val="24"/>
        </w:rPr>
        <w:tab/>
        <w:t xml:space="preserve">6.3.1.Прегледът и разпореждането с продукт, с констатирани несъответствия, получаван от доставчик се извършва съгласно показанията на протокола. До решаване на въпроса с рекламирания продукт пред доставчика, същият е на съхранение в склад на дружеството. </w:t>
      </w:r>
      <w:r>
        <w:rPr>
          <w:sz w:val="24"/>
          <w:szCs w:val="24"/>
          <w:lang w:val="ru-RU"/>
        </w:rPr>
        <w:t xml:space="preserve">В случай на положително за </w:t>
      </w:r>
      <w:r>
        <w:rPr>
          <w:b/>
          <w:sz w:val="24"/>
          <w:szCs w:val="24"/>
          <w:lang w:val="ru-RU"/>
        </w:rPr>
        <w:t>"Артпласт" ЕООД</w:t>
      </w:r>
      <w:r>
        <w:rPr>
          <w:sz w:val="24"/>
          <w:szCs w:val="24"/>
          <w:lang w:val="ru-RU"/>
        </w:rPr>
        <w:t xml:space="preserve"> решение на рекламацията, продуктът се връща на доставчика. </w:t>
      </w:r>
      <w:r>
        <w:rPr>
          <w:sz w:val="24"/>
          <w:szCs w:val="24"/>
        </w:rPr>
        <w:t>В случай на отрицателно решение, в зависимост от състоянието на продукта, се оформя неговото бракуване или пренасочването му за други цели.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2"/>
        <w:rPr>
          <w:sz w:val="24"/>
          <w:szCs w:val="24"/>
          <w:lang w:val="ru-RU"/>
        </w:rPr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 xml:space="preserve">6.3.2.Прегледът на продуктите, произведени от дружеството, несъответстващи на изискванията се извършва от </w:t>
      </w:r>
      <w:r>
        <w:rPr>
          <w:sz w:val="24"/>
          <w:szCs w:val="24"/>
          <w:lang w:val="bg-BG"/>
        </w:rPr>
        <w:t>началник смяна</w:t>
      </w:r>
      <w:r>
        <w:rPr>
          <w:sz w:val="24"/>
          <w:szCs w:val="24"/>
          <w:lang w:val="ru-RU"/>
        </w:rPr>
        <w:t xml:space="preserve"> съвместно с комисията, подписала протокола.Изготвя се документ за статуса на продукта с указания за последващи действия - ДПП 12.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2"/>
        <w:rPr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 xml:space="preserve">6.3.3.За случаите на несъответствия, открити при клиента на продукта и предявени рекламации към дружеството се </w:t>
      </w:r>
      <w:r>
        <w:rPr>
          <w:sz w:val="24"/>
          <w:szCs w:val="24"/>
          <w:lang w:val="bg-BG"/>
        </w:rPr>
        <w:t>извършва своевременна замяна на продукта</w:t>
      </w:r>
      <w:r>
        <w:rPr>
          <w:sz w:val="24"/>
          <w:szCs w:val="24"/>
        </w:rPr>
        <w:t>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</w:rPr>
        <w:tab/>
        <w:t>6.3.4.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>За повтарящи се несъответствия в големи размери, от получавани или произведени продукти, се определят и предприемат подходящи коригиращи или превантивни действия, съгласно изискванията на П</w:t>
      </w:r>
      <w:r>
        <w:rPr>
          <w:sz w:val="24"/>
          <w:szCs w:val="24"/>
          <w:lang w:val="bg-BG"/>
        </w:rPr>
        <w:t>Р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bg-BG"/>
        </w:rPr>
        <w:t>05</w:t>
      </w:r>
      <w:r>
        <w:rPr>
          <w:sz w:val="24"/>
          <w:szCs w:val="24"/>
          <w:lang w:val="ru-RU"/>
        </w:rPr>
        <w:t xml:space="preserve"> и П</w:t>
      </w:r>
      <w:r>
        <w:rPr>
          <w:sz w:val="24"/>
          <w:szCs w:val="24"/>
          <w:lang w:val="bg-BG"/>
        </w:rPr>
        <w:t>Р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bg-BG"/>
        </w:rPr>
        <w:t>06</w:t>
      </w:r>
      <w:r>
        <w:rPr>
          <w:sz w:val="24"/>
          <w:szCs w:val="24"/>
          <w:lang w:val="ru-RU"/>
        </w:rPr>
        <w:t>, като:</w:t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numPr>
          <w:ilvl w:val="0"/>
          <w:numId w:val="5"/>
        </w:numPr>
        <w:spacing w:before="40"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Смяна на доставчика с друг или изискване от него за </w:t>
      </w:r>
      <w:r>
        <w:rPr>
          <w:sz w:val="24"/>
          <w:szCs w:val="24"/>
          <w:lang w:val="bg-BG"/>
        </w:rPr>
        <w:t>предотвратяване на несъответствията</w:t>
      </w:r>
      <w:r>
        <w:rPr>
          <w:sz w:val="24"/>
          <w:szCs w:val="24"/>
          <w:lang w:val="ru-RU"/>
        </w:rPr>
        <w:t xml:space="preserve"> за получаваните в </w:t>
      </w:r>
      <w:r>
        <w:rPr>
          <w:b/>
          <w:sz w:val="24"/>
          <w:szCs w:val="24"/>
          <w:lang w:val="ru-RU"/>
        </w:rPr>
        <w:t>"Артпласт" ЕООД</w:t>
      </w:r>
      <w:r>
        <w:rPr>
          <w:sz w:val="24"/>
          <w:szCs w:val="24"/>
          <w:lang w:val="ru-RU"/>
        </w:rPr>
        <w:t xml:space="preserve"> продукти;</w:t>
      </w:r>
    </w:p>
    <w:p>
      <w:pPr>
        <w:pStyle w:val="Normal"/>
        <w:numPr>
          <w:ilvl w:val="0"/>
          <w:numId w:val="6"/>
        </w:numPr>
        <w:spacing w:before="40" w:after="0"/>
        <w:jc w:val="both"/>
        <w:rPr>
          <w:sz w:val="24"/>
          <w:szCs w:val="24"/>
        </w:rPr>
      </w:pPr>
      <w:r>
        <w:rPr>
          <w:sz w:val="24"/>
          <w:szCs w:val="24"/>
          <w:lang w:val="bg-BG"/>
        </w:rPr>
        <w:t>С</w:t>
      </w:r>
      <w:r>
        <w:rPr>
          <w:sz w:val="24"/>
          <w:szCs w:val="24"/>
        </w:rPr>
        <w:t>ъбрание с персонала на звеното, където се допускат несъответствията</w:t>
      </w:r>
      <w:r>
        <w:rPr>
          <w:sz w:val="24"/>
          <w:szCs w:val="24"/>
          <w:lang w:val="bg-BG"/>
        </w:rPr>
        <w:t>, с цел изясняване на причините за неговото възникване</w:t>
      </w:r>
      <w:r>
        <w:rPr>
          <w:sz w:val="24"/>
          <w:szCs w:val="24"/>
        </w:rPr>
        <w:t>;</w:t>
      </w:r>
    </w:p>
    <w:p>
      <w:pPr>
        <w:pStyle w:val="Normal"/>
        <w:numPr>
          <w:ilvl w:val="0"/>
          <w:numId w:val="6"/>
        </w:numPr>
        <w:spacing w:before="40"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Провеждане на вътрешни, извънпланови одити за звената, имащи отношение към несъответстващите продукти, съобразно П</w:t>
      </w:r>
      <w:r>
        <w:rPr>
          <w:sz w:val="24"/>
          <w:szCs w:val="24"/>
          <w:lang w:val="bg-BG"/>
        </w:rPr>
        <w:t>Р</w:t>
      </w:r>
      <w:r>
        <w:rPr>
          <w:sz w:val="24"/>
          <w:szCs w:val="24"/>
          <w:lang w:val="ru-RU"/>
        </w:rPr>
        <w:t xml:space="preserve"> 0</w:t>
      </w:r>
      <w:r>
        <w:rPr>
          <w:sz w:val="24"/>
          <w:szCs w:val="24"/>
          <w:lang w:val="bg-BG"/>
        </w:rPr>
        <w:t>3</w:t>
      </w:r>
      <w:r>
        <w:rPr>
          <w:sz w:val="24"/>
          <w:szCs w:val="24"/>
          <w:lang w:val="ru-RU"/>
        </w:rPr>
        <w:t>;</w:t>
      </w:r>
    </w:p>
    <w:p>
      <w:pPr>
        <w:pStyle w:val="Normal"/>
        <w:numPr>
          <w:ilvl w:val="0"/>
          <w:numId w:val="6"/>
        </w:numPr>
        <w:spacing w:before="40" w:after="0"/>
        <w:rPr>
          <w:sz w:val="24"/>
          <w:szCs w:val="24"/>
        </w:rPr>
      </w:pPr>
      <w:r>
        <w:rPr>
          <w:sz w:val="24"/>
          <w:szCs w:val="24"/>
        </w:rPr>
        <w:t>Организиране на подходящо обучение на персонала.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  <w:t>6.4.Документиране на дейностите по управлението на продукт с несъответствия.</w:t>
      </w:r>
    </w:p>
    <w:p>
      <w:pPr>
        <w:pStyle w:val="2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 xml:space="preserve">6.4.1.За документиране на дейностите по управление на продукт, несъответствуващ на определените изисквания се използват протокол </w:t>
      </w:r>
      <w:r>
        <w:rPr>
          <w:sz w:val="24"/>
          <w:szCs w:val="24"/>
          <w:lang w:val="bg-BG"/>
        </w:rPr>
        <w:t xml:space="preserve">за несъответстващ продукт,  </w:t>
      </w:r>
      <w:r>
        <w:rPr>
          <w:sz w:val="24"/>
          <w:szCs w:val="24"/>
          <w:lang w:val="ru-RU"/>
        </w:rPr>
        <w:t>съобразно т. 4.8 от настоящата процедура.</w:t>
      </w:r>
    </w:p>
    <w:p>
      <w:pPr>
        <w:pStyle w:val="2"/>
        <w:rPr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 xml:space="preserve">6.4.2.При протичане на </w:t>
      </w:r>
      <w:r>
        <w:rPr>
          <w:sz w:val="24"/>
          <w:szCs w:val="24"/>
          <w:lang w:val="bg-BG"/>
        </w:rPr>
        <w:t>производствения</w:t>
      </w:r>
      <w:r>
        <w:rPr>
          <w:sz w:val="24"/>
          <w:szCs w:val="24"/>
        </w:rPr>
        <w:t xml:space="preserve"> процес с отклонения, се извършва документиране на несъответствията от изискванията, дори и когато не се очаква това да окаже влияние върху крайното качество на продукта. Документирането се извършва от </w:t>
      </w:r>
      <w:r>
        <w:rPr>
          <w:sz w:val="24"/>
          <w:szCs w:val="24"/>
          <w:lang w:val="bg-BG"/>
        </w:rPr>
        <w:t>отговорните за конкретното производство лица</w:t>
      </w:r>
      <w:r>
        <w:rPr>
          <w:sz w:val="24"/>
          <w:szCs w:val="24"/>
        </w:rPr>
        <w:t>.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</w:rPr>
        <w:tab/>
        <w:t>6.4.3.Крайната цел на всички документирания, свързани с продукт, несъответстващ на определените изисквания, е натрупване на обективна и достоверна информация в разглежданата област от управление на качеството. Същата се използва от висшето ръководство на дружеството за следните основни цели: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numPr>
          <w:ilvl w:val="0"/>
          <w:numId w:val="3"/>
        </w:numPr>
        <w:spacing w:before="40" w:after="0"/>
        <w:rPr>
          <w:sz w:val="24"/>
          <w:szCs w:val="24"/>
        </w:rPr>
      </w:pPr>
      <w:r>
        <w:rPr>
          <w:sz w:val="24"/>
          <w:szCs w:val="24"/>
        </w:rPr>
        <w:t>Набелязване на целесъобразни и ефективни превантивни действия;</w:t>
      </w:r>
    </w:p>
    <w:p>
      <w:pPr>
        <w:pStyle w:val="Normal"/>
        <w:numPr>
          <w:ilvl w:val="0"/>
          <w:numId w:val="3"/>
        </w:numPr>
        <w:spacing w:before="40"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Усъвършенстване на работата на </w:t>
      </w:r>
      <w:r>
        <w:rPr>
          <w:sz w:val="24"/>
          <w:szCs w:val="24"/>
          <w:lang w:val="bg-BG"/>
        </w:rPr>
        <w:t xml:space="preserve">интегрираната </w:t>
      </w:r>
      <w:r>
        <w:rPr>
          <w:sz w:val="24"/>
          <w:szCs w:val="24"/>
          <w:lang w:val="ru-RU"/>
        </w:rPr>
        <w:t>системата за управление;</w:t>
      </w:r>
    </w:p>
    <w:p>
      <w:pPr>
        <w:pStyle w:val="Normal"/>
        <w:numPr>
          <w:ilvl w:val="0"/>
          <w:numId w:val="3"/>
        </w:numPr>
        <w:spacing w:before="40"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Актуализация на провежданата политика по </w:t>
      </w:r>
      <w:r>
        <w:rPr>
          <w:sz w:val="24"/>
          <w:szCs w:val="24"/>
          <w:lang w:val="bg-BG"/>
        </w:rPr>
        <w:t>управление</w:t>
      </w:r>
      <w:r>
        <w:rPr>
          <w:sz w:val="24"/>
          <w:szCs w:val="24"/>
          <w:lang w:val="ru-RU"/>
        </w:rPr>
        <w:t xml:space="preserve">, по време на провежданите прегледи </w:t>
      </w:r>
      <w:r>
        <w:rPr>
          <w:sz w:val="24"/>
          <w:szCs w:val="24"/>
          <w:lang w:val="bg-BG"/>
        </w:rPr>
        <w:t xml:space="preserve">от ръководството, съгласно </w:t>
      </w:r>
      <w:r>
        <w:rPr>
          <w:sz w:val="24"/>
          <w:szCs w:val="24"/>
          <w:lang w:val="ru-RU"/>
        </w:rPr>
        <w:t xml:space="preserve">изискванията на </w:t>
      </w:r>
      <w:r>
        <w:rPr>
          <w:sz w:val="24"/>
          <w:szCs w:val="24"/>
          <w:lang w:val="en-US"/>
        </w:rPr>
        <w:t>ISO 9001:2015</w:t>
      </w:r>
      <w:r>
        <w:rPr>
          <w:sz w:val="24"/>
          <w:szCs w:val="24"/>
          <w:lang w:val="ru-RU"/>
        </w:rPr>
        <w:t>.</w:t>
      </w:r>
    </w:p>
    <w:p>
      <w:pPr>
        <w:pStyle w:val="Normal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rPr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>6.5.Предотвратяване на повторна проява на несъответствия.</w:t>
      </w:r>
    </w:p>
    <w:p>
      <w:pPr>
        <w:pStyle w:val="2"/>
        <w:rPr/>
      </w:pPr>
      <w:r>
        <w:rPr>
          <w:sz w:val="24"/>
          <w:szCs w:val="24"/>
          <w:lang w:val="bg-BG"/>
        </w:rPr>
        <w:tab/>
        <w:t xml:space="preserve">6.5.1. В случай на несъответствие на доставен продукт се търсят възможности за получаването му от друг доставчик. Ако това не е възможно се осъществяват необходимите контакти с компетентни представители на доставчика за подписване на документ, определящ условия за качеството на бъдещите доставки. Паралелно на това, за конкретния продукт, се завишава степента на входящото окачествяване. Тези и други коригиращи действия се предприемат от страна на </w:t>
      </w:r>
      <w:r>
        <w:rPr>
          <w:b/>
          <w:sz w:val="24"/>
          <w:szCs w:val="24"/>
          <w:lang w:val="ru-RU"/>
        </w:rPr>
        <w:t>"Артпласт" ЕООД</w:t>
      </w:r>
      <w:r>
        <w:rPr>
          <w:sz w:val="24"/>
          <w:szCs w:val="24"/>
          <w:lang w:val="bg-BG"/>
        </w:rPr>
        <w:t>, към конкретен доставчик, за недопускане в бъдеще получаването на продукт с несъответствия.</w:t>
      </w:r>
    </w:p>
    <w:p>
      <w:pPr>
        <w:pStyle w:val="Normal"/>
        <w:jc w:val="both"/>
        <w:rPr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>6.5.2.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При констатиране на несъответствие на продукти, произведени в дружеството, текущо се прилагат коригиращи и превантивни действия от звената, в които е открито несъответствието. Действията се базират на анализа на събраната информация (т.6.4.3.) с оглед определяне на проблемите и причините, довели до проявата на констатираното несъответствие в произведения продукт.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</w:rPr>
        <w:tab/>
        <w:t>6.6.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Бракуване на продукти от доставчици.</w:t>
      </w:r>
    </w:p>
    <w:p>
      <w:pPr>
        <w:pStyle w:val="2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 xml:space="preserve">Бракуването на продукти, получени от доставчици, за които процедурата по рекламация е била неуспешна за </w:t>
      </w:r>
      <w:r>
        <w:rPr>
          <w:b/>
          <w:sz w:val="24"/>
          <w:szCs w:val="24"/>
          <w:lang w:val="ru-RU"/>
        </w:rPr>
        <w:t>"Артпласт" ЕООД</w:t>
      </w:r>
      <w:r>
        <w:rPr>
          <w:sz w:val="24"/>
          <w:szCs w:val="24"/>
          <w:lang w:val="ru-RU"/>
        </w:rPr>
        <w:t xml:space="preserve"> и не могат да се използват за други цели, се извършва на базата на “Акт за брак”, съобразно </w:t>
      </w:r>
      <w:r>
        <w:rPr>
          <w:sz w:val="24"/>
          <w:szCs w:val="24"/>
          <w:lang w:val="bg-BG"/>
        </w:rPr>
        <w:t>Закона за счетоводството</w:t>
      </w:r>
      <w:r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</w:rPr>
        <w:t xml:space="preserve">Документът се съставя от комисия, определена със заповед на </w:t>
      </w:r>
      <w:r>
        <w:rPr>
          <w:sz w:val="24"/>
          <w:szCs w:val="24"/>
          <w:lang w:val="bg-BG"/>
        </w:rPr>
        <w:t>Управителя</w:t>
      </w:r>
      <w:r>
        <w:rPr>
          <w:sz w:val="24"/>
          <w:szCs w:val="24"/>
        </w:rPr>
        <w:t xml:space="preserve">, в присъствието на материално отговорното лице в два екземпляра - единият остава за материално отговорното лице, а вторият се предава на </w:t>
      </w:r>
      <w:r>
        <w:rPr>
          <w:sz w:val="24"/>
          <w:szCs w:val="24"/>
          <w:lang w:val="bg-BG"/>
        </w:rPr>
        <w:t xml:space="preserve">Главния </w:t>
      </w:r>
      <w:r>
        <w:rPr>
          <w:sz w:val="24"/>
          <w:szCs w:val="24"/>
        </w:rPr>
        <w:t>счетоводи</w:t>
      </w:r>
      <w:r>
        <w:rPr>
          <w:sz w:val="24"/>
          <w:szCs w:val="24"/>
          <w:lang w:val="bg-BG"/>
        </w:rPr>
        <w:t>тел</w:t>
      </w:r>
      <w:r>
        <w:rPr>
          <w:sz w:val="24"/>
          <w:szCs w:val="24"/>
        </w:rPr>
        <w:t xml:space="preserve">. Актът се утвърждава от </w:t>
      </w:r>
      <w:r>
        <w:rPr>
          <w:sz w:val="24"/>
          <w:szCs w:val="24"/>
          <w:lang w:val="bg-BG"/>
        </w:rPr>
        <w:t>Управителя</w:t>
      </w:r>
      <w:r>
        <w:rPr>
          <w:sz w:val="24"/>
          <w:szCs w:val="24"/>
        </w:rPr>
        <w:t>, след направено заключение от комисията. Бракуваните материални запаси се изписват и унищожават по ред, начин и срокове, регламентирани в нормативни документи от Закона за счетоводство и свързаните с него под законови актове.</w:t>
      </w:r>
    </w:p>
    <w:p>
      <w:pPr>
        <w:pStyle w:val="Normal"/>
        <w:ind w:start="284" w:end="284"/>
        <w:jc w:val="center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p>
      <w:pPr>
        <w:pStyle w:val="Header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</w:r>
    </w:p>
    <w:p>
      <w:pPr>
        <w:pStyle w:val="Head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jc w:val="end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 xml:space="preserve">                </w:t>
      </w:r>
      <w:r>
        <w:rPr>
          <w:b/>
          <w:sz w:val="24"/>
          <w:szCs w:val="24"/>
          <w:lang w:val="bg-BG"/>
        </w:rPr>
        <w:t>ОД 04-01</w:t>
      </w:r>
    </w:p>
    <w:p>
      <w:pPr>
        <w:pStyle w:val="Head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Протокол за несъответствие</w:t>
      </w:r>
    </w:p>
    <w:p>
      <w:pPr>
        <w:pStyle w:val="Head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</w:r>
    </w:p>
    <w:tbl>
      <w:tblPr>
        <w:tblW w:w="98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89"/>
      </w:tblGrid>
      <w:tr>
        <w:trPr/>
        <w:tc>
          <w:tcPr>
            <w:tcW w:w="9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  <w:t>Констатирал  несъответствието:                                                           Структурно звено:</w:t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  <w:t>Длъжност:                                           Подпис                                                                  Дата:</w:t>
            </w:r>
          </w:p>
        </w:tc>
      </w:tr>
      <w:tr>
        <w:trPr/>
        <w:tc>
          <w:tcPr>
            <w:tcW w:w="9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  <w:t>Описание на несъответствието:</w:t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9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  <w:t>Предложение за решение на несъответствието:</w:t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  <w:t>Длъжност:                                           Подпис                                                                  Дата:</w:t>
            </w:r>
          </w:p>
        </w:tc>
      </w:tr>
      <w:tr>
        <w:trPr>
          <w:trHeight w:val="2439" w:hRule="atLeast"/>
        </w:trPr>
        <w:tc>
          <w:tcPr>
            <w:tcW w:w="9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  <w:t>Заключение:</w:t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BodyTextIndent"/>
              <w:tabs>
                <w:tab w:val="clear" w:pos="720"/>
                <w:tab w:val="left" w:pos="-142" w:leader="none"/>
              </w:tabs>
              <w:rPr>
                <w:i/>
                <w:lang w:val="en-US"/>
              </w:rPr>
            </w:pPr>
            <w:r>
              <w:rPr>
                <w:i/>
              </w:rPr>
              <w:t>Длъжност:                                           Подпис                                                                  Дата:</w:t>
            </w:r>
          </w:p>
        </w:tc>
      </w:tr>
    </w:tbl>
    <w:p>
      <w:pPr>
        <w:pStyle w:val="Header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ind w:start="284" w:end="284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008" w:right="864" w:gutter="0" w:header="562" w:top="1872" w:footer="708" w:bottom="1152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Segoe U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ok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thickThinMediumGap" w:sz="12" w:space="1" w:color="000000"/>
      </w:pBdr>
      <w:rPr/>
    </w:pPr>
    <w:r>
      <w:rPr>
        <w:rStyle w:val="PageNumber"/>
        <w:b/>
        <w:bCs/>
        <w:sz w:val="24"/>
        <w:szCs w:val="24"/>
        <w:lang w:val="bg-BG"/>
      </w:rPr>
      <w:tab/>
      <w:tab/>
      <w:tab/>
      <w:tab/>
      <w:tab/>
      <w:tab/>
      <w:tab/>
      <w:tab/>
      <w:tab/>
    </w:r>
    <w:r>
      <w:rPr>
        <w:rStyle w:val="PageNumber"/>
        <w:b/>
        <w:bCs/>
        <w:sz w:val="24"/>
        <w:szCs w:val="24"/>
        <w:lang w:val="en-US"/>
      </w:rPr>
      <w:t xml:space="preserve">ISO 9001:2015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4410"/>
      <w:gridCol w:w="1409"/>
      <w:gridCol w:w="1291"/>
    </w:tblGrid>
    <w:tr>
      <w:trPr>
        <w:trHeight w:val="1029" w:hRule="atLeast"/>
        <w:cantSplit/>
      </w:trPr>
      <w:tc>
        <w:tcPr>
          <w:tcW w:w="2970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tabs>
              <w:tab w:val="clear" w:pos="4153"/>
              <w:tab w:val="clear" w:pos="8306"/>
            </w:tabs>
            <w:snapToGrid w:val="false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5"/>
            <w:spacing w:before="120" w:after="120"/>
            <w:ind w:hanging="0" w:start="0"/>
            <w:jc w:val="center"/>
            <w:rPr>
              <w:b/>
              <w:lang w:val="bg-BG"/>
            </w:rPr>
          </w:pPr>
          <w:r>
            <w:rPr>
              <w:b/>
              <w:sz w:val="22"/>
              <w:szCs w:val="22"/>
              <w:lang w:val="ru-RU"/>
            </w:rPr>
            <w:t>"Артпласт" ЕООД</w:t>
          </w:r>
        </w:p>
      </w:tc>
      <w:tc>
        <w:tcPr>
          <w:tcW w:w="441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>Вид на документа:</w:t>
          </w:r>
        </w:p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2"/>
            <w:ind w:hanging="0" w:start="0"/>
            <w:rPr>
              <w:lang w:val="ru-RU"/>
            </w:rPr>
          </w:pPr>
          <w:r>
            <w:rPr>
              <w:lang w:val="bg-BG"/>
            </w:rPr>
            <w:t xml:space="preserve">Процедура </w:t>
          </w:r>
        </w:p>
        <w:p>
          <w:pPr>
            <w:pStyle w:val="Normal"/>
            <w:jc w:val="center"/>
            <w:rPr>
              <w:i/>
              <w:sz w:val="24"/>
              <w:szCs w:val="24"/>
              <w:lang w:val="ru-RU"/>
            </w:rPr>
          </w:pPr>
          <w:r>
            <w:rPr>
              <w:i/>
              <w:sz w:val="24"/>
              <w:szCs w:val="24"/>
              <w:lang w:val="en-US"/>
            </w:rPr>
            <w:t xml:space="preserve">ISO 9001:2015 </w:t>
          </w:r>
        </w:p>
      </w:tc>
      <w:tc>
        <w:tcPr>
          <w:tcW w:w="2700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BodyText"/>
            <w:spacing w:before="40" w:after="40"/>
            <w:jc w:val="center"/>
            <w:rPr/>
          </w:pPr>
          <w:r>
            <w:rPr>
              <w:b/>
              <w:szCs w:val="24"/>
              <w:lang w:val="bg-BG"/>
            </w:rPr>
            <w:t>ПР 04</w:t>
          </w:r>
        </w:p>
      </w:tc>
    </w:tr>
    <w:tr>
      <w:trPr>
        <w:trHeight w:val="582" w:hRule="atLeast"/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Издадена на дата:</w:t>
          </w:r>
        </w:p>
        <w:p>
          <w:pPr>
            <w:pStyle w:val="Normal"/>
            <w:jc w:val="center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  <w:t>11.05.2020г.</w:t>
          </w:r>
        </w:p>
      </w:tc>
      <w:tc>
        <w:tcPr>
          <w:tcW w:w="441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</w:r>
        </w:p>
      </w:tc>
      <w:tc>
        <w:tcPr>
          <w:tcW w:w="2700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Разработена от:              Подпис:</w:t>
          </w:r>
        </w:p>
        <w:p>
          <w:pPr>
            <w:pStyle w:val="Heading1"/>
            <w:ind w:hanging="0" w:start="0"/>
            <w:jc w:val="start"/>
            <w:rPr>
              <w:b w:val="false"/>
              <w:sz w:val="16"/>
              <w:szCs w:val="16"/>
              <w:lang w:val="bg-BG"/>
            </w:rPr>
          </w:pPr>
          <w:r>
            <w:rPr>
              <w:b w:val="false"/>
              <w:sz w:val="16"/>
              <w:szCs w:val="16"/>
              <w:lang w:val="bg-BG"/>
            </w:rPr>
          </w:r>
        </w:p>
        <w:p>
          <w:pPr>
            <w:pStyle w:val="Normal"/>
            <w:rPr>
              <w:b/>
              <w:sz w:val="16"/>
              <w:szCs w:val="16"/>
              <w:lang w:val="en-US"/>
            </w:rPr>
          </w:pPr>
          <w:r>
            <w:rPr>
              <w:b/>
              <w:sz w:val="16"/>
              <w:szCs w:val="16"/>
              <w:lang w:val="en-US"/>
            </w:rPr>
          </w:r>
        </w:p>
      </w:tc>
      <w:tc>
        <w:tcPr>
          <w:tcW w:w="441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ing1"/>
            <w:ind w:hanging="0" w:start="0"/>
            <w:jc w:val="start"/>
            <w:rPr>
              <w:b w:val="false"/>
              <w:bCs/>
              <w:sz w:val="18"/>
              <w:lang w:val="bg-BG"/>
            </w:rPr>
          </w:pPr>
          <w:r>
            <w:rPr>
              <w:b w:val="false"/>
              <w:bCs/>
              <w:sz w:val="18"/>
              <w:lang w:val="bg-BG"/>
            </w:rPr>
            <w:t>Документ:</w:t>
          </w:r>
        </w:p>
        <w:p>
          <w:pPr>
            <w:pStyle w:val="Normal"/>
            <w:rPr>
              <w:b/>
              <w:bCs/>
              <w:sz w:val="18"/>
              <w:lang w:val="bg-BG"/>
            </w:rPr>
          </w:pPr>
          <w:r>
            <w:rPr>
              <w:b/>
              <w:bCs/>
              <w:sz w:val="18"/>
              <w:lang w:val="bg-BG"/>
            </w:rPr>
          </w:r>
        </w:p>
        <w:p>
          <w:pPr>
            <w:pStyle w:val="Normal"/>
            <w:spacing w:before="120" w:after="0"/>
            <w:jc w:val="center"/>
            <w:rPr>
              <w:b/>
              <w:sz w:val="24"/>
              <w:lang w:val="bg-BG"/>
            </w:rPr>
          </w:pPr>
          <w:r>
            <w:rPr>
              <w:b/>
              <w:bCs/>
              <w:sz w:val="24"/>
              <w:szCs w:val="24"/>
              <w:lang w:val="ru-RU"/>
            </w:rPr>
            <w:t xml:space="preserve">УПРАВЛЕНИЕ НА </w:t>
          </w:r>
          <w:r>
            <w:rPr>
              <w:b/>
              <w:bCs/>
              <w:sz w:val="24"/>
              <w:szCs w:val="24"/>
              <w:lang w:val="bg-BG"/>
            </w:rPr>
            <w:t>НЕСЪОТВЕТСТВАЩ ПРОДУКТ</w:t>
          </w:r>
        </w:p>
      </w:tc>
      <w:tc>
        <w:tcPr>
          <w:tcW w:w="2700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ИСУ</w:t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Одобрена от:                  Подпис:</w:t>
          </w:r>
        </w:p>
        <w:p>
          <w:pPr>
            <w:pStyle w:val="Normal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Normal"/>
            <w:rPr>
              <w:b/>
              <w:sz w:val="22"/>
              <w:szCs w:val="22"/>
              <w:lang w:val="bg-BG"/>
            </w:rPr>
          </w:pPr>
          <w:r>
            <w:rPr>
              <w:rFonts w:eastAsia="Times New Roman CYR;Times New Roman"/>
              <w:lang w:val="bg-BG"/>
            </w:rPr>
            <w:t>Тодор Тодоров</w:t>
          </w:r>
        </w:p>
      </w:tc>
      <w:tc>
        <w:tcPr>
          <w:tcW w:w="441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spacing w:before="120" w:after="0"/>
            <w:jc w:val="center"/>
            <w:rPr>
              <w:b/>
              <w:sz w:val="22"/>
              <w:szCs w:val="22"/>
              <w:lang w:val="bg-BG"/>
            </w:rPr>
          </w:pPr>
          <w:r>
            <w:rPr>
              <w:b/>
              <w:sz w:val="22"/>
              <w:szCs w:val="22"/>
              <w:lang w:val="bg-BG"/>
            </w:rPr>
          </w:r>
        </w:p>
      </w:tc>
      <w:tc>
        <w:tcPr>
          <w:tcW w:w="1409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16"/>
              <w:lang w:val="bg-BG"/>
            </w:rPr>
          </w:pPr>
          <w:r>
            <w:rPr>
              <w:sz w:val="16"/>
              <w:lang w:val="bg-BG"/>
            </w:rPr>
            <w:t>Страница</w:t>
          </w:r>
        </w:p>
        <w:p>
          <w:pPr>
            <w:pStyle w:val="Normal"/>
            <w:jc w:val="center"/>
            <w:rPr>
              <w:sz w:val="18"/>
              <w:lang w:val="bg-BG"/>
            </w:rPr>
          </w:pPr>
          <w:r>
            <w:rPr>
              <w:rStyle w:val="PageNumber"/>
              <w:sz w:val="18"/>
              <w:lang w:val="bg-BG"/>
            </w:rPr>
            <w:fldChar w:fldCharType="begin"/>
          </w:r>
          <w:r>
            <w:rPr>
              <w:rStyle w:val="PageNumber"/>
              <w:sz w:val="18"/>
              <w:lang w:val="bg-BG"/>
            </w:rPr>
            <w:instrText xml:space="preserve"> PAGE </w:instrText>
          </w:r>
          <w:r>
            <w:rPr>
              <w:rStyle w:val="PageNumber"/>
              <w:sz w:val="18"/>
              <w:lang w:val="bg-BG"/>
            </w:rPr>
            <w:fldChar w:fldCharType="separate"/>
          </w:r>
          <w:r>
            <w:rPr>
              <w:rStyle w:val="PageNumber"/>
              <w:sz w:val="18"/>
              <w:lang w:val="bg-BG"/>
            </w:rPr>
            <w:t>7</w:t>
          </w:r>
          <w:r>
            <w:rPr>
              <w:rStyle w:val="PageNumber"/>
              <w:sz w:val="18"/>
              <w:lang w:val="bg-BG"/>
            </w:rPr>
            <w:fldChar w:fldCharType="end"/>
          </w:r>
          <w:r>
            <w:rPr>
              <w:b/>
              <w:sz w:val="18"/>
              <w:lang w:val="bg-BG"/>
            </w:rPr>
            <w:t xml:space="preserve"> </w:t>
          </w:r>
          <w:r>
            <w:rPr>
              <w:b/>
              <w:sz w:val="18"/>
              <w:lang w:val="bg-BG"/>
            </w:rPr>
            <w:t>/ 7</w:t>
          </w:r>
        </w:p>
      </w:tc>
      <w:tc>
        <w:tcPr>
          <w:tcW w:w="1291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  <w:t>Екз. №</w:t>
          </w:r>
        </w:p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</w:r>
        </w:p>
        <w:p>
          <w:pPr>
            <w:pStyle w:val="Normal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</w:tbl>
  <w:p>
    <w:pPr>
      <w:pStyle w:val="Header"/>
      <w:tabs>
        <w:tab w:val="clear" w:pos="4153"/>
        <w:tab w:val="clear" w:pos="8306"/>
      </w:tabs>
      <w:rPr>
        <w:sz w:val="16"/>
        <w:lang w:val="bg-BG"/>
      </w:rPr>
    </w:pPr>
    <w:r>
      <w:rPr>
        <w:sz w:val="16"/>
        <w:lang w:val="bg-BG"/>
      </w:rPr>
    </w:r>
  </w:p>
  <w:p>
    <w:pPr>
      <w:pStyle w:val="Header"/>
      <w:rPr>
        <w:sz w:val="16"/>
        <w:lang w:val="bg-BG"/>
      </w:rPr>
    </w:pPr>
    <w:r>
      <w:rPr>
        <w:sz w:val="16"/>
        <w:lang w:val="bg-BG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4410"/>
      <w:gridCol w:w="1409"/>
      <w:gridCol w:w="1291"/>
    </w:tblGrid>
    <w:tr>
      <w:trPr>
        <w:trHeight w:val="1029" w:hRule="atLeast"/>
        <w:cantSplit/>
      </w:trPr>
      <w:tc>
        <w:tcPr>
          <w:tcW w:w="2970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tabs>
              <w:tab w:val="clear" w:pos="4153"/>
              <w:tab w:val="clear" w:pos="8306"/>
            </w:tabs>
            <w:snapToGrid w:val="false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5"/>
            <w:spacing w:before="120" w:after="120"/>
            <w:ind w:hanging="0" w:start="0"/>
            <w:jc w:val="center"/>
            <w:rPr>
              <w:b/>
              <w:lang w:val="bg-BG"/>
            </w:rPr>
          </w:pPr>
          <w:r>
            <w:rPr>
              <w:b/>
              <w:sz w:val="24"/>
              <w:szCs w:val="24"/>
              <w:lang w:val="ru-RU"/>
            </w:rPr>
            <w:t>"Артпласт" ЕООД</w:t>
          </w:r>
        </w:p>
      </w:tc>
      <w:tc>
        <w:tcPr>
          <w:tcW w:w="441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>Вид на документа:</w:t>
          </w:r>
        </w:p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2"/>
            <w:ind w:hanging="0" w:start="0"/>
            <w:rPr>
              <w:lang w:val="ru-RU"/>
            </w:rPr>
          </w:pPr>
          <w:r>
            <w:rPr>
              <w:lang w:val="bg-BG"/>
            </w:rPr>
            <w:t xml:space="preserve">Процедура </w:t>
          </w:r>
        </w:p>
        <w:p>
          <w:pPr>
            <w:pStyle w:val="Normal"/>
            <w:jc w:val="center"/>
            <w:rPr>
              <w:i/>
              <w:sz w:val="24"/>
              <w:szCs w:val="24"/>
              <w:lang w:val="ru-RU"/>
            </w:rPr>
          </w:pPr>
          <w:r>
            <w:rPr>
              <w:i/>
              <w:sz w:val="24"/>
              <w:szCs w:val="24"/>
              <w:lang w:val="en-US"/>
            </w:rPr>
            <w:t xml:space="preserve">ISO 9001:2015 </w:t>
          </w:r>
        </w:p>
      </w:tc>
      <w:tc>
        <w:tcPr>
          <w:tcW w:w="2700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BodyText"/>
            <w:spacing w:before="40" w:after="40"/>
            <w:jc w:val="center"/>
            <w:rPr>
              <w:b/>
              <w:szCs w:val="24"/>
              <w:lang w:val="bg-BG"/>
            </w:rPr>
          </w:pPr>
          <w:r>
            <w:rPr>
              <w:b/>
              <w:szCs w:val="24"/>
              <w:lang w:val="bg-BG"/>
            </w:rPr>
            <w:t>ПР 04</w:t>
          </w:r>
        </w:p>
      </w:tc>
    </w:tr>
    <w:tr>
      <w:trPr>
        <w:trHeight w:val="582" w:hRule="atLeast"/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Издадена на дата:</w:t>
          </w:r>
        </w:p>
        <w:p>
          <w:pPr>
            <w:pStyle w:val="Normal"/>
            <w:jc w:val="center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  <w:t>11.05.2020г.</w:t>
          </w:r>
        </w:p>
      </w:tc>
      <w:tc>
        <w:tcPr>
          <w:tcW w:w="441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</w:r>
        </w:p>
      </w:tc>
      <w:tc>
        <w:tcPr>
          <w:tcW w:w="2700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Разработена от:              Подпис:</w:t>
          </w:r>
        </w:p>
        <w:p>
          <w:pPr>
            <w:pStyle w:val="Heading1"/>
            <w:ind w:hanging="0" w:start="0"/>
            <w:jc w:val="start"/>
            <w:rPr>
              <w:b w:val="false"/>
              <w:sz w:val="16"/>
              <w:szCs w:val="16"/>
              <w:lang w:val="bg-BG"/>
            </w:rPr>
          </w:pPr>
          <w:r>
            <w:rPr>
              <w:b w:val="false"/>
              <w:sz w:val="16"/>
              <w:szCs w:val="16"/>
              <w:lang w:val="bg-BG"/>
            </w:rPr>
          </w:r>
        </w:p>
        <w:p>
          <w:pPr>
            <w:pStyle w:val="Normal"/>
            <w:rPr>
              <w:b/>
              <w:sz w:val="16"/>
              <w:szCs w:val="16"/>
              <w:lang w:val="en-US"/>
            </w:rPr>
          </w:pPr>
          <w:r>
            <w:rPr>
              <w:b/>
              <w:sz w:val="16"/>
              <w:szCs w:val="16"/>
              <w:lang w:val="en-US"/>
            </w:rPr>
          </w:r>
        </w:p>
      </w:tc>
      <w:tc>
        <w:tcPr>
          <w:tcW w:w="441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ing1"/>
            <w:ind w:hanging="0" w:start="0"/>
            <w:jc w:val="start"/>
            <w:rPr>
              <w:b w:val="false"/>
              <w:bCs/>
              <w:sz w:val="18"/>
              <w:lang w:val="bg-BG"/>
            </w:rPr>
          </w:pPr>
          <w:r>
            <w:rPr>
              <w:b w:val="false"/>
              <w:bCs/>
              <w:sz w:val="18"/>
              <w:lang w:val="bg-BG"/>
            </w:rPr>
            <w:t>Документ:</w:t>
          </w:r>
        </w:p>
        <w:p>
          <w:pPr>
            <w:pStyle w:val="Normal"/>
            <w:rPr>
              <w:b/>
              <w:bCs/>
              <w:sz w:val="18"/>
              <w:lang w:val="bg-BG"/>
            </w:rPr>
          </w:pPr>
          <w:r>
            <w:rPr>
              <w:b/>
              <w:bCs/>
              <w:sz w:val="18"/>
              <w:lang w:val="bg-BG"/>
            </w:rPr>
          </w:r>
        </w:p>
        <w:p>
          <w:pPr>
            <w:pStyle w:val="Normal"/>
            <w:spacing w:before="120" w:after="0"/>
            <w:jc w:val="center"/>
            <w:rPr>
              <w:b/>
              <w:sz w:val="24"/>
              <w:lang w:val="bg-BG"/>
            </w:rPr>
          </w:pPr>
          <w:r>
            <w:rPr>
              <w:b/>
              <w:bCs/>
              <w:sz w:val="24"/>
              <w:szCs w:val="24"/>
              <w:lang w:val="ru-RU"/>
            </w:rPr>
            <w:t xml:space="preserve">УПРАВЛЕНИЕ НА </w:t>
          </w:r>
          <w:r>
            <w:rPr>
              <w:b/>
              <w:bCs/>
              <w:sz w:val="24"/>
              <w:szCs w:val="24"/>
              <w:lang w:val="bg-BG"/>
            </w:rPr>
            <w:t>НЕСЪОТВЕТСТВАЩ ПРОДУКТ</w:t>
          </w:r>
        </w:p>
      </w:tc>
      <w:tc>
        <w:tcPr>
          <w:tcW w:w="2700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ИСУ</w:t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Одобрена от:                  Подпис:</w:t>
          </w:r>
        </w:p>
        <w:p>
          <w:pPr>
            <w:pStyle w:val="Normal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Normal"/>
            <w:rPr>
              <w:b/>
              <w:sz w:val="22"/>
              <w:szCs w:val="22"/>
              <w:lang w:val="bg-BG"/>
            </w:rPr>
          </w:pPr>
          <w:r>
            <w:rPr>
              <w:lang w:val="bg-BG"/>
            </w:rPr>
            <w:t>Тодор Тодоров</w:t>
          </w:r>
        </w:p>
      </w:tc>
      <w:tc>
        <w:tcPr>
          <w:tcW w:w="441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spacing w:before="120" w:after="0"/>
            <w:jc w:val="center"/>
            <w:rPr>
              <w:b/>
              <w:sz w:val="22"/>
              <w:szCs w:val="22"/>
              <w:lang w:val="bg-BG"/>
            </w:rPr>
          </w:pPr>
          <w:r>
            <w:rPr>
              <w:b/>
              <w:sz w:val="22"/>
              <w:szCs w:val="22"/>
              <w:lang w:val="bg-BG"/>
            </w:rPr>
          </w:r>
        </w:p>
      </w:tc>
      <w:tc>
        <w:tcPr>
          <w:tcW w:w="1409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16"/>
              <w:lang w:val="bg-BG"/>
            </w:rPr>
          </w:pPr>
          <w:r>
            <w:rPr>
              <w:sz w:val="16"/>
              <w:lang w:val="bg-BG"/>
            </w:rPr>
            <w:t>Страница</w:t>
          </w:r>
        </w:p>
        <w:p>
          <w:pPr>
            <w:pStyle w:val="Normal"/>
            <w:jc w:val="center"/>
            <w:rPr>
              <w:sz w:val="18"/>
              <w:lang w:val="bg-BG"/>
            </w:rPr>
          </w:pPr>
          <w:r>
            <w:rPr>
              <w:rStyle w:val="PageNumber"/>
              <w:sz w:val="18"/>
              <w:lang w:val="bg-BG"/>
            </w:rPr>
            <w:fldChar w:fldCharType="begin"/>
          </w:r>
          <w:r>
            <w:rPr>
              <w:rStyle w:val="PageNumber"/>
              <w:sz w:val="18"/>
              <w:lang w:val="bg-BG"/>
            </w:rPr>
            <w:instrText xml:space="preserve"> PAGE </w:instrText>
          </w:r>
          <w:r>
            <w:rPr>
              <w:rStyle w:val="PageNumber"/>
              <w:sz w:val="18"/>
              <w:lang w:val="bg-BG"/>
            </w:rPr>
            <w:fldChar w:fldCharType="separate"/>
          </w:r>
          <w:r>
            <w:rPr>
              <w:rStyle w:val="PageNumber"/>
              <w:sz w:val="18"/>
              <w:lang w:val="bg-BG"/>
            </w:rPr>
            <w:t>1</w:t>
          </w:r>
          <w:r>
            <w:rPr>
              <w:rStyle w:val="PageNumber"/>
              <w:sz w:val="18"/>
              <w:lang w:val="bg-BG"/>
            </w:rPr>
            <w:fldChar w:fldCharType="end"/>
          </w:r>
          <w:r>
            <w:rPr>
              <w:b/>
              <w:sz w:val="18"/>
              <w:lang w:val="bg-BG"/>
            </w:rPr>
            <w:t xml:space="preserve"> </w:t>
          </w:r>
          <w:r>
            <w:rPr>
              <w:b/>
              <w:sz w:val="18"/>
              <w:lang w:val="bg-BG"/>
            </w:rPr>
            <w:t>/ 7</w:t>
          </w:r>
        </w:p>
      </w:tc>
      <w:tc>
        <w:tcPr>
          <w:tcW w:w="1291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  <w:t>Екз. №</w:t>
          </w:r>
        </w:p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</w:r>
        </w:p>
        <w:p>
          <w:pPr>
            <w:pStyle w:val="Normal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</w:tbl>
  <w:p>
    <w:pPr>
      <w:pStyle w:val="Header"/>
      <w:rPr>
        <w:sz w:val="16"/>
        <w:lang w:val="bg-BG"/>
      </w:rPr>
    </w:pPr>
    <w:r>
      <w:rPr>
        <w:sz w:val="16"/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"/>
      <w:lvlJc w:val="start"/>
      <w:pPr>
        <w:tabs>
          <w:tab w:val="num" w:pos="1224"/>
        </w:tabs>
        <w:ind w:start="0" w:firstLine="864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"/>
      <w:lvlJc w:val="start"/>
      <w:pPr>
        <w:tabs>
          <w:tab w:val="num" w:pos="1368"/>
        </w:tabs>
        <w:ind w:start="0" w:firstLine="1008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center"/>
      <w:pPr>
        <w:tabs>
          <w:tab w:val="num" w:pos="1080"/>
        </w:tabs>
        <w:ind w:start="357" w:firstLine="363"/>
      </w:pPr>
      <w:rPr>
        <w:rFonts w:ascii="Symbol" w:hAnsi="Symbol" w:cs="Symbol" w:hint="default"/>
        <w:sz w:val="20"/>
      </w:rPr>
    </w:lvl>
  </w:abstractNum>
  <w:abstractNum w:abstractNumId="5">
    <w:lvl w:ilvl="0">
      <w:start w:val="1"/>
      <w:numFmt w:val="bullet"/>
      <w:lvlText w:val=""/>
      <w:lvlJc w:val="start"/>
      <w:pPr>
        <w:tabs>
          <w:tab w:val="num" w:pos="1368"/>
        </w:tabs>
        <w:ind w:start="0" w:firstLine="1008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"/>
      <w:lvlJc w:val="start"/>
      <w:pPr>
        <w:tabs>
          <w:tab w:val="num" w:pos="1368"/>
        </w:tabs>
        <w:ind w:start="0" w:firstLine="1008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8">
    <w:lvl w:ilvl="0">
      <w:numFmt w:val="decimal"/>
      <w:lvlText w:val="}%1"/>
      <w:lvlJc w:val="start"/>
      <w:pPr>
        <w:tabs>
          <w:tab w:val="num" w:pos="288"/>
        </w:tabs>
        <w:ind w:start="288" w:hanging="288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sv-SE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  <w:szCs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i/>
      <w:lang w:val="bg-BG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before="120" w:after="120"/>
      <w:outlineLvl w:val="4"/>
    </w:pPr>
    <w:rPr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sz w:val="24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sz w:val="24"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WW8Num1z0">
    <w:name w:val="WW8Num1z0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4z0">
    <w:name w:val="WW8Num4z0"/>
    <w:qFormat/>
    <w:rPr>
      <w:rFonts w:ascii="Wingdings" w:hAnsi="Wingdings" w:cs="Wingdings"/>
      <w:sz w:val="20"/>
    </w:rPr>
  </w:style>
  <w:style w:type="character" w:styleId="WW8Num5z0">
    <w:name w:val="WW8Num5z0"/>
    <w:qFormat/>
    <w:rPr>
      <w:rFonts w:ascii="Wingdings" w:hAnsi="Wingdings" w:cs="Wingdings"/>
      <w:sz w:val="20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Style5">
    <w:name w:val="Шрифт на абзаца по подразбиране"/>
    <w:qFormat/>
    <w:rPr/>
  </w:style>
  <w:style w:type="character" w:styleId="PageNumber">
    <w:name w:val="page number"/>
    <w:basedOn w:val="Style5"/>
    <w:rPr/>
  </w:style>
  <w:style w:type="character" w:styleId="Style6">
    <w:name w:val="Горен колонтитул Знак"/>
    <w:qFormat/>
    <w:rPr>
      <w:lang w:val="sv-SE" w:bidi="ar-SA"/>
    </w:rPr>
  </w:style>
  <w:style w:type="character" w:styleId="Style7">
    <w:name w:val="Изнесен текст Знак"/>
    <w:qFormat/>
    <w:rPr>
      <w:rFonts w:ascii="Segoe UI" w:hAnsi="Segoe UI" w:cs="Segoe UI"/>
      <w:sz w:val="18"/>
      <w:szCs w:val="18"/>
      <w:lang w:val="sv-SE"/>
    </w:rPr>
  </w:style>
  <w:style w:type="paragraph" w:styleId="Style8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qFormat/>
    <w:pPr>
      <w:ind w:firstLine="720" w:start="0" w:end="0"/>
      <w:jc w:val="both"/>
    </w:pPr>
    <w:rPr>
      <w:b/>
      <w:bCs/>
      <w:sz w:val="24"/>
      <w:szCs w:val="24"/>
      <w:lang w:val="bg-BG"/>
    </w:rPr>
  </w:style>
  <w:style w:type="paragraph" w:styleId="Style9">
    <w:name w:val="Указател"/>
    <w:basedOn w:val="Normal"/>
    <w:qFormat/>
    <w:pPr>
      <w:suppressLineNumbers/>
    </w:pPr>
    <w:rPr>
      <w:rFonts w:cs="Arial"/>
    </w:rPr>
  </w:style>
  <w:style w:type="paragraph" w:styleId="Style10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DefaultText">
    <w:name w:val="Default Text"/>
    <w:basedOn w:val="Normal"/>
    <w:qFormat/>
    <w:pPr/>
    <w:rPr>
      <w:sz w:val="24"/>
      <w:lang w:val="en-US"/>
    </w:rPr>
  </w:style>
  <w:style w:type="paragraph" w:styleId="Bullet">
    <w:name w:val="Bullet"/>
    <w:basedOn w:val="Normal"/>
    <w:qFormat/>
    <w:pPr>
      <w:numPr>
        <w:ilvl w:val="0"/>
        <w:numId w:val="8"/>
      </w:numPr>
      <w:ind w:hanging="288" w:start="288" w:end="0"/>
    </w:pPr>
    <w:rPr>
      <w:sz w:val="24"/>
      <w:lang w:val="en-US"/>
    </w:rPr>
  </w:style>
  <w:style w:type="paragraph" w:styleId="z-">
    <w:name w:val="z-Начало формуляр"/>
    <w:basedOn w:val="Normal"/>
    <w:qFormat/>
    <w:pPr/>
    <w:rPr>
      <w:sz w:val="24"/>
      <w:lang w:val="en-US"/>
    </w:rPr>
  </w:style>
  <w:style w:type="paragraph" w:styleId="2">
    <w:name w:val="Основен текст 2"/>
    <w:basedOn w:val="Normal"/>
    <w:qFormat/>
    <w:pPr>
      <w:jc w:val="both"/>
    </w:pPr>
    <w:rPr/>
  </w:style>
  <w:style w:type="paragraph" w:styleId="Style11">
    <w:name w:val="Блоков текст"/>
    <w:basedOn w:val="Normal"/>
    <w:qFormat/>
    <w:pPr>
      <w:ind w:hanging="0" w:start="289" w:end="289"/>
      <w:jc w:val="both"/>
    </w:pPr>
    <w:rPr>
      <w:rFonts w:ascii="Timok" w:hAnsi="Timok" w:cs="Timok"/>
      <w:lang w:val="bg-BG"/>
    </w:rPr>
  </w:style>
  <w:style w:type="paragraph" w:styleId="Style12">
    <w:name w:val="Style1"/>
    <w:basedOn w:val="Normal"/>
    <w:qFormat/>
    <w:pPr>
      <w:numPr>
        <w:ilvl w:val="0"/>
        <w:numId w:val="4"/>
      </w:numPr>
      <w:ind w:hanging="0" w:start="0" w:end="0"/>
      <w:jc w:val="both"/>
    </w:pPr>
    <w:rPr>
      <w:lang w:val="bg-BG"/>
    </w:rPr>
  </w:style>
  <w:style w:type="paragraph" w:styleId="21">
    <w:name w:val="Основен текст с отстъп 2"/>
    <w:basedOn w:val="Normal"/>
    <w:qFormat/>
    <w:pPr>
      <w:overflowPunct w:val="false"/>
      <w:autoSpaceDE w:val="false"/>
      <w:spacing w:before="40" w:after="40"/>
      <w:ind w:firstLine="720" w:start="72" w:end="0"/>
      <w:jc w:val="both"/>
    </w:pPr>
    <w:rPr>
      <w:sz w:val="24"/>
      <w:lang w:val="bg-BG"/>
    </w:rPr>
  </w:style>
  <w:style w:type="paragraph" w:styleId="BodyTextIndent">
    <w:name w:val="Body Text Indent"/>
    <w:basedOn w:val="Normal"/>
    <w:pPr>
      <w:ind w:firstLine="432" w:start="0" w:end="0"/>
      <w:jc w:val="both"/>
    </w:pPr>
    <w:rPr/>
  </w:style>
  <w:style w:type="paragraph" w:styleId="3">
    <w:name w:val="Основен текст с отстъп 3"/>
    <w:basedOn w:val="Normal"/>
    <w:qFormat/>
    <w:pPr>
      <w:ind w:firstLine="720" w:start="0" w:end="0"/>
      <w:jc w:val="both"/>
    </w:pPr>
    <w:rPr/>
  </w:style>
  <w:style w:type="paragraph" w:styleId="-Style1">
    <w:name w:val="А-Style1"/>
    <w:basedOn w:val="Normal"/>
    <w:qFormat/>
    <w:pPr>
      <w:tabs>
        <w:tab w:val="clear" w:pos="720"/>
        <w:tab w:val="left" w:pos="1324" w:leader="none"/>
      </w:tabs>
      <w:spacing w:before="120" w:after="0"/>
      <w:ind w:firstLine="964" w:start="0" w:end="0"/>
      <w:jc w:val="both"/>
    </w:pPr>
    <w:rPr>
      <w:lang w:val="bg-BG"/>
    </w:rPr>
  </w:style>
  <w:style w:type="paragraph" w:styleId="Bullet1">
    <w:name w:val="Bullet 1"/>
    <w:basedOn w:val="Normal"/>
    <w:qFormat/>
    <w:pPr>
      <w:numPr>
        <w:ilvl w:val="0"/>
        <w:numId w:val="7"/>
      </w:numPr>
      <w:spacing w:before="60" w:after="0"/>
      <w:jc w:val="both"/>
    </w:pPr>
    <w:rPr>
      <w:sz w:val="24"/>
      <w:lang w:val="bg-BG"/>
    </w:rPr>
  </w:style>
  <w:style w:type="paragraph" w:styleId="Style13">
    <w:name w:val="Изнесен текст"/>
    <w:basedOn w:val="Normal"/>
    <w:qFormat/>
    <w:pPr/>
    <w:rPr>
      <w:rFonts w:ascii="Segoe UI" w:hAnsi="Segoe UI" w:cs="Segoe UI"/>
      <w:sz w:val="18"/>
      <w:szCs w:val="18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StyleNum">
    <w:name w:val="WW8StyleNum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2019-11-25T02:52:00Z</dcterms:created>
  <dc:creator>Per-Eric Håkansson</dc:creator>
  <dc:description/>
  <cp:keywords/>
  <dc:language>bg-BG</dc:language>
  <cp:lastModifiedBy>lenovo</cp:lastModifiedBy>
  <cp:lastPrinted>2019-11-28T11:33:00Z</cp:lastPrinted>
  <dcterms:modified xsi:type="dcterms:W3CDTF">2020-07-28T14:16:00Z</dcterms:modified>
  <cp:revision>18</cp:revision>
  <dc:subject/>
  <dc:title>Job Descriptions</dc:title>
</cp:coreProperties>
</file>