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="720" w:end="0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</w:t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1.ОБЛАСТ НА ПРИЛОЖЕНИЕ.</w:t>
      </w:r>
    </w:p>
    <w:p>
      <w:pPr>
        <w:pStyle w:val="Normal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</w:r>
    </w:p>
    <w:p>
      <w:pPr>
        <w:pStyle w:val="2"/>
        <w:ind w:firstLine="720" w:end="0"/>
        <w:rPr>
          <w:sz w:val="24"/>
          <w:szCs w:val="24"/>
          <w:lang w:val="bg-BG"/>
        </w:rPr>
      </w:pPr>
      <w:r>
        <w:rPr>
          <w:sz w:val="24"/>
          <w:szCs w:val="24"/>
          <w:lang w:val="ru-RU"/>
        </w:rPr>
        <w:t xml:space="preserve">Процедурата определя начините на прилагане на коригиращи действия в </w:t>
      </w:r>
      <w:r>
        <w:rPr>
          <w:b/>
          <w:sz w:val="24"/>
          <w:szCs w:val="24"/>
          <w:lang w:val="ru-RU"/>
        </w:rPr>
        <w:t xml:space="preserve">"Артпласт" ЕООД </w:t>
      </w:r>
      <w:r>
        <w:rPr>
          <w:sz w:val="24"/>
          <w:szCs w:val="24"/>
          <w:lang w:val="ru-RU"/>
        </w:rPr>
        <w:t xml:space="preserve">с оглед отстраняване на констатирани несъответствия или създаване на условия за тяхното предотвратяване. </w:t>
      </w:r>
      <w:r>
        <w:rPr>
          <w:sz w:val="24"/>
          <w:szCs w:val="24"/>
        </w:rPr>
        <w:t>Коригиращите действия обхващат, при необходимост и доставчиците на продукти или услуги. Чрез нея се определя реда за тяхното формиране, следене за изпълнението и отчитане на постигнатия ефект за дружеството от приложеното конкретно действие.</w:t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sz w:val="24"/>
          <w:szCs w:val="24"/>
        </w:rPr>
        <w:t>2.ПОЗОВАВАНИЯ.</w:t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jc w:val="both"/>
        <w:rPr>
          <w:sz w:val="24"/>
          <w:szCs w:val="24"/>
          <w:lang w:val="bg-BG"/>
        </w:rPr>
      </w:pPr>
      <w:r>
        <w:rPr>
          <w:sz w:val="24"/>
          <w:szCs w:val="24"/>
        </w:rPr>
        <w:tab/>
      </w:r>
      <w:r>
        <w:rPr>
          <w:sz w:val="24"/>
          <w:szCs w:val="24"/>
          <w:lang w:val="bg-BG"/>
        </w:rPr>
        <w:t xml:space="preserve">2.1 </w:t>
      </w:r>
      <w:r>
        <w:rPr>
          <w:sz w:val="24"/>
          <w:szCs w:val="24"/>
        </w:rPr>
        <w:t>Посочените по-долу процедури и други нормативни документи, съдържат изисквания, които използвани в този текст, се превръщат в изисквания на настоящата процедура.</w:t>
      </w:r>
    </w:p>
    <w:p>
      <w:pPr>
        <w:pStyle w:val="Normal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ind w:firstLine="720" w:end="0"/>
        <w:jc w:val="both"/>
        <w:rPr>
          <w:bCs/>
          <w:sz w:val="24"/>
          <w:szCs w:val="24"/>
          <w:lang w:val="bg-BG"/>
        </w:rPr>
      </w:pPr>
      <w:r>
        <w:rPr>
          <w:sz w:val="24"/>
          <w:szCs w:val="24"/>
        </w:rPr>
        <w:t>2.2.</w:t>
      </w:r>
      <w:r>
        <w:rPr>
          <w:sz w:val="24"/>
          <w:szCs w:val="24"/>
          <w:lang w:val="ru-RU"/>
        </w:rPr>
        <w:t>БДС</w:t>
      </w:r>
      <w:r>
        <w:rPr>
          <w:sz w:val="24"/>
          <w:szCs w:val="24"/>
        </w:rPr>
        <w:t xml:space="preserve"> EN ISO 9001:20</w:t>
      </w:r>
      <w:r>
        <w:rPr>
          <w:sz w:val="24"/>
          <w:szCs w:val="24"/>
          <w:lang w:val="bg-BG"/>
        </w:rPr>
        <w:t>15</w:t>
      </w:r>
      <w:r>
        <w:rPr>
          <w:sz w:val="24"/>
          <w:szCs w:val="24"/>
        </w:rPr>
        <w:t xml:space="preserve"> "</w:t>
      </w:r>
      <w:r>
        <w:rPr>
          <w:bCs/>
          <w:sz w:val="24"/>
          <w:szCs w:val="24"/>
        </w:rPr>
        <w:t>Системи за управление на качеството. Основни принципи и речник”.</w:t>
      </w:r>
    </w:p>
    <w:p>
      <w:pPr>
        <w:pStyle w:val="Normal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ab/>
      </w:r>
    </w:p>
    <w:p>
      <w:pPr>
        <w:pStyle w:val="Normal"/>
        <w:ind w:firstLine="720" w:end="0"/>
        <w:rPr>
          <w:b/>
          <w:sz w:val="24"/>
          <w:szCs w:val="24"/>
        </w:rPr>
      </w:pPr>
      <w:r>
        <w:rPr>
          <w:b/>
          <w:sz w:val="24"/>
          <w:szCs w:val="24"/>
        </w:rPr>
        <w:t>3.ТЕРМИНИ, ОПРЕДЕЛЕНИЯ, СЪКРАЩЕНИЯ И ОЗНАЧЕНИЯ.</w:t>
      </w:r>
    </w:p>
    <w:p>
      <w:pPr>
        <w:pStyle w:val="Normal"/>
        <w:rPr>
          <w:b/>
          <w:bCs/>
          <w:sz w:val="24"/>
          <w:szCs w:val="24"/>
          <w:lang w:val="bg-BG"/>
        </w:rPr>
      </w:pPr>
      <w:r>
        <w:rPr>
          <w:b/>
          <w:bCs/>
          <w:sz w:val="24"/>
          <w:szCs w:val="24"/>
          <w:lang w:val="bg-BG"/>
        </w:rPr>
      </w:r>
    </w:p>
    <w:p>
      <w:pPr>
        <w:pStyle w:val="Normal"/>
        <w:numPr>
          <w:ilvl w:val="0"/>
          <w:numId w:val="0"/>
        </w:numPr>
        <w:snapToGrid w:val="false"/>
        <w:ind w:firstLine="720" w:start="0" w:end="0"/>
        <w:jc w:val="both"/>
        <w:rPr>
          <w:sz w:val="24"/>
          <w:szCs w:val="24"/>
        </w:rPr>
      </w:pPr>
      <w:r>
        <w:rPr>
          <w:sz w:val="24"/>
          <w:szCs w:val="24"/>
          <w:lang w:val="bg-BG"/>
        </w:rPr>
        <w:t xml:space="preserve">Всички термини и определения използвани в тази процедура, са съобразно </w:t>
      </w:r>
      <w:r>
        <w:rPr>
          <w:sz w:val="24"/>
          <w:szCs w:val="24"/>
        </w:rPr>
        <w:t>ISO 9001:20</w:t>
      </w:r>
      <w:r>
        <w:rPr>
          <w:sz w:val="24"/>
          <w:szCs w:val="24"/>
          <w:lang w:val="bg-BG"/>
        </w:rPr>
        <w:t>15</w:t>
      </w:r>
      <w:r>
        <w:rPr>
          <w:sz w:val="24"/>
          <w:szCs w:val="24"/>
        </w:rPr>
        <w:t xml:space="preserve"> “</w:t>
      </w:r>
      <w:r>
        <w:rPr>
          <w:bCs/>
          <w:sz w:val="24"/>
          <w:szCs w:val="24"/>
        </w:rPr>
        <w:t>Системи за управление на качеството. Основни принципи и речник”.</w:t>
      </w:r>
    </w:p>
    <w:p>
      <w:pPr>
        <w:pStyle w:val="Normal"/>
        <w:jc w:val="both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</w:r>
    </w:p>
    <w:p>
      <w:pPr>
        <w:pStyle w:val="Normal"/>
        <w:jc w:val="both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</w:r>
    </w:p>
    <w:p>
      <w:pPr>
        <w:pStyle w:val="Normal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4.ОБЩИ ПОЛОЖЕНИЯ.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2"/>
        <w:rPr/>
      </w:pPr>
      <w:r>
        <w:rPr>
          <w:sz w:val="24"/>
          <w:szCs w:val="24"/>
        </w:rPr>
        <w:tab/>
        <w:t>4.1.Осъществяването на действия за корекция започва с откриването на проблем, свързан най-общо с качество</w:t>
      </w:r>
      <w:r>
        <w:rPr>
          <w:sz w:val="24"/>
          <w:szCs w:val="24"/>
          <w:lang w:val="bg-BG"/>
        </w:rPr>
        <w:t>то или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bg-BG"/>
        </w:rPr>
        <w:t xml:space="preserve">проблеми, свързани с  </w:t>
      </w:r>
      <w:r>
        <w:rPr>
          <w:sz w:val="24"/>
          <w:szCs w:val="24"/>
        </w:rPr>
        <w:t>различните сфери на дейност в дружеството. То включва предприемането на мерки, за да се отстрани или сведе до минимум повторната поява на проблема.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yle11"/>
        <w:widowControl w:val="false"/>
        <w:numPr>
          <w:ilvl w:val="0"/>
          <w:numId w:val="0"/>
        </w:numPr>
        <w:ind w:hanging="0" w:start="0"/>
        <w:rPr/>
      </w:pPr>
      <w:r>
        <w:rPr>
          <w:sz w:val="24"/>
          <w:szCs w:val="24"/>
        </w:rPr>
        <w:tab/>
        <w:t xml:space="preserve">4.2.Във връзка с изпълнение на т.4.1 </w:t>
      </w:r>
      <w:r>
        <w:rPr>
          <w:b/>
          <w:sz w:val="24"/>
          <w:szCs w:val="24"/>
          <w:lang w:val="ru-RU"/>
        </w:rPr>
        <w:t xml:space="preserve">"Артпласт" ЕООД </w:t>
      </w:r>
      <w:r>
        <w:rPr>
          <w:sz w:val="24"/>
          <w:szCs w:val="24"/>
        </w:rPr>
        <w:t>определя източниците, за събиране на информация, на чиято база да се определят коригиращи действия:</w:t>
      </w:r>
    </w:p>
    <w:p>
      <w:pPr>
        <w:pStyle w:val="Style11"/>
        <w:widowControl w:val="false"/>
        <w:numPr>
          <w:ilvl w:val="0"/>
          <w:numId w:val="0"/>
        </w:numPr>
        <w:ind w:hanging="0" w:start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1"/>
          <w:numId w:val="3"/>
        </w:numPr>
        <w:spacing w:before="40" w:after="0"/>
        <w:rPr>
          <w:sz w:val="24"/>
          <w:szCs w:val="24"/>
        </w:rPr>
      </w:pPr>
      <w:r>
        <w:rPr>
          <w:sz w:val="24"/>
          <w:szCs w:val="24"/>
        </w:rPr>
        <w:t>Оплаквания от клиенти;</w:t>
      </w:r>
    </w:p>
    <w:p>
      <w:pPr>
        <w:pStyle w:val="Normal"/>
        <w:numPr>
          <w:ilvl w:val="1"/>
          <w:numId w:val="3"/>
        </w:numPr>
        <w:spacing w:before="40" w:after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Протоколи, сигнали и други формуляри за констатирани несъответствия в продукта, П</w:t>
      </w:r>
      <w:r>
        <w:rPr>
          <w:sz w:val="24"/>
          <w:szCs w:val="24"/>
          <w:lang w:val="bg-BG"/>
        </w:rPr>
        <w:t>Р</w:t>
      </w:r>
      <w:r>
        <w:rPr>
          <w:sz w:val="24"/>
          <w:szCs w:val="24"/>
          <w:lang w:val="ru-RU"/>
        </w:rPr>
        <w:t xml:space="preserve"> 0</w:t>
      </w:r>
      <w:r>
        <w:rPr>
          <w:sz w:val="24"/>
          <w:szCs w:val="24"/>
          <w:lang w:val="bg-BG"/>
        </w:rPr>
        <w:t>4</w:t>
      </w:r>
      <w:r>
        <w:rPr>
          <w:sz w:val="24"/>
          <w:szCs w:val="24"/>
          <w:lang w:val="ru-RU"/>
        </w:rPr>
        <w:t>;</w:t>
      </w:r>
    </w:p>
    <w:p>
      <w:pPr>
        <w:pStyle w:val="Normal"/>
        <w:numPr>
          <w:ilvl w:val="1"/>
          <w:numId w:val="3"/>
        </w:numPr>
        <w:spacing w:before="40" w:after="0"/>
        <w:rPr>
          <w:sz w:val="24"/>
          <w:szCs w:val="24"/>
        </w:rPr>
      </w:pPr>
      <w:r>
        <w:rPr>
          <w:sz w:val="24"/>
          <w:szCs w:val="24"/>
        </w:rPr>
        <w:t>Резултати от прегледи от страна на висшето ръководство;</w:t>
      </w:r>
    </w:p>
    <w:p>
      <w:pPr>
        <w:pStyle w:val="Normal"/>
        <w:numPr>
          <w:ilvl w:val="1"/>
          <w:numId w:val="3"/>
        </w:numPr>
        <w:spacing w:before="40" w:after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Доклади от вътрешни одити – П</w:t>
      </w:r>
      <w:r>
        <w:rPr>
          <w:sz w:val="24"/>
          <w:szCs w:val="24"/>
          <w:lang w:val="bg-BG"/>
        </w:rPr>
        <w:t>Р</w:t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bg-BG"/>
        </w:rPr>
        <w:t>03</w:t>
      </w:r>
      <w:r>
        <w:rPr>
          <w:sz w:val="24"/>
          <w:szCs w:val="24"/>
          <w:lang w:val="ru-RU"/>
        </w:rPr>
        <w:t>;</w:t>
      </w:r>
    </w:p>
    <w:p>
      <w:pPr>
        <w:pStyle w:val="Normal"/>
        <w:numPr>
          <w:ilvl w:val="1"/>
          <w:numId w:val="3"/>
        </w:numPr>
        <w:spacing w:before="40" w:after="0"/>
        <w:rPr>
          <w:sz w:val="24"/>
          <w:szCs w:val="24"/>
        </w:rPr>
      </w:pPr>
      <w:r>
        <w:rPr>
          <w:sz w:val="24"/>
          <w:szCs w:val="24"/>
        </w:rPr>
        <w:t>Резултати от анализ на данни от измервания при протичане на процеса;</w:t>
      </w:r>
    </w:p>
    <w:p>
      <w:pPr>
        <w:pStyle w:val="Normal"/>
        <w:numPr>
          <w:ilvl w:val="1"/>
          <w:numId w:val="3"/>
        </w:numPr>
        <w:spacing w:before="40" w:after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Отчети от изпълнението на дейности и други подходящи записи на </w:t>
      </w:r>
      <w:r>
        <w:rPr>
          <w:sz w:val="24"/>
          <w:szCs w:val="24"/>
          <w:lang w:val="bg-BG"/>
        </w:rPr>
        <w:t xml:space="preserve"> ИСУ</w:t>
      </w:r>
      <w:r>
        <w:rPr>
          <w:sz w:val="24"/>
          <w:szCs w:val="24"/>
          <w:lang w:val="ru-RU"/>
        </w:rPr>
        <w:t>, ПР 02;</w:t>
      </w:r>
    </w:p>
    <w:p>
      <w:pPr>
        <w:pStyle w:val="Normal"/>
        <w:numPr>
          <w:ilvl w:val="1"/>
          <w:numId w:val="3"/>
        </w:numPr>
        <w:spacing w:before="40" w:after="0"/>
        <w:rPr>
          <w:sz w:val="24"/>
          <w:szCs w:val="24"/>
        </w:rPr>
      </w:pPr>
      <w:r>
        <w:rPr>
          <w:sz w:val="24"/>
          <w:szCs w:val="24"/>
        </w:rPr>
        <w:t>Резултати от измерване на удовлетворението на клиентите, както и от другите заинтересовани страни;</w:t>
      </w:r>
    </w:p>
    <w:p>
      <w:pPr>
        <w:pStyle w:val="Normal"/>
        <w:numPr>
          <w:ilvl w:val="1"/>
          <w:numId w:val="3"/>
        </w:numPr>
        <w:spacing w:before="40" w:after="0"/>
        <w:rPr>
          <w:sz w:val="24"/>
          <w:szCs w:val="24"/>
        </w:rPr>
      </w:pPr>
      <w:r>
        <w:rPr>
          <w:sz w:val="24"/>
          <w:szCs w:val="24"/>
        </w:rPr>
        <w:t>Резултати от рекламации към доставчици;</w:t>
      </w:r>
    </w:p>
    <w:p>
      <w:pPr>
        <w:pStyle w:val="Normal"/>
        <w:numPr>
          <w:ilvl w:val="1"/>
          <w:numId w:val="3"/>
        </w:numPr>
        <w:spacing w:before="40" w:after="0"/>
        <w:rPr>
          <w:sz w:val="24"/>
          <w:szCs w:val="24"/>
        </w:rPr>
      </w:pPr>
      <w:r>
        <w:rPr>
          <w:sz w:val="24"/>
          <w:szCs w:val="24"/>
        </w:rPr>
        <w:t>Друга подходяща обработена и интерпретирана статистическа информация.</w:t>
      </w:r>
    </w:p>
    <w:p>
      <w:pPr>
        <w:pStyle w:val="Normal"/>
        <w:ind w:firstLine="720" w:end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Normal"/>
        <w:ind w:firstLine="720" w:end="0"/>
        <w:rPr>
          <w:sz w:val="24"/>
          <w:szCs w:val="24"/>
          <w:lang w:val="bg-BG"/>
        </w:rPr>
      </w:pPr>
      <w:r>
        <w:rPr>
          <w:sz w:val="24"/>
          <w:szCs w:val="24"/>
          <w:lang w:val="ru-RU"/>
        </w:rPr>
        <w:t>4.3.Процеса на коригиращи действия обхваща:</w:t>
      </w:r>
    </w:p>
    <w:p>
      <w:pPr>
        <w:pStyle w:val="Normal"/>
        <w:ind w:firstLine="720" w:end="0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numPr>
          <w:ilvl w:val="1"/>
          <w:numId w:val="2"/>
        </w:numPr>
        <w:spacing w:before="40" w:after="0"/>
        <w:rPr>
          <w:sz w:val="24"/>
          <w:szCs w:val="24"/>
        </w:rPr>
      </w:pPr>
      <w:r>
        <w:rPr>
          <w:sz w:val="24"/>
          <w:szCs w:val="24"/>
        </w:rPr>
        <w:t>Констатиране на несъответствието;</w:t>
      </w:r>
    </w:p>
    <w:p>
      <w:pPr>
        <w:pStyle w:val="Normal"/>
        <w:numPr>
          <w:ilvl w:val="1"/>
          <w:numId w:val="2"/>
        </w:numPr>
        <w:spacing w:before="40" w:after="0"/>
        <w:rPr>
          <w:sz w:val="24"/>
          <w:szCs w:val="24"/>
        </w:rPr>
      </w:pPr>
      <w:r>
        <w:rPr>
          <w:sz w:val="24"/>
          <w:szCs w:val="24"/>
        </w:rPr>
        <w:t>Проучване на причините за несъответствия;</w:t>
      </w:r>
    </w:p>
    <w:p>
      <w:pPr>
        <w:pStyle w:val="Normal"/>
        <w:numPr>
          <w:ilvl w:val="1"/>
          <w:numId w:val="2"/>
        </w:numPr>
        <w:spacing w:before="40" w:after="0"/>
        <w:rPr>
          <w:sz w:val="24"/>
          <w:szCs w:val="24"/>
        </w:rPr>
      </w:pPr>
      <w:r>
        <w:rPr>
          <w:sz w:val="24"/>
          <w:szCs w:val="24"/>
        </w:rPr>
        <w:t>Определяне необходимостта от действия;</w:t>
      </w:r>
    </w:p>
    <w:p>
      <w:pPr>
        <w:pStyle w:val="Normal"/>
        <w:numPr>
          <w:ilvl w:val="1"/>
          <w:numId w:val="2"/>
        </w:numPr>
        <w:spacing w:before="40" w:after="0"/>
        <w:rPr>
          <w:sz w:val="24"/>
          <w:szCs w:val="24"/>
        </w:rPr>
      </w:pPr>
      <w:r>
        <w:rPr>
          <w:sz w:val="24"/>
          <w:szCs w:val="24"/>
        </w:rPr>
        <w:t>Отстраняване на причините за несъответствия;</w:t>
      </w:r>
    </w:p>
    <w:p>
      <w:pPr>
        <w:pStyle w:val="Normal"/>
        <w:numPr>
          <w:ilvl w:val="1"/>
          <w:numId w:val="2"/>
        </w:numPr>
        <w:spacing w:before="40" w:after="0"/>
        <w:jc w:val="both"/>
        <w:rPr>
          <w:sz w:val="24"/>
          <w:szCs w:val="24"/>
        </w:rPr>
      </w:pPr>
      <w:r>
        <w:rPr>
          <w:sz w:val="24"/>
          <w:szCs w:val="24"/>
        </w:rPr>
        <w:t>Прилагане на подходящи мероприятия за предотвратяване на повторение на проблемите, в т.ч. и подходящо ново или опреснително обучение;</w:t>
      </w:r>
    </w:p>
    <w:p>
      <w:pPr>
        <w:pStyle w:val="Normal"/>
        <w:numPr>
          <w:ilvl w:val="1"/>
          <w:numId w:val="2"/>
        </w:numPr>
        <w:spacing w:before="40" w:after="0"/>
        <w:jc w:val="both"/>
        <w:rPr>
          <w:sz w:val="24"/>
          <w:szCs w:val="24"/>
        </w:rPr>
      </w:pPr>
      <w:r>
        <w:rPr>
          <w:sz w:val="24"/>
          <w:szCs w:val="24"/>
        </w:rPr>
        <w:t>Документиране на дейностите и резултатите в цялостния процес на коригиращи действия.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2"/>
        <w:rPr/>
      </w:pPr>
      <w:r>
        <w:rPr>
          <w:sz w:val="24"/>
          <w:szCs w:val="24"/>
        </w:rPr>
        <w:tab/>
      </w:r>
      <w:r>
        <w:rPr>
          <w:sz w:val="24"/>
          <w:szCs w:val="24"/>
          <w:lang w:val="ru-RU"/>
        </w:rPr>
        <w:t xml:space="preserve">4.4.При прилагане на коригиращо действие, имащо отношение към работата на </w:t>
      </w:r>
      <w:r>
        <w:rPr>
          <w:sz w:val="24"/>
          <w:szCs w:val="24"/>
          <w:lang w:val="bg-BG"/>
        </w:rPr>
        <w:t xml:space="preserve">интегрираната </w:t>
      </w:r>
      <w:r>
        <w:rPr>
          <w:sz w:val="24"/>
          <w:szCs w:val="24"/>
          <w:lang w:val="ru-RU"/>
        </w:rPr>
        <w:t xml:space="preserve">система за управление, се правят промени в конкретни фирмени процедури. </w:t>
      </w:r>
      <w:r>
        <w:rPr>
          <w:sz w:val="24"/>
          <w:szCs w:val="24"/>
        </w:rPr>
        <w:t>За продуктите и процесите се правят промени в съответната техническа документация.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2"/>
        <w:rPr/>
      </w:pPr>
      <w:r>
        <w:rPr>
          <w:sz w:val="24"/>
          <w:szCs w:val="24"/>
        </w:rPr>
        <w:tab/>
      </w:r>
      <w:r>
        <w:rPr>
          <w:sz w:val="24"/>
          <w:szCs w:val="24"/>
          <w:lang w:val="ru-RU"/>
        </w:rPr>
        <w:t>4.5.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ru-RU"/>
        </w:rPr>
        <w:t xml:space="preserve">Координацията, наблюдението и контрол по документирането на коригиращите действия, във връзка с проведени вътрешни одити на </w:t>
      </w:r>
      <w:r>
        <w:rPr>
          <w:sz w:val="24"/>
          <w:szCs w:val="24"/>
          <w:lang w:val="bg-BG"/>
        </w:rPr>
        <w:t xml:space="preserve">интегрираната </w:t>
      </w:r>
      <w:r>
        <w:rPr>
          <w:sz w:val="24"/>
          <w:szCs w:val="24"/>
          <w:lang w:val="ru-RU"/>
        </w:rPr>
        <w:t xml:space="preserve">система за управление, се извършва от координатора по СУ. </w:t>
      </w:r>
      <w:r>
        <w:rPr>
          <w:sz w:val="24"/>
          <w:szCs w:val="24"/>
        </w:rPr>
        <w:t>Основните производствени звена на дружеството, в рамките на своята компетентност, учас</w:t>
      </w:r>
      <w:r>
        <w:rPr>
          <w:sz w:val="24"/>
          <w:szCs w:val="24"/>
          <w:lang w:val="bg-BG"/>
        </w:rPr>
        <w:t>т</w:t>
      </w:r>
      <w:r>
        <w:rPr>
          <w:sz w:val="24"/>
          <w:szCs w:val="24"/>
        </w:rPr>
        <w:t>ват в прилагането на действията, документирането им, в т.ч. и при провеждането на анализи за ефекта от тях.</w:t>
      </w:r>
    </w:p>
    <w:p>
      <w:pPr>
        <w:pStyle w:val="Style11"/>
        <w:widowControl w:val="false"/>
        <w:numPr>
          <w:ilvl w:val="0"/>
          <w:numId w:val="0"/>
        </w:numPr>
        <w:tabs>
          <w:tab w:val="left" w:pos="720" w:leader="none"/>
        </w:tabs>
        <w:ind w:hanging="0" w:start="284" w:end="284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5.ДЕЙНОСТИ, ОТГОВОРНОСТИ И ПЪЛНОМОЩИЯ.</w:t>
      </w:r>
    </w:p>
    <w:p>
      <w:pPr>
        <w:pStyle w:val="Normal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</w:r>
    </w:p>
    <w:p>
      <w:pPr>
        <w:pStyle w:val="2"/>
        <w:rPr>
          <w:sz w:val="24"/>
          <w:szCs w:val="24"/>
          <w:lang w:val="bg-BG"/>
        </w:rPr>
      </w:pPr>
      <w:r>
        <w:rPr>
          <w:sz w:val="24"/>
          <w:szCs w:val="24"/>
        </w:rPr>
        <w:tab/>
        <w:t>Отговорностите и пълномощията в дейностите по провеждане на коригиращи действия  са регламентирани в дадената по-долу таблица.</w:t>
      </w:r>
    </w:p>
    <w:p>
      <w:pPr>
        <w:pStyle w:val="2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2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2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2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2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2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2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2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2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2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2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jc w:val="center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</w:r>
    </w:p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МАТРИЦА ЗА ДЕЙНОСТИ, ОТГОВОРНОСТИ И ПЪЛНОМОЩИЯ</w:t>
      </w:r>
    </w:p>
    <w:p>
      <w:pPr>
        <w:pStyle w:val="Normal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</w:r>
    </w:p>
    <w:tbl>
      <w:tblPr>
        <w:tblW w:w="10211" w:type="dxa"/>
        <w:jc w:val="start"/>
        <w:tblInd w:w="-29" w:type="dxa"/>
        <w:tblLayout w:type="fixed"/>
        <w:tblCellMar>
          <w:top w:w="0" w:type="dxa"/>
          <w:start w:w="113" w:type="dxa"/>
          <w:bottom w:w="0" w:type="dxa"/>
          <w:end w:w="113" w:type="dxa"/>
        </w:tblCellMar>
      </w:tblPr>
      <w:tblGrid>
        <w:gridCol w:w="568"/>
        <w:gridCol w:w="4538"/>
        <w:gridCol w:w="1134"/>
        <w:gridCol w:w="1134"/>
        <w:gridCol w:w="1134"/>
        <w:gridCol w:w="1703"/>
      </w:tblGrid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53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105" w:type="dxa"/>
            <w:gridSpan w:val="4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4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ОТГОВОРНОСТИ И</w:t>
            </w:r>
          </w:p>
        </w:tc>
      </w:tr>
      <w:tr>
        <w:trPr/>
        <w:tc>
          <w:tcPr>
            <w:tcW w:w="568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</w:t>
            </w:r>
          </w:p>
        </w:tc>
        <w:tc>
          <w:tcPr>
            <w:tcW w:w="4538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ДЕЙНОСТИ</w:t>
            </w:r>
          </w:p>
        </w:tc>
        <w:tc>
          <w:tcPr>
            <w:tcW w:w="5105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ПЪЛНОМОЩИЯ</w:t>
            </w:r>
          </w:p>
        </w:tc>
      </w:tr>
      <w:tr>
        <w:trPr/>
        <w:tc>
          <w:tcPr>
            <w:tcW w:w="568" w:type="dxa"/>
            <w:tcBorders>
              <w:start w:val="single" w:sz="4" w:space="0" w:color="000000"/>
              <w:bottom w:val="doub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24"/>
                <w:szCs w:val="24"/>
                <w:lang w:val="en-GB"/>
              </w:rPr>
            </w:pPr>
            <w:r>
              <w:rPr>
                <w:b/>
                <w:sz w:val="24"/>
                <w:szCs w:val="24"/>
                <w:lang w:val="en-GB"/>
              </w:rPr>
            </w:r>
          </w:p>
        </w:tc>
        <w:tc>
          <w:tcPr>
            <w:tcW w:w="4538" w:type="dxa"/>
            <w:tcBorders>
              <w:start w:val="single" w:sz="4" w:space="0" w:color="000000"/>
              <w:bottom w:val="doub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doub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4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doub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4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doub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4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</w:t>
            </w:r>
          </w:p>
        </w:tc>
        <w:tc>
          <w:tcPr>
            <w:tcW w:w="1703" w:type="dxa"/>
            <w:tcBorders>
              <w:top w:val="single" w:sz="4" w:space="0" w:color="000000"/>
              <w:start w:val="single" w:sz="4" w:space="0" w:color="000000"/>
              <w:bottom w:val="doub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4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</w:t>
            </w:r>
          </w:p>
        </w:tc>
      </w:tr>
      <w:tr>
        <w:trPr/>
        <w:tc>
          <w:tcPr>
            <w:tcW w:w="568" w:type="dxa"/>
            <w:tcBorders>
              <w:top w:val="double" w:sz="6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40" w:after="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4538" w:type="dxa"/>
            <w:tcBorders>
              <w:top w:val="double" w:sz="6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er"/>
              <w:tabs>
                <w:tab w:val="clear" w:pos="4153"/>
                <w:tab w:val="clear" w:pos="8306"/>
              </w:tabs>
              <w:spacing w:before="40"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Документиране и идентификация на несъответстващи продукти</w:t>
            </w:r>
          </w:p>
        </w:tc>
        <w:tc>
          <w:tcPr>
            <w:tcW w:w="1134" w:type="dxa"/>
            <w:tcBorders>
              <w:top w:val="double" w:sz="6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40" w:after="40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кИСУ</w:t>
            </w:r>
          </w:p>
        </w:tc>
        <w:tc>
          <w:tcPr>
            <w:tcW w:w="1134" w:type="dxa"/>
            <w:tcBorders>
              <w:top w:val="double" w:sz="6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40" w:after="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bg-BG"/>
              </w:rPr>
              <w:t>НЦ</w:t>
            </w:r>
          </w:p>
        </w:tc>
        <w:tc>
          <w:tcPr>
            <w:tcW w:w="1134" w:type="dxa"/>
            <w:tcBorders>
              <w:top w:val="double" w:sz="6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НЦ</w:t>
            </w:r>
          </w:p>
          <w:p>
            <w:pPr>
              <w:pStyle w:val="Normal"/>
              <w:spacing w:before="60" w:after="60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У</w:t>
            </w:r>
          </w:p>
        </w:tc>
        <w:tc>
          <w:tcPr>
            <w:tcW w:w="1703" w:type="dxa"/>
            <w:tcBorders>
              <w:top w:val="double" w:sz="6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40" w:after="40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У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40" w:after="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4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er"/>
              <w:tabs>
                <w:tab w:val="clear" w:pos="4153"/>
                <w:tab w:val="clear" w:pos="8306"/>
              </w:tabs>
              <w:spacing w:before="40"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Маркиране и изолиране на несъответстващ продукт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40" w:after="40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кИСУ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40" w:after="40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НЦ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НЦ</w:t>
            </w:r>
          </w:p>
          <w:p>
            <w:pPr>
              <w:pStyle w:val="Normal"/>
              <w:spacing w:before="60" w:after="60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У</w:t>
            </w:r>
          </w:p>
        </w:tc>
        <w:tc>
          <w:tcPr>
            <w:tcW w:w="1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40" w:after="40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У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40" w:after="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4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numPr>
                <w:ilvl w:val="0"/>
                <w:numId w:val="0"/>
              </w:numPr>
              <w:spacing w:before="40" w:after="0"/>
              <w:ind w:hanging="0" w:star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Уведомяване на съответните звена и длъжностни лица за несъответстващ продукт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40" w:after="40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кИСУ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40" w:after="40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НЦ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НЦ</w:t>
            </w:r>
          </w:p>
          <w:p>
            <w:pPr>
              <w:pStyle w:val="Normal"/>
              <w:spacing w:before="60" w:after="60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У</w:t>
            </w:r>
          </w:p>
        </w:tc>
        <w:tc>
          <w:tcPr>
            <w:tcW w:w="1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40" w:after="40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У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56" w:type="dxa"/>
              <w:end w:w="56" w:type="dxa"/>
            </w:tcMar>
            <w:vAlign w:val="cente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sz w:val="24"/>
                <w:szCs w:val="24"/>
                <w:lang w:val="bg-BG"/>
              </w:rPr>
              <w:t>4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4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56" w:type="dxa"/>
              <w:end w:w="56" w:type="dxa"/>
            </w:tcMar>
            <w:vAlign w:val="center"/>
          </w:tcPr>
          <w:p>
            <w:pPr>
              <w:pStyle w:val="Header"/>
              <w:tabs>
                <w:tab w:val="clear" w:pos="4153"/>
                <w:tab w:val="clear" w:pos="8306"/>
              </w:tabs>
              <w:spacing w:before="40"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Определяне и регистрация на причините за несъответствия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56" w:type="dxa"/>
              <w:end w:w="56" w:type="dxa"/>
            </w:tcMar>
            <w:vAlign w:val="center"/>
          </w:tcPr>
          <w:p>
            <w:pPr>
              <w:pStyle w:val="Normal"/>
              <w:spacing w:before="40" w:after="40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кИСУ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56" w:type="dxa"/>
              <w:end w:w="56" w:type="dxa"/>
            </w:tcMar>
            <w:vAlign w:val="center"/>
          </w:tcPr>
          <w:p>
            <w:pPr>
              <w:pStyle w:val="Normal"/>
              <w:spacing w:before="40" w:after="40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НЦ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56" w:type="dxa"/>
              <w:end w:w="56" w:type="dxa"/>
            </w:tcMar>
            <w:vAlign w:val="center"/>
          </w:tcPr>
          <w:p>
            <w:pPr>
              <w:pStyle w:val="Normal"/>
              <w:spacing w:before="60" w:after="60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НЦ</w:t>
            </w:r>
          </w:p>
          <w:p>
            <w:pPr>
              <w:pStyle w:val="Normal"/>
              <w:spacing w:before="60" w:after="60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У</w:t>
            </w:r>
          </w:p>
        </w:tc>
        <w:tc>
          <w:tcPr>
            <w:tcW w:w="1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56" w:type="dxa"/>
              <w:end w:w="56" w:type="dxa"/>
            </w:tcMar>
            <w:vAlign w:val="center"/>
          </w:tcPr>
          <w:p>
            <w:pPr>
              <w:pStyle w:val="Normal"/>
              <w:spacing w:before="40" w:after="40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У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56" w:type="dxa"/>
              <w:end w:w="56" w:type="dxa"/>
            </w:tcMar>
            <w:vAlign w:val="cente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sz w:val="24"/>
                <w:szCs w:val="24"/>
                <w:lang w:val="bg-BG"/>
              </w:rPr>
              <w:t>5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4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56" w:type="dxa"/>
              <w:end w:w="56" w:type="dxa"/>
            </w:tcMar>
            <w:vAlign w:val="center"/>
          </w:tcPr>
          <w:p>
            <w:pPr>
              <w:pStyle w:val="Header"/>
              <w:tabs>
                <w:tab w:val="clear" w:pos="4153"/>
                <w:tab w:val="clear" w:pos="8306"/>
              </w:tabs>
              <w:spacing w:before="40"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Определяне на коригиращи действия за отстраняване на причините за несъответствия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56" w:type="dxa"/>
              <w:end w:w="56" w:type="dxa"/>
            </w:tcMar>
            <w:vAlign w:val="center"/>
          </w:tcPr>
          <w:p>
            <w:pPr>
              <w:pStyle w:val="Normal"/>
              <w:spacing w:before="40" w:after="4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bg-BG"/>
              </w:rPr>
              <w:t>кИСУ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56" w:type="dxa"/>
              <w:end w:w="56" w:type="dxa"/>
            </w:tcMar>
            <w:vAlign w:val="center"/>
          </w:tcPr>
          <w:p>
            <w:pPr>
              <w:pStyle w:val="Normal"/>
              <w:spacing w:before="40" w:after="40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НЦ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56" w:type="dxa"/>
              <w:end w:w="56" w:type="dxa"/>
            </w:tcMar>
            <w:vAlign w:val="center"/>
          </w:tcPr>
          <w:p>
            <w:pPr>
              <w:pStyle w:val="Normal"/>
              <w:spacing w:before="60" w:after="60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НЦ</w:t>
            </w:r>
          </w:p>
          <w:p>
            <w:pPr>
              <w:pStyle w:val="Normal"/>
              <w:spacing w:before="60" w:after="60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У</w:t>
            </w:r>
          </w:p>
        </w:tc>
        <w:tc>
          <w:tcPr>
            <w:tcW w:w="1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56" w:type="dxa"/>
              <w:end w:w="56" w:type="dxa"/>
            </w:tcMar>
            <w:vAlign w:val="center"/>
          </w:tcPr>
          <w:p>
            <w:pPr>
              <w:pStyle w:val="Normal"/>
              <w:spacing w:before="40" w:after="40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У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56" w:type="dxa"/>
              <w:end w:w="56" w:type="dxa"/>
            </w:tcMar>
            <w:vAlign w:val="cente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sz w:val="24"/>
                <w:szCs w:val="24"/>
                <w:lang w:val="bg-BG"/>
              </w:rPr>
              <w:t>6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4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56" w:type="dxa"/>
              <w:end w:w="56" w:type="dxa"/>
            </w:tcMar>
            <w:vAlign w:val="center"/>
          </w:tcPr>
          <w:p>
            <w:pPr>
              <w:pStyle w:val="Header"/>
              <w:tabs>
                <w:tab w:val="clear" w:pos="4153"/>
                <w:tab w:val="clear" w:pos="8306"/>
              </w:tabs>
              <w:spacing w:before="40"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Следене за прилагане на определените коригиращи действия и контрол за тяхната ефективност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56" w:type="dxa"/>
              <w:end w:w="56" w:type="dxa"/>
            </w:tcMar>
            <w:vAlign w:val="center"/>
          </w:tcPr>
          <w:p>
            <w:pPr>
              <w:pStyle w:val="Normal"/>
              <w:spacing w:before="40" w:after="40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кИСУ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56" w:type="dxa"/>
              <w:end w:w="56" w:type="dxa"/>
            </w:tcMar>
            <w:vAlign w:val="center"/>
          </w:tcPr>
          <w:p>
            <w:pPr>
              <w:pStyle w:val="Normal"/>
              <w:spacing w:before="40" w:after="40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НЦ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56" w:type="dxa"/>
              <w:end w:w="56" w:type="dxa"/>
            </w:tcMar>
            <w:vAlign w:val="center"/>
          </w:tcPr>
          <w:p>
            <w:pPr>
              <w:pStyle w:val="Normal"/>
              <w:spacing w:before="60" w:after="60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НЦ</w:t>
            </w:r>
          </w:p>
          <w:p>
            <w:pPr>
              <w:pStyle w:val="Normal"/>
              <w:spacing w:before="60" w:after="60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У</w:t>
            </w:r>
          </w:p>
        </w:tc>
        <w:tc>
          <w:tcPr>
            <w:tcW w:w="1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56" w:type="dxa"/>
              <w:end w:w="56" w:type="dxa"/>
            </w:tcMar>
            <w:vAlign w:val="center"/>
          </w:tcPr>
          <w:p>
            <w:pPr>
              <w:pStyle w:val="Normal"/>
              <w:spacing w:before="40" w:after="40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У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56" w:type="dxa"/>
              <w:end w:w="56" w:type="dxa"/>
            </w:tcMar>
            <w:vAlign w:val="cente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sz w:val="24"/>
                <w:szCs w:val="24"/>
                <w:lang w:val="bg-BG"/>
              </w:rPr>
              <w:t>7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4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56" w:type="dxa"/>
              <w:end w:w="56" w:type="dxa"/>
            </w:tcMar>
            <w:vAlign w:val="center"/>
          </w:tcPr>
          <w:p>
            <w:pPr>
              <w:pStyle w:val="Header"/>
              <w:tabs>
                <w:tab w:val="clear" w:pos="4153"/>
                <w:tab w:val="clear" w:pos="8306"/>
              </w:tabs>
              <w:spacing w:before="40"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Осигуряване на подходяща информация за висшето ръководство за целите на провеждани от него прегледи на системата з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56" w:type="dxa"/>
              <w:end w:w="56" w:type="dxa"/>
            </w:tcMar>
            <w:vAlign w:val="center"/>
          </w:tcPr>
          <w:p>
            <w:pPr>
              <w:pStyle w:val="Normal"/>
              <w:spacing w:before="40" w:after="40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кИСУ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56" w:type="dxa"/>
              <w:end w:w="56" w:type="dxa"/>
            </w:tcMar>
            <w:vAlign w:val="center"/>
          </w:tcPr>
          <w:p>
            <w:pPr>
              <w:pStyle w:val="Normal"/>
              <w:spacing w:before="40" w:after="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bg-BG"/>
              </w:rPr>
              <w:t>НЦ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56" w:type="dxa"/>
              <w:end w:w="56" w:type="dxa"/>
            </w:tcMar>
            <w:vAlign w:val="center"/>
          </w:tcPr>
          <w:p>
            <w:pPr>
              <w:pStyle w:val="Normal"/>
              <w:spacing w:before="60" w:after="60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НЦ</w:t>
            </w:r>
          </w:p>
          <w:p>
            <w:pPr>
              <w:pStyle w:val="Normal"/>
              <w:spacing w:before="60" w:after="60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У</w:t>
            </w:r>
          </w:p>
        </w:tc>
        <w:tc>
          <w:tcPr>
            <w:tcW w:w="1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56" w:type="dxa"/>
              <w:end w:w="56" w:type="dxa"/>
            </w:tcMar>
            <w:vAlign w:val="center"/>
          </w:tcPr>
          <w:p>
            <w:pPr>
              <w:pStyle w:val="Normal"/>
              <w:spacing w:before="40" w:after="40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У</w:t>
            </w:r>
          </w:p>
        </w:tc>
      </w:tr>
    </w:tbl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Heading4"/>
        <w:ind w:hanging="0" w:start="0"/>
        <w:jc w:val="center"/>
        <w:rPr>
          <w:b/>
          <w:bCs/>
          <w:i w:val="false"/>
          <w:iCs/>
          <w:sz w:val="24"/>
          <w:szCs w:val="24"/>
          <w:lang w:val="bg-BG"/>
        </w:rPr>
      </w:pPr>
      <w:r>
        <w:rPr>
          <w:b/>
          <w:bCs/>
          <w:i w:val="false"/>
          <w:iCs/>
          <w:sz w:val="24"/>
          <w:szCs w:val="24"/>
          <w:lang w:val="bg-BG"/>
        </w:rPr>
      </w:r>
    </w:p>
    <w:p>
      <w:pPr>
        <w:pStyle w:val="Normal"/>
        <w:rPr>
          <w:b/>
          <w:bCs/>
          <w:i/>
          <w:iCs/>
          <w:sz w:val="24"/>
          <w:szCs w:val="24"/>
          <w:lang w:val="bg-BG"/>
        </w:rPr>
      </w:pPr>
      <w:r>
        <w:rPr>
          <w:b/>
          <w:bCs/>
          <w:i/>
          <w:iCs/>
          <w:sz w:val="24"/>
          <w:szCs w:val="24"/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Heading4"/>
        <w:ind w:hanging="0" w:start="0"/>
        <w:jc w:val="center"/>
        <w:rPr>
          <w:rFonts w:eastAsia="Arial Unicode MS"/>
          <w:b/>
          <w:bCs/>
          <w:i w:val="false"/>
          <w:iCs/>
          <w:sz w:val="24"/>
          <w:szCs w:val="24"/>
        </w:rPr>
      </w:pPr>
      <w:r>
        <w:rPr>
          <w:b/>
          <w:bCs/>
          <w:i w:val="false"/>
          <w:iCs/>
          <w:sz w:val="24"/>
          <w:szCs w:val="24"/>
        </w:rPr>
        <w:t>ЛЕГЕНДА</w:t>
      </w:r>
    </w:p>
    <w:p>
      <w:pPr>
        <w:pStyle w:val="Style11"/>
        <w:widowControl w:val="false"/>
        <w:numPr>
          <w:ilvl w:val="0"/>
          <w:numId w:val="0"/>
        </w:numPr>
        <w:spacing w:before="60" w:after="0"/>
        <w:ind w:hanging="0" w:start="0"/>
        <w:rPr>
          <w:rFonts w:eastAsia="Arial Unicode MS"/>
          <w:b/>
          <w:bCs/>
          <w:i/>
          <w:iCs/>
          <w:sz w:val="24"/>
          <w:szCs w:val="24"/>
        </w:rPr>
      </w:pPr>
      <w:r>
        <w:rPr>
          <w:rFonts w:eastAsia="Arial Unicode MS"/>
          <w:b/>
          <w:bCs/>
          <w:i/>
          <w:iCs/>
          <w:sz w:val="24"/>
          <w:szCs w:val="24"/>
        </w:rPr>
      </w:r>
    </w:p>
    <w:tbl>
      <w:tblPr>
        <w:tblW w:w="10170" w:type="dxa"/>
        <w:jc w:val="start"/>
        <w:tblInd w:w="-29" w:type="dxa"/>
        <w:tblLayout w:type="fixed"/>
        <w:tblCellMar>
          <w:top w:w="0" w:type="dxa"/>
          <w:start w:w="113" w:type="dxa"/>
          <w:bottom w:w="0" w:type="dxa"/>
          <w:end w:w="113" w:type="dxa"/>
        </w:tblCellMar>
      </w:tblPr>
      <w:tblGrid>
        <w:gridCol w:w="3479"/>
        <w:gridCol w:w="6691"/>
      </w:tblGrid>
      <w:tr>
        <w:trPr>
          <w:cantSplit/>
        </w:trPr>
        <w:tc>
          <w:tcPr>
            <w:tcW w:w="34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 (РЕШЕНИЕ)</w:t>
            </w:r>
          </w:p>
        </w:tc>
        <w:tc>
          <w:tcPr>
            <w:tcW w:w="66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</w:t>
            </w:r>
            <w:r>
              <w:rPr>
                <w:sz w:val="24"/>
                <w:szCs w:val="24"/>
              </w:rPr>
              <w:t>ъководителят на посоченото звено или длъжностно лице е упълномощен да взема решение по дадената дейност и носи отговорност за същото</w:t>
            </w:r>
          </w:p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W w:w="34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 (ОСЪЩЕСТВЯВАНЕ)</w:t>
            </w:r>
          </w:p>
        </w:tc>
        <w:tc>
          <w:tcPr>
            <w:tcW w:w="66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</w:t>
            </w:r>
            <w:r>
              <w:rPr>
                <w:sz w:val="24"/>
                <w:szCs w:val="24"/>
              </w:rPr>
              <w:t>осоченият ръководител на звено или длъжностно лице е упълномощен и отговорен за осъществяването на дадената дейност</w:t>
            </w:r>
          </w:p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W w:w="34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 (СЪДЕЙСТВИЕ)</w:t>
            </w:r>
          </w:p>
        </w:tc>
        <w:tc>
          <w:tcPr>
            <w:tcW w:w="66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</w:t>
            </w:r>
            <w:r>
              <w:rPr>
                <w:sz w:val="24"/>
                <w:szCs w:val="24"/>
              </w:rPr>
              <w:t>осоченият ръководител на звено или длъжностно лице сътрудничи, съгласува и подкрепя осъществяването на дадената дейност</w:t>
            </w:r>
          </w:p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W w:w="34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0"/>
              <w:rPr/>
            </w:pPr>
            <w:r>
              <w:rPr>
                <w:b/>
                <w:sz w:val="24"/>
                <w:szCs w:val="24"/>
              </w:rPr>
              <w:t>И (ИНФОРМИРАНЕ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66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0"/>
              <w:jc w:val="both"/>
              <w:rPr/>
            </w:pPr>
            <w:r>
              <w:rPr>
                <w:b/>
                <w:sz w:val="24"/>
                <w:szCs w:val="24"/>
              </w:rPr>
              <w:t>П</w:t>
            </w:r>
            <w:r>
              <w:rPr>
                <w:sz w:val="24"/>
                <w:szCs w:val="24"/>
              </w:rPr>
              <w:t>осоченият ръководител на звено или длъжностно лице трябва да бъде информиран от длъжностното лице, осъществило дадената дейност</w:t>
            </w:r>
          </w:p>
        </w:tc>
      </w:tr>
    </w:tbl>
    <w:p>
      <w:pPr>
        <w:pStyle w:val="Normal"/>
        <w:jc w:val="center"/>
        <w:rPr>
          <w:sz w:val="24"/>
          <w:szCs w:val="24"/>
          <w:u w:val="single"/>
          <w:lang w:val="bg-BG"/>
        </w:rPr>
      </w:pPr>
      <w:r>
        <w:rPr>
          <w:sz w:val="24"/>
          <w:szCs w:val="24"/>
          <w:u w:val="single"/>
        </w:rPr>
        <w:tab/>
      </w:r>
    </w:p>
    <w:p>
      <w:pPr>
        <w:pStyle w:val="Normal"/>
        <w:jc w:val="center"/>
        <w:rPr>
          <w:sz w:val="24"/>
          <w:szCs w:val="24"/>
          <w:u w:val="single"/>
          <w:lang w:val="bg-BG"/>
        </w:rPr>
      </w:pPr>
      <w:r>
        <w:rPr>
          <w:sz w:val="24"/>
          <w:szCs w:val="24"/>
          <w:u w:val="single"/>
          <w:lang w:val="bg-BG"/>
        </w:rPr>
      </w:r>
    </w:p>
    <w:tbl>
      <w:tblPr>
        <w:tblW w:w="10207" w:type="dxa"/>
        <w:jc w:val="start"/>
        <w:tblInd w:w="-29" w:type="dxa"/>
        <w:tblLayout w:type="fixed"/>
        <w:tblCellMar>
          <w:top w:w="0" w:type="dxa"/>
          <w:start w:w="113" w:type="dxa"/>
          <w:bottom w:w="0" w:type="dxa"/>
          <w:end w:w="113" w:type="dxa"/>
        </w:tblCellMar>
      </w:tblPr>
      <w:tblGrid>
        <w:gridCol w:w="1702"/>
        <w:gridCol w:w="8505"/>
      </w:tblGrid>
      <w:tr>
        <w:trPr/>
        <w:tc>
          <w:tcPr>
            <w:tcW w:w="1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20" w:after="0"/>
              <w:rPr>
                <w:rFonts w:eastAsia="Arial Unicode MS"/>
                <w:b/>
                <w:bCs/>
                <w:sz w:val="24"/>
                <w:szCs w:val="24"/>
                <w:lang w:val="bg-BG"/>
              </w:rPr>
            </w:pPr>
            <w:r>
              <w:rPr>
                <w:b/>
                <w:bCs/>
                <w:sz w:val="24"/>
                <w:szCs w:val="24"/>
                <w:lang w:val="bg-BG"/>
              </w:rPr>
              <w:t>У</w:t>
            </w:r>
          </w:p>
        </w:tc>
        <w:tc>
          <w:tcPr>
            <w:tcW w:w="8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20" w:after="0"/>
              <w:rPr>
                <w:bCs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  <w:t>У</w:t>
            </w:r>
            <w:r>
              <w:rPr>
                <w:sz w:val="24"/>
                <w:szCs w:val="24"/>
                <w:lang w:val="bg-BG"/>
              </w:rPr>
              <w:t>правител</w:t>
            </w:r>
          </w:p>
        </w:tc>
      </w:tr>
      <w:tr>
        <w:trPr/>
        <w:tc>
          <w:tcPr>
            <w:tcW w:w="1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0"/>
              <w:rPr>
                <w:b/>
                <w:bCs/>
                <w:sz w:val="24"/>
                <w:szCs w:val="24"/>
                <w:lang w:val="bg-BG"/>
              </w:rPr>
            </w:pPr>
            <w:r>
              <w:rPr>
                <w:b/>
                <w:bCs/>
                <w:sz w:val="24"/>
                <w:szCs w:val="24"/>
                <w:lang w:val="bg-BG"/>
              </w:rPr>
              <w:t>кИСУ</w:t>
            </w:r>
          </w:p>
        </w:tc>
        <w:tc>
          <w:tcPr>
            <w:tcW w:w="8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0"/>
              <w:rPr>
                <w:bCs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  <w:t>К</w:t>
            </w:r>
            <w:r>
              <w:rPr>
                <w:sz w:val="24"/>
                <w:szCs w:val="24"/>
                <w:lang w:val="bg-BG"/>
              </w:rPr>
              <w:t>оординатор по СУ</w:t>
            </w:r>
          </w:p>
        </w:tc>
      </w:tr>
      <w:tr>
        <w:trPr/>
        <w:tc>
          <w:tcPr>
            <w:tcW w:w="1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20" w:after="0"/>
              <w:rPr>
                <w:rFonts w:eastAsia="Arial Unicode MS"/>
                <w:b/>
                <w:bCs/>
                <w:sz w:val="24"/>
                <w:szCs w:val="24"/>
                <w:lang w:val="bg-BG"/>
              </w:rPr>
            </w:pPr>
            <w:r>
              <w:rPr>
                <w:b/>
                <w:bCs/>
                <w:sz w:val="24"/>
                <w:szCs w:val="24"/>
                <w:lang w:val="bg-BG"/>
              </w:rPr>
              <w:t>НЦ</w:t>
            </w:r>
          </w:p>
        </w:tc>
        <w:tc>
          <w:tcPr>
            <w:tcW w:w="8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20" w:after="0"/>
              <w:rPr>
                <w:bCs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  <w:t>Н</w:t>
            </w:r>
            <w:r>
              <w:rPr>
                <w:sz w:val="24"/>
                <w:szCs w:val="24"/>
                <w:lang w:val="bg-BG"/>
              </w:rPr>
              <w:t>ачалник Цех</w:t>
            </w:r>
          </w:p>
        </w:tc>
      </w:tr>
    </w:tbl>
    <w:p>
      <w:pPr>
        <w:pStyle w:val="Normal"/>
        <w:jc w:val="center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ab/>
      </w:r>
    </w:p>
    <w:p>
      <w:pPr>
        <w:pStyle w:val="Normal"/>
        <w:rPr>
          <w:sz w:val="24"/>
          <w:szCs w:val="24"/>
          <w:u w:val="single"/>
          <w:lang w:val="bg-BG"/>
        </w:rPr>
      </w:pPr>
      <w:r>
        <w:rPr>
          <w:sz w:val="24"/>
          <w:szCs w:val="24"/>
          <w:u w:val="single"/>
          <w:lang w:val="bg-BG"/>
        </w:rPr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ind w:firstLine="720" w:end="0"/>
        <w:rPr/>
      </w:pPr>
      <w:r>
        <w:rPr>
          <w:b/>
          <w:sz w:val="24"/>
          <w:szCs w:val="24"/>
          <w:lang w:val="ru-RU"/>
        </w:rPr>
        <w:t>6.</w:t>
      </w:r>
      <w:r>
        <w:rPr>
          <w:b/>
          <w:sz w:val="24"/>
          <w:szCs w:val="24"/>
          <w:lang w:val="bg-BG"/>
        </w:rPr>
        <w:t xml:space="preserve"> </w:t>
      </w:r>
      <w:r>
        <w:rPr>
          <w:b/>
          <w:sz w:val="24"/>
          <w:szCs w:val="24"/>
          <w:lang w:val="ru-RU"/>
        </w:rPr>
        <w:t>ПОСЛЕДОВАТЕЛНОСТ ПРИ ПРИЛАГАНЕ НА ПРОЦЕДУРАТА.</w:t>
      </w:r>
    </w:p>
    <w:p>
      <w:pPr>
        <w:pStyle w:val="Normal"/>
        <w:ind w:end="284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</w:r>
    </w:p>
    <w:p>
      <w:pPr>
        <w:pStyle w:val="Normal"/>
        <w:rPr/>
      </w:pPr>
      <w:r>
        <w:rPr>
          <w:sz w:val="24"/>
          <w:szCs w:val="24"/>
          <w:lang w:val="ru-RU"/>
        </w:rPr>
        <w:tab/>
      </w:r>
      <w:r>
        <w:rPr>
          <w:sz w:val="24"/>
          <w:szCs w:val="24"/>
        </w:rPr>
        <w:t>6.1.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</w:rPr>
        <w:t>Документиране и идентификация на несъответстващи продукти.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yle9"/>
        <w:ind w:start="0" w:end="0"/>
        <w:rPr/>
      </w:pPr>
      <w:r>
        <w:rPr>
          <w:rFonts w:cs="Times New Roman" w:ascii="Times New Roman" w:hAnsi="Times New Roman"/>
          <w:sz w:val="24"/>
          <w:szCs w:val="24"/>
        </w:rPr>
        <w:tab/>
        <w:t xml:space="preserve">Извършва се на различни етапи при осигуряване на </w:t>
      </w:r>
      <w:r>
        <w:rPr>
          <w:rFonts w:cs="Times New Roman" w:ascii="Times New Roman" w:hAnsi="Times New Roman"/>
          <w:sz w:val="24"/>
          <w:szCs w:val="24"/>
          <w:lang w:val="en-US"/>
        </w:rPr>
        <w:t>ISO 9001:2015</w:t>
      </w:r>
      <w:r>
        <w:rPr>
          <w:rFonts w:cs="Times New Roman" w:ascii="Times New Roman" w:hAnsi="Times New Roman"/>
          <w:sz w:val="24"/>
          <w:szCs w:val="24"/>
        </w:rPr>
        <w:t>: входящ контрол, контрол по време на производствения процес и краен контрол и изпитване.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ind w:firstLine="720" w:end="0"/>
        <w:jc w:val="both"/>
        <w:rPr/>
      </w:pPr>
      <w:r>
        <w:rPr>
          <w:sz w:val="24"/>
          <w:szCs w:val="24"/>
        </w:rPr>
        <w:t>6.1.1.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</w:rPr>
        <w:t>За документирането на несъответствията при входящия контрол се ползват протоколи от изпитване. Несъответстващите продукти се идентифицират по подходящ начин и отделят.</w:t>
      </w:r>
    </w:p>
    <w:p>
      <w:pPr>
        <w:pStyle w:val="Normal"/>
        <w:ind w:firstLine="432" w:end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Indent"/>
        <w:rPr/>
      </w:pPr>
      <w:r>
        <w:rPr>
          <w:sz w:val="24"/>
          <w:szCs w:val="24"/>
        </w:rPr>
        <w:tab/>
        <w:t>6.1.</w:t>
      </w:r>
      <w:r>
        <w:rPr>
          <w:sz w:val="24"/>
          <w:szCs w:val="24"/>
          <w:lang w:val="bg-BG"/>
        </w:rPr>
        <w:t>2</w:t>
      </w:r>
      <w:r>
        <w:rPr>
          <w:sz w:val="24"/>
          <w:szCs w:val="24"/>
        </w:rPr>
        <w:t>.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</w:rPr>
        <w:t xml:space="preserve">При крайния контрол и изпитване също се използват </w:t>
      </w:r>
      <w:r>
        <w:rPr>
          <w:sz w:val="24"/>
          <w:szCs w:val="24"/>
          <w:lang w:val="bg-BG"/>
        </w:rPr>
        <w:t xml:space="preserve">същите </w:t>
      </w:r>
      <w:r>
        <w:rPr>
          <w:sz w:val="24"/>
          <w:szCs w:val="24"/>
        </w:rPr>
        <w:t xml:space="preserve">документи, за случаите на констатирани несъответствия. На базата на констатираните в тях несъответствия </w:t>
      </w:r>
      <w:r>
        <w:rPr>
          <w:sz w:val="24"/>
          <w:szCs w:val="24"/>
          <w:lang w:val="bg-BG"/>
        </w:rPr>
        <w:t>отговорниците за конкретните производства</w:t>
      </w:r>
      <w:r>
        <w:rPr>
          <w:sz w:val="24"/>
          <w:szCs w:val="24"/>
        </w:rPr>
        <w:t xml:space="preserve"> предприемат подходящи коригиращи действия (технически или организационни).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/>
      </w:pPr>
      <w:r>
        <w:rPr>
          <w:sz w:val="24"/>
          <w:szCs w:val="24"/>
        </w:rPr>
        <w:tab/>
        <w:t>6.2.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</w:rPr>
        <w:t>Маркиране и изолиране на несъответстващия продукт.</w:t>
      </w:r>
    </w:p>
    <w:p>
      <w:pPr>
        <w:pStyle w:val="Normal"/>
        <w:ind w:firstLine="431" w:end="0"/>
        <w:jc w:val="both"/>
        <w:rPr>
          <w:sz w:val="24"/>
          <w:szCs w:val="24"/>
        </w:rPr>
      </w:pPr>
      <w:r>
        <w:rPr>
          <w:sz w:val="24"/>
          <w:szCs w:val="24"/>
        </w:rPr>
        <w:tab/>
        <w:t>Това е коригиращо действие, което се прилага непосредствено след извършеното документиране, съобразно т. 6.1.</w:t>
      </w:r>
    </w:p>
    <w:p>
      <w:pPr>
        <w:pStyle w:val="Normal"/>
        <w:ind w:firstLine="431" w:end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Indent"/>
        <w:rPr/>
      </w:pPr>
      <w:r>
        <w:rPr>
          <w:sz w:val="24"/>
          <w:szCs w:val="24"/>
        </w:rPr>
        <w:tab/>
        <w:t xml:space="preserve">6.2.1.При входящия контрол маркиране на несъответстващите продукти се прилага в зависимост от конкретната ситуация. Изолирането на такива продукти в зони за несъответстващи продукти се прилага задължително. </w:t>
      </w:r>
      <w:r>
        <w:rPr>
          <w:sz w:val="24"/>
          <w:szCs w:val="24"/>
          <w:lang w:val="ru-RU"/>
        </w:rPr>
        <w:t xml:space="preserve">Действията в това направление са задължение на </w:t>
      </w:r>
      <w:r>
        <w:rPr>
          <w:sz w:val="24"/>
          <w:szCs w:val="24"/>
          <w:lang w:val="bg-BG"/>
        </w:rPr>
        <w:t>началника</w:t>
      </w:r>
      <w:r>
        <w:rPr>
          <w:sz w:val="24"/>
          <w:szCs w:val="24"/>
          <w:lang w:val="ru-RU"/>
        </w:rPr>
        <w:t xml:space="preserve"> на склада, в който са идентифицирани несъответстващите продукти.</w:t>
      </w:r>
    </w:p>
    <w:p>
      <w:pPr>
        <w:pStyle w:val="Normal"/>
        <w:ind w:firstLine="432" w:end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BodyTextIndent"/>
        <w:rPr/>
      </w:pPr>
      <w:r>
        <w:rPr>
          <w:sz w:val="24"/>
          <w:szCs w:val="24"/>
          <w:lang w:val="ru-RU"/>
        </w:rPr>
        <w:tab/>
      </w:r>
      <w:r>
        <w:rPr>
          <w:sz w:val="24"/>
          <w:szCs w:val="24"/>
        </w:rPr>
        <w:t>6.2.2.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</w:rPr>
        <w:t>В процеса на производство, както и при крайния контрол, несъответстващите продукти се маркират и изолират от останалите. В зависимост от конкретната ситуация се връщат за доработка или бракуват.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/>
      </w:pPr>
      <w:r>
        <w:rPr>
          <w:sz w:val="24"/>
          <w:szCs w:val="24"/>
        </w:rPr>
        <w:tab/>
        <w:t>6.3.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</w:rPr>
        <w:t>Уведомяване на съответните звена и длъжностни лица за несъответстващ продукт.</w:t>
      </w:r>
    </w:p>
    <w:p>
      <w:pPr>
        <w:pStyle w:val="Normal"/>
        <w:ind w:firstLine="431" w:end="0"/>
        <w:jc w:val="both"/>
        <w:rPr>
          <w:sz w:val="24"/>
          <w:szCs w:val="24"/>
        </w:rPr>
      </w:pPr>
      <w:r>
        <w:rPr>
          <w:sz w:val="24"/>
          <w:szCs w:val="24"/>
        </w:rPr>
        <w:tab/>
        <w:t>Това е последващо коригиращо действие, което в зависимост от конкретната ситуация следва да започне да се изпълнява паралелно с действията по т.6.2. или след тяхното приключване.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432" w:end="0"/>
        <w:jc w:val="both"/>
        <w:rPr/>
      </w:pPr>
      <w:r>
        <w:rPr>
          <w:sz w:val="24"/>
          <w:szCs w:val="24"/>
        </w:rPr>
        <w:tab/>
        <w:t>6.3.1.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</w:rPr>
        <w:t>За случаите на несъответстващ продукт, констатиран от входящия контрол, отговорните длъжностни лица определят възможностите за частично използване на доставения продукт или цялостна забрана върху него. Паралелно с това се предприемат и действията по неговото рекламиране пред доставчика.</w:t>
      </w:r>
    </w:p>
    <w:p>
      <w:pPr>
        <w:pStyle w:val="Normal"/>
        <w:ind w:firstLine="432" w:end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Indent"/>
        <w:rPr/>
      </w:pPr>
      <w:r>
        <w:rPr>
          <w:sz w:val="24"/>
          <w:szCs w:val="24"/>
        </w:rPr>
        <w:tab/>
      </w:r>
      <w:r>
        <w:rPr>
          <w:sz w:val="24"/>
          <w:szCs w:val="24"/>
          <w:lang w:val="ru-RU"/>
        </w:rPr>
        <w:t>6.3.2.В процеса на производство, на базата на протокол за несъответстващ продукт, съобразно П</w:t>
      </w:r>
      <w:r>
        <w:rPr>
          <w:sz w:val="24"/>
          <w:szCs w:val="24"/>
          <w:lang w:val="bg-BG"/>
        </w:rPr>
        <w:t>Р</w:t>
      </w:r>
      <w:r>
        <w:rPr>
          <w:sz w:val="24"/>
          <w:szCs w:val="24"/>
          <w:lang w:val="ru-RU"/>
        </w:rPr>
        <w:t xml:space="preserve"> 0</w:t>
      </w:r>
      <w:r>
        <w:rPr>
          <w:sz w:val="24"/>
          <w:szCs w:val="24"/>
          <w:lang w:val="bg-BG"/>
        </w:rPr>
        <w:t>4</w:t>
      </w:r>
      <w:r>
        <w:rPr>
          <w:sz w:val="24"/>
          <w:szCs w:val="24"/>
          <w:lang w:val="ru-RU"/>
        </w:rPr>
        <w:t xml:space="preserve">, заинтересованите длъжностни лица предприемат, при необходимост коригиращи мерки. Регистрация на коригиращи действия, ако ситуацията не налага издаването на изрична заповед на </w:t>
      </w:r>
      <w:r>
        <w:rPr>
          <w:sz w:val="24"/>
          <w:szCs w:val="24"/>
          <w:lang w:val="bg-BG"/>
        </w:rPr>
        <w:t>Управител</w:t>
      </w:r>
      <w:r>
        <w:rPr>
          <w:sz w:val="24"/>
          <w:szCs w:val="24"/>
          <w:lang w:val="ru-RU"/>
        </w:rPr>
        <w:t xml:space="preserve"> .</w:t>
      </w:r>
    </w:p>
    <w:p>
      <w:pPr>
        <w:pStyle w:val="Normal"/>
        <w:ind w:firstLine="432" w:end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BodyTextIndent"/>
        <w:rPr/>
      </w:pPr>
      <w:r>
        <w:rPr>
          <w:sz w:val="24"/>
          <w:szCs w:val="24"/>
          <w:lang w:val="ru-RU"/>
        </w:rPr>
        <w:tab/>
      </w:r>
      <w:r>
        <w:rPr>
          <w:sz w:val="24"/>
          <w:szCs w:val="24"/>
        </w:rPr>
        <w:t>6.3.3.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</w:rPr>
        <w:t xml:space="preserve">При несъществени несъответствия, констатирани в крайните продукти, уведомяването на длъжностните лица става в оперативен порядък. За случаи на сериозни несъответствия длъжностните лица уведомяват </w:t>
      </w:r>
      <w:r>
        <w:rPr>
          <w:sz w:val="24"/>
          <w:szCs w:val="24"/>
          <w:lang w:val="bg-BG"/>
        </w:rPr>
        <w:t>Управителя на дружеството</w:t>
      </w:r>
      <w:r>
        <w:rPr>
          <w:sz w:val="24"/>
          <w:szCs w:val="24"/>
        </w:rPr>
        <w:t xml:space="preserve">. За случаите, когато несъответствието на готовата продукция е идентифицирано от клиента предприеманите действия за уведомяване на длъжностните лица са съобразно </w:t>
      </w:r>
      <w:r>
        <w:rPr>
          <w:sz w:val="24"/>
          <w:szCs w:val="24"/>
          <w:lang w:val="bg-BG"/>
        </w:rPr>
        <w:t>договорните отношения</w:t>
      </w:r>
      <w:r>
        <w:rPr>
          <w:sz w:val="24"/>
          <w:szCs w:val="24"/>
        </w:rPr>
        <w:t>. Предприеманите от страна на дружеството коригиращи действия в този случай се определят на базата на анализа на получената писмена рекламация за нейното приемане или не приемане.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yle9"/>
        <w:ind w:start="0" w:end="0"/>
        <w:rPr/>
      </w:pPr>
      <w:r>
        <w:rPr>
          <w:rFonts w:cs="Times New Roman" w:ascii="Times New Roman" w:hAnsi="Times New Roman"/>
          <w:sz w:val="24"/>
          <w:szCs w:val="24"/>
        </w:rPr>
        <w:tab/>
        <w:t>6.4. Определяне и регистрация на причините за несъответствия.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Отношението между причина и следствие се определя като се разглеждат всички възможни причини. Длъжностното лице, което ще разпореди коригиращото действие, най-напред следва да изучи подробно съществуващото положение на нещата и причините за даденото състояние. То си осигурява необходимата по обем достоверна, анализирана или статистически интерпретирана, информация. </w:t>
      </w:r>
    </w:p>
    <w:p>
      <w:pPr>
        <w:pStyle w:val="Normal"/>
        <w:ind w:end="-172"/>
        <w:rPr>
          <w:sz w:val="24"/>
          <w:szCs w:val="24"/>
          <w:lang w:val="bg-BG"/>
        </w:rPr>
      </w:pPr>
      <w:r>
        <w:rPr>
          <w:sz w:val="24"/>
          <w:szCs w:val="24"/>
        </w:rPr>
        <w:tab/>
      </w:r>
    </w:p>
    <w:p>
      <w:pPr>
        <w:pStyle w:val="Normal"/>
        <w:ind w:firstLine="720" w:end="-172"/>
        <w:rPr/>
      </w:pPr>
      <w:r>
        <w:rPr>
          <w:sz w:val="24"/>
          <w:szCs w:val="24"/>
        </w:rPr>
        <w:t>6.</w:t>
      </w:r>
      <w:r>
        <w:rPr>
          <w:sz w:val="24"/>
          <w:szCs w:val="24"/>
          <w:lang w:val="bg-BG"/>
        </w:rPr>
        <w:t>5</w:t>
      </w:r>
      <w:r>
        <w:rPr>
          <w:sz w:val="24"/>
          <w:szCs w:val="24"/>
        </w:rPr>
        <w:t>.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</w:rPr>
        <w:t>Определяне на коригиращи действия за отстраняване на причините за несъответствия.</w:t>
      </w:r>
    </w:p>
    <w:p>
      <w:pPr>
        <w:pStyle w:val="Normal"/>
        <w:jc w:val="both"/>
        <w:rPr/>
      </w:pPr>
      <w:r>
        <w:rPr>
          <w:sz w:val="24"/>
          <w:szCs w:val="24"/>
        </w:rPr>
        <w:tab/>
        <w:t xml:space="preserve">При дефиниране на всяко коригиращо действие съответното длъжностно лице извършва оценка на значението от неговото прилагане. </w:t>
      </w:r>
      <w:r>
        <w:rPr>
          <w:sz w:val="24"/>
          <w:szCs w:val="24"/>
          <w:lang w:val="ru-RU"/>
        </w:rPr>
        <w:t>Значението на един проблем, който оказва влияние върху качество</w:t>
      </w:r>
      <w:r>
        <w:rPr>
          <w:sz w:val="24"/>
          <w:szCs w:val="24"/>
          <w:lang w:val="bg-BG"/>
        </w:rPr>
        <w:t>то</w:t>
      </w:r>
      <w:r>
        <w:rPr>
          <w:sz w:val="24"/>
          <w:szCs w:val="24"/>
          <w:lang w:val="ru-RU"/>
        </w:rPr>
        <w:t xml:space="preserve"> и на работа/продукта </w:t>
      </w:r>
      <w:r>
        <w:rPr>
          <w:sz w:val="24"/>
          <w:szCs w:val="24"/>
          <w:lang w:val="bg-BG"/>
        </w:rPr>
        <w:t xml:space="preserve">или ИСУ </w:t>
      </w:r>
      <w:r>
        <w:rPr>
          <w:sz w:val="24"/>
          <w:szCs w:val="24"/>
          <w:lang w:val="ru-RU"/>
        </w:rPr>
        <w:t xml:space="preserve">се оценява в смисъл на потенциалния му ефект върху такива аспекти, като: производствени разходи, финансови разходи, разходи за качество и безопасност на храните, експлоатационни характеристики, задоволяване изискванията на клиента. </w:t>
      </w:r>
      <w:r>
        <w:rPr>
          <w:sz w:val="24"/>
          <w:szCs w:val="24"/>
        </w:rPr>
        <w:t>В болшинството от случаи, като част от предвидените коригиращи действия</w:t>
      </w:r>
      <w:r>
        <w:rPr>
          <w:sz w:val="24"/>
          <w:szCs w:val="24"/>
          <w:lang w:val="bg-BG"/>
        </w:rPr>
        <w:t xml:space="preserve"> е</w:t>
      </w:r>
      <w:r>
        <w:rPr>
          <w:sz w:val="24"/>
          <w:szCs w:val="24"/>
        </w:rPr>
        <w:t xml:space="preserve"> обучението на персонала.</w:t>
      </w:r>
    </w:p>
    <w:p>
      <w:pPr>
        <w:pStyle w:val="Normal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ind w:firstLine="709" w:end="0"/>
        <w:jc w:val="both"/>
        <w:rPr/>
      </w:pPr>
      <w:r>
        <w:rPr>
          <w:sz w:val="24"/>
          <w:szCs w:val="24"/>
          <w:lang w:val="ru-RU"/>
        </w:rPr>
        <w:t>6.</w:t>
      </w:r>
      <w:r>
        <w:rPr>
          <w:sz w:val="24"/>
          <w:szCs w:val="24"/>
          <w:lang w:val="bg-BG"/>
        </w:rPr>
        <w:t>6</w:t>
      </w:r>
      <w:r>
        <w:rPr>
          <w:sz w:val="24"/>
          <w:szCs w:val="24"/>
          <w:lang w:val="ru-RU"/>
        </w:rPr>
        <w:t>.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ru-RU"/>
        </w:rPr>
        <w:t>Следене за прилагането на определените коригиращи действия и контрол за тяхната ефективност.</w:t>
      </w:r>
    </w:p>
    <w:p>
      <w:pPr>
        <w:pStyle w:val="Normal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Normal"/>
        <w:jc w:val="both"/>
        <w:rPr/>
      </w:pPr>
      <w:r>
        <w:rPr>
          <w:sz w:val="24"/>
          <w:szCs w:val="24"/>
          <w:lang w:val="ru-RU"/>
        </w:rPr>
        <w:tab/>
      </w:r>
      <w:r>
        <w:rPr>
          <w:sz w:val="24"/>
          <w:szCs w:val="24"/>
        </w:rPr>
        <w:t>6.</w:t>
      </w:r>
      <w:r>
        <w:rPr>
          <w:sz w:val="24"/>
          <w:szCs w:val="24"/>
          <w:lang w:val="bg-BG"/>
        </w:rPr>
        <w:t>6</w:t>
      </w:r>
      <w:r>
        <w:rPr>
          <w:sz w:val="24"/>
          <w:szCs w:val="24"/>
        </w:rPr>
        <w:t>.1.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ru-RU"/>
        </w:rPr>
        <w:t>Дефинираните коригиращи действия, в резултат на вътрешни одити</w:t>
      </w:r>
      <w:r>
        <w:rPr>
          <w:sz w:val="24"/>
          <w:szCs w:val="24"/>
          <w:lang w:val="bg-BG"/>
        </w:rPr>
        <w:t xml:space="preserve"> (ПР 03)</w:t>
      </w:r>
      <w:r>
        <w:rPr>
          <w:sz w:val="24"/>
          <w:szCs w:val="24"/>
          <w:lang w:val="ru-RU"/>
        </w:rPr>
        <w:t xml:space="preserve">, причините за тяхното предприемане и резултатите от прилагането им са действия, които пряко се наблюдават от висшето ръководството на дружеството в лицето на координатора на СУ. </w:t>
      </w:r>
    </w:p>
    <w:p>
      <w:pPr>
        <w:pStyle w:val="Normal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Normal"/>
        <w:jc w:val="both"/>
        <w:rPr/>
      </w:pPr>
      <w:r>
        <w:rPr>
          <w:sz w:val="24"/>
          <w:szCs w:val="24"/>
          <w:lang w:val="ru-RU"/>
        </w:rPr>
        <w:tab/>
      </w:r>
      <w:r>
        <w:rPr>
          <w:sz w:val="24"/>
          <w:szCs w:val="24"/>
        </w:rPr>
        <w:t>6.</w:t>
      </w:r>
      <w:r>
        <w:rPr>
          <w:sz w:val="24"/>
          <w:szCs w:val="24"/>
          <w:lang w:val="bg-BG"/>
        </w:rPr>
        <w:t>6</w:t>
      </w:r>
      <w:r>
        <w:rPr>
          <w:sz w:val="24"/>
          <w:szCs w:val="24"/>
        </w:rPr>
        <w:t>.2.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ru-RU"/>
        </w:rPr>
        <w:t xml:space="preserve">Коригиращите действия, във всекидневната работа, се документират в съответните дневници, бланки и други формуляри от системата за управление. </w:t>
      </w:r>
      <w:r>
        <w:rPr>
          <w:sz w:val="24"/>
          <w:szCs w:val="24"/>
        </w:rPr>
        <w:t>Същите се наблюдават от ръководителя, който ги е утвърдил. Отговорникът за прилагане на коригиращото действие се подписва в дневника, след изпълнение на поставената задача. Ръководителят, поставил задачата се подписва, че е извършил контрол за ефективността от приложеното коригиращо действие.</w:t>
      </w:r>
    </w:p>
    <w:p>
      <w:pPr>
        <w:pStyle w:val="Normal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jc w:val="both"/>
        <w:rPr/>
      </w:pPr>
      <w:r>
        <w:rPr>
          <w:sz w:val="24"/>
          <w:szCs w:val="24"/>
        </w:rPr>
        <w:tab/>
      </w:r>
      <w:r>
        <w:rPr>
          <w:sz w:val="24"/>
          <w:szCs w:val="24"/>
          <w:lang w:val="ru-RU"/>
        </w:rPr>
        <w:t>6.</w:t>
      </w:r>
      <w:r>
        <w:rPr>
          <w:sz w:val="24"/>
          <w:szCs w:val="24"/>
          <w:lang w:val="bg-BG"/>
        </w:rPr>
        <w:t>7</w:t>
      </w:r>
      <w:r>
        <w:rPr>
          <w:sz w:val="24"/>
          <w:szCs w:val="24"/>
          <w:lang w:val="ru-RU"/>
        </w:rPr>
        <w:t>.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ru-RU"/>
        </w:rPr>
        <w:t>Осигуряване на подходяща информация за висшето ръководство, за целите на провежданите от него прегледи на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ru-RU"/>
        </w:rPr>
        <w:t>системата за управление на безопасността на храните.</w:t>
      </w:r>
    </w:p>
    <w:p>
      <w:pPr>
        <w:pStyle w:val="Normal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Normal"/>
        <w:jc w:val="both"/>
        <w:rPr/>
      </w:pPr>
      <w:r>
        <w:rPr>
          <w:sz w:val="24"/>
          <w:szCs w:val="24"/>
          <w:lang w:val="ru-RU"/>
        </w:rPr>
        <w:tab/>
      </w:r>
      <w:r>
        <w:rPr>
          <w:sz w:val="24"/>
          <w:szCs w:val="24"/>
        </w:rPr>
        <w:t xml:space="preserve">За период от време се анализират резултатите от прилаганите коригиращи действия, отделните отговорници за тях, неизпълнени или просрочени задачи. </w:t>
      </w:r>
      <w:r>
        <w:rPr>
          <w:sz w:val="24"/>
          <w:szCs w:val="24"/>
          <w:lang w:val="ru-RU"/>
        </w:rPr>
        <w:t xml:space="preserve">Информацията се предоставя на </w:t>
      </w:r>
      <w:r>
        <w:rPr>
          <w:sz w:val="24"/>
          <w:szCs w:val="24"/>
          <w:lang w:val="bg-BG"/>
        </w:rPr>
        <w:t>кСУ</w:t>
      </w:r>
      <w:r>
        <w:rPr>
          <w:sz w:val="24"/>
          <w:szCs w:val="24"/>
          <w:lang w:val="ru-RU"/>
        </w:rPr>
        <w:t xml:space="preserve"> в обработен и анализиран вид. </w:t>
      </w:r>
      <w:r>
        <w:rPr>
          <w:sz w:val="24"/>
          <w:szCs w:val="24"/>
        </w:rPr>
        <w:t>На нейна база се дават и предложения за подобрения.</w:t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ind w:firstLine="630" w:end="0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  <w:t>7. ПРИЛОЖЕНИЯ</w:t>
      </w:r>
    </w:p>
    <w:p>
      <w:pPr>
        <w:pStyle w:val="Normal"/>
        <w:ind w:firstLine="810" w:end="0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ОД 05-01 „Дневник за предприемане на коригиращи/ превантивни действия „</w:t>
      </w:r>
    </w:p>
    <w:p>
      <w:pPr>
        <w:pStyle w:val="Normal"/>
        <w:ind w:firstLine="810" w:end="0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ОД 05-02 „Доклад за възникнал проблем”</w:t>
      </w:r>
    </w:p>
    <w:p>
      <w:pPr>
        <w:pStyle w:val="Normal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</w:r>
    </w:p>
    <w:p>
      <w:pPr>
        <w:pStyle w:val="Normal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</w:r>
    </w:p>
    <w:p>
      <w:pPr>
        <w:pStyle w:val="Normal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</w:r>
    </w:p>
    <w:p>
      <w:pPr>
        <w:pStyle w:val="Normal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</w:r>
    </w:p>
    <w:p>
      <w:pPr>
        <w:pStyle w:val="Normal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</w:r>
    </w:p>
    <w:p>
      <w:pPr>
        <w:pStyle w:val="Normal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</w:r>
    </w:p>
    <w:p>
      <w:pPr>
        <w:pStyle w:val="Normal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</w:r>
    </w:p>
    <w:p>
      <w:pPr>
        <w:pStyle w:val="Normal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</w:r>
    </w:p>
    <w:p>
      <w:pPr>
        <w:pStyle w:val="Normal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</w:r>
    </w:p>
    <w:p>
      <w:pPr>
        <w:pStyle w:val="Normal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</w:r>
    </w:p>
    <w:p>
      <w:pPr>
        <w:pStyle w:val="Normal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</w:r>
    </w:p>
    <w:p>
      <w:pPr>
        <w:pStyle w:val="Normal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</w:r>
    </w:p>
    <w:p>
      <w:pPr>
        <w:pStyle w:val="Normal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</w:r>
    </w:p>
    <w:p>
      <w:pPr>
        <w:pStyle w:val="Normal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</w:r>
    </w:p>
    <w:p>
      <w:pPr>
        <w:pStyle w:val="Normal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</w:r>
    </w:p>
    <w:p>
      <w:pPr>
        <w:pStyle w:val="Normal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</w:r>
    </w:p>
    <w:p>
      <w:pPr>
        <w:pStyle w:val="Normal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</w:r>
    </w:p>
    <w:p>
      <w:pPr>
        <w:pStyle w:val="Normal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</w:r>
    </w:p>
    <w:p>
      <w:pPr>
        <w:pStyle w:val="Normal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</w:r>
    </w:p>
    <w:p>
      <w:pPr>
        <w:pStyle w:val="Normal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</w:r>
    </w:p>
    <w:p>
      <w:pPr>
        <w:pStyle w:val="Normal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</w:r>
    </w:p>
    <w:p>
      <w:pPr>
        <w:pStyle w:val="Normal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</w:r>
    </w:p>
    <w:p>
      <w:pPr>
        <w:pStyle w:val="Normal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</w:r>
    </w:p>
    <w:p>
      <w:pPr>
        <w:pStyle w:val="Normal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</w:r>
    </w:p>
    <w:p>
      <w:pPr>
        <w:pStyle w:val="Normal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</w:r>
    </w:p>
    <w:p>
      <w:pPr>
        <w:pStyle w:val="Normal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</w:r>
    </w:p>
    <w:p>
      <w:pPr>
        <w:pStyle w:val="Normal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</w:r>
    </w:p>
    <w:p>
      <w:pPr>
        <w:pStyle w:val="Normal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</w:r>
    </w:p>
    <w:p>
      <w:pPr>
        <w:pStyle w:val="Normal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</w:r>
    </w:p>
    <w:p>
      <w:pPr>
        <w:pStyle w:val="Normal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</w:r>
    </w:p>
    <w:p>
      <w:pPr>
        <w:pStyle w:val="Normal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</w:r>
    </w:p>
    <w:p>
      <w:pPr>
        <w:pStyle w:val="Normal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</w:r>
    </w:p>
    <w:p>
      <w:pPr>
        <w:pStyle w:val="Normal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</w:r>
    </w:p>
    <w:p>
      <w:pPr>
        <w:pStyle w:val="Normal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</w:r>
    </w:p>
    <w:p>
      <w:pPr>
        <w:pStyle w:val="Normal"/>
        <w:rPr>
          <w:b/>
          <w:sz w:val="28"/>
          <w:szCs w:val="24"/>
          <w:lang w:val="bg-BG"/>
        </w:rPr>
      </w:pPr>
      <w:r>
        <w:rPr>
          <w:b/>
          <w:sz w:val="28"/>
          <w:szCs w:val="24"/>
          <w:lang w:val="bg-BG"/>
        </w:rPr>
      </w:r>
    </w:p>
    <w:p>
      <w:pPr>
        <w:pStyle w:val="Normal"/>
        <w:jc w:val="end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  <w:t>ОД 05-01</w:t>
      </w:r>
    </w:p>
    <w:p>
      <w:pPr>
        <w:pStyle w:val="Normal"/>
        <w:jc w:val="center"/>
        <w:rPr>
          <w:b/>
          <w:sz w:val="32"/>
          <w:szCs w:val="32"/>
          <w:lang w:val="bg-BG"/>
        </w:rPr>
      </w:pPr>
      <w:r>
        <w:rPr>
          <w:b/>
          <w:sz w:val="32"/>
          <w:szCs w:val="32"/>
          <w:lang w:val="bg-BG"/>
        </w:rPr>
      </w:r>
    </w:p>
    <w:p>
      <w:pPr>
        <w:pStyle w:val="Normal"/>
        <w:jc w:val="center"/>
        <w:rPr>
          <w:b/>
          <w:sz w:val="28"/>
          <w:szCs w:val="28"/>
          <w:lang w:val="bg-BG"/>
        </w:rPr>
      </w:pPr>
      <w:r>
        <w:rPr>
          <w:b/>
          <w:sz w:val="28"/>
          <w:szCs w:val="28"/>
          <w:lang w:val="bg-BG"/>
        </w:rPr>
        <w:t xml:space="preserve">Дневник за предприемане на коригиращи/ превантивни действия  </w:t>
      </w:r>
    </w:p>
    <w:p>
      <w:pPr>
        <w:pStyle w:val="Normal"/>
        <w:jc w:val="center"/>
        <w:rPr>
          <w:b/>
          <w:szCs w:val="24"/>
          <w:lang w:val="bg-BG"/>
        </w:rPr>
      </w:pPr>
      <w:r>
        <w:rPr>
          <w:b/>
          <w:szCs w:val="24"/>
          <w:lang w:val="bg-BG"/>
        </w:rPr>
        <w:t xml:space="preserve"> </w:t>
      </w:r>
    </w:p>
    <w:tbl>
      <w:tblPr>
        <w:tblW w:w="983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9"/>
        <w:gridCol w:w="1205"/>
        <w:gridCol w:w="2340"/>
        <w:gridCol w:w="1506"/>
        <w:gridCol w:w="1374"/>
        <w:gridCol w:w="1260"/>
        <w:gridCol w:w="1440"/>
      </w:tblGrid>
      <w:tr>
        <w:trPr/>
        <w:tc>
          <w:tcPr>
            <w:tcW w:w="709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  <w:lang w:val="bg-BG"/>
              </w:rPr>
            </w:pPr>
            <w:r>
              <w:rPr>
                <w:rFonts w:cs="Arial" w:ascii="Arial" w:hAnsi="Arial"/>
                <w:sz w:val="18"/>
                <w:szCs w:val="18"/>
                <w:lang w:val="bg-BG"/>
              </w:rPr>
              <w:t>№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  <w:lang w:val="bg-BG"/>
              </w:rPr>
            </w:pPr>
            <w:r>
              <w:rPr>
                <w:rFonts w:cs="Arial" w:ascii="Arial" w:hAnsi="Arial"/>
                <w:sz w:val="18"/>
                <w:szCs w:val="18"/>
                <w:lang w:val="bg-BG"/>
              </w:rPr>
              <w:t>по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  <w:lang w:val="bg-BG"/>
              </w:rPr>
            </w:pPr>
            <w:r>
              <w:rPr>
                <w:rFonts w:cs="Arial" w:ascii="Arial" w:hAnsi="Arial"/>
                <w:sz w:val="18"/>
                <w:szCs w:val="18"/>
                <w:lang w:val="bg-BG"/>
              </w:rPr>
              <w:t>ред</w:t>
            </w:r>
          </w:p>
        </w:tc>
        <w:tc>
          <w:tcPr>
            <w:tcW w:w="1205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  <w:lang w:val="bg-BG"/>
              </w:rPr>
            </w:pPr>
            <w:r>
              <w:rPr>
                <w:rFonts w:cs="Arial" w:ascii="Arial" w:hAnsi="Arial"/>
                <w:sz w:val="18"/>
                <w:szCs w:val="18"/>
                <w:lang w:val="bg-BG"/>
              </w:rPr>
              <w:t xml:space="preserve">№ </w:t>
            </w:r>
            <w:r>
              <w:rPr>
                <w:rFonts w:cs="Arial" w:ascii="Arial" w:hAnsi="Arial"/>
                <w:sz w:val="18"/>
                <w:szCs w:val="18"/>
                <w:lang w:val="bg-BG"/>
              </w:rPr>
              <w:t>на Предложението за КД / ПД</w:t>
            </w:r>
          </w:p>
        </w:tc>
        <w:tc>
          <w:tcPr>
            <w:tcW w:w="234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  <w:lang w:val="bg-BG"/>
              </w:rPr>
            </w:pPr>
            <w:r>
              <w:rPr>
                <w:rFonts w:cs="Arial" w:ascii="Arial" w:hAnsi="Arial"/>
                <w:sz w:val="18"/>
                <w:szCs w:val="18"/>
                <w:lang w:val="bg-BG"/>
              </w:rPr>
              <w:t>КРАТКО ОПИСАНИЕ</w:t>
            </w:r>
          </w:p>
        </w:tc>
        <w:tc>
          <w:tcPr>
            <w:tcW w:w="1506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  <w:lang w:val="bg-BG"/>
              </w:rPr>
            </w:pPr>
            <w:r>
              <w:rPr>
                <w:rFonts w:cs="Arial" w:ascii="Arial" w:hAnsi="Arial"/>
                <w:sz w:val="18"/>
                <w:szCs w:val="18"/>
                <w:lang w:val="bg-BG"/>
              </w:rPr>
              <w:t>ИЗПЪЛНИТЕЛ</w:t>
            </w:r>
          </w:p>
        </w:tc>
        <w:tc>
          <w:tcPr>
            <w:tcW w:w="1374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  <w:lang w:val="bg-BG"/>
              </w:rPr>
            </w:pPr>
            <w:r>
              <w:rPr>
                <w:rFonts w:cs="Arial" w:ascii="Arial" w:hAnsi="Arial"/>
                <w:sz w:val="18"/>
                <w:szCs w:val="18"/>
                <w:lang w:val="bg-BG"/>
              </w:rPr>
              <w:t>СРОК ЗА ИЗПЪЛНЕНИЕ</w:t>
            </w:r>
          </w:p>
        </w:tc>
        <w:tc>
          <w:tcPr>
            <w:tcW w:w="126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  <w:lang w:val="bg-BG"/>
              </w:rPr>
            </w:pPr>
            <w:r>
              <w:rPr>
                <w:rFonts w:cs="Arial" w:ascii="Arial" w:hAnsi="Arial"/>
                <w:sz w:val="18"/>
                <w:szCs w:val="18"/>
                <w:lang w:val="bg-BG"/>
              </w:rPr>
              <w:t>ПРОВЕРКА НА ИЗПЪЛНЕНИЕТО</w:t>
            </w:r>
          </w:p>
        </w:tc>
        <w:tc>
          <w:tcPr>
            <w:tcW w:w="144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  <w:lang w:val="bg-BG"/>
              </w:rPr>
            </w:pPr>
            <w:r>
              <w:rPr>
                <w:rFonts w:cs="Arial" w:ascii="Arial" w:hAnsi="Arial"/>
                <w:sz w:val="18"/>
                <w:szCs w:val="18"/>
                <w:lang w:val="bg-BG"/>
              </w:rPr>
              <w:t>ОЦЕНКА НА ЕФЕКТИВНОСТТА</w:t>
            </w:r>
          </w:p>
        </w:tc>
      </w:tr>
      <w:tr>
        <w:trPr>
          <w:trHeight w:val="422" w:hRule="atLeast"/>
        </w:trPr>
        <w:tc>
          <w:tcPr>
            <w:tcW w:w="709" w:type="dxa"/>
            <w:tcBorders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sz w:val="18"/>
                <w:szCs w:val="18"/>
                <w:lang w:val="bg-BG"/>
              </w:rPr>
            </w:pPr>
            <w:r>
              <w:rPr>
                <w:rFonts w:cs="Arial" w:ascii="Arial" w:hAnsi="Arial"/>
                <w:sz w:val="18"/>
                <w:szCs w:val="18"/>
                <w:lang w:val="bg-BG"/>
              </w:rPr>
            </w:r>
          </w:p>
        </w:tc>
        <w:tc>
          <w:tcPr>
            <w:tcW w:w="120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234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  <w:p>
            <w:pPr>
              <w:pStyle w:val="Normal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50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37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26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440" w:type="dxa"/>
            <w:tcBorders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</w:tr>
      <w:tr>
        <w:trPr>
          <w:trHeight w:val="397" w:hRule="atLeast"/>
        </w:trPr>
        <w:tc>
          <w:tcPr>
            <w:tcW w:w="709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2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  <w:p>
            <w:pPr>
              <w:pStyle w:val="Normal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3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</w:tr>
      <w:tr>
        <w:trPr>
          <w:trHeight w:val="402" w:hRule="atLeast"/>
        </w:trPr>
        <w:tc>
          <w:tcPr>
            <w:tcW w:w="709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2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  <w:p>
            <w:pPr>
              <w:pStyle w:val="Normal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3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</w:tr>
      <w:tr>
        <w:trPr>
          <w:trHeight w:val="407" w:hRule="atLeast"/>
        </w:trPr>
        <w:tc>
          <w:tcPr>
            <w:tcW w:w="709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2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  <w:p>
            <w:pPr>
              <w:pStyle w:val="Normal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3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</w:tr>
      <w:tr>
        <w:trPr>
          <w:trHeight w:val="413" w:hRule="atLeast"/>
        </w:trPr>
        <w:tc>
          <w:tcPr>
            <w:tcW w:w="709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2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  <w:p>
            <w:pPr>
              <w:pStyle w:val="Normal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3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</w:tr>
      <w:tr>
        <w:trPr>
          <w:trHeight w:val="399" w:hRule="atLeast"/>
        </w:trPr>
        <w:tc>
          <w:tcPr>
            <w:tcW w:w="709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2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  <w:p>
            <w:pPr>
              <w:pStyle w:val="Normal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3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</w:tr>
      <w:tr>
        <w:trPr>
          <w:trHeight w:val="404" w:hRule="atLeast"/>
        </w:trPr>
        <w:tc>
          <w:tcPr>
            <w:tcW w:w="709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205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  <w:p>
            <w:pPr>
              <w:pStyle w:val="Normal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506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374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</w:tr>
    </w:tbl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jc w:val="both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Normal"/>
        <w:jc w:val="both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Normal"/>
        <w:jc w:val="both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Normal"/>
        <w:jc w:val="both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Normal"/>
        <w:jc w:val="both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Normal"/>
        <w:jc w:val="both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Normal"/>
        <w:jc w:val="both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Normal"/>
        <w:jc w:val="both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Normal"/>
        <w:jc w:val="both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Normal"/>
        <w:jc w:val="both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Normal"/>
        <w:jc w:val="both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Normal"/>
        <w:jc w:val="both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Normal"/>
        <w:jc w:val="both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Normal"/>
        <w:jc w:val="both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Normal"/>
        <w:jc w:val="both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Normal"/>
        <w:jc w:val="both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Normal"/>
        <w:jc w:val="both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Normal"/>
        <w:jc w:val="both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Normal"/>
        <w:jc w:val="both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Normal"/>
        <w:jc w:val="both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Normal"/>
        <w:jc w:val="both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Normal"/>
        <w:jc w:val="both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Normal"/>
        <w:jc w:val="both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Normal"/>
        <w:jc w:val="both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Normal"/>
        <w:jc w:val="both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Normal"/>
        <w:jc w:val="both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Normal"/>
        <w:jc w:val="end"/>
        <w:rPr/>
      </w:pPr>
      <w:r>
        <w:rPr>
          <w:b/>
          <w:sz w:val="24"/>
          <w:szCs w:val="24"/>
          <w:lang w:val="bg-BG"/>
        </w:rPr>
        <w:t>ОД 05-02</w:t>
      </w:r>
    </w:p>
    <w:p>
      <w:pPr>
        <w:pStyle w:val="Normal"/>
        <w:jc w:val="center"/>
        <w:rPr>
          <w:b/>
          <w:sz w:val="32"/>
          <w:szCs w:val="32"/>
          <w:lang w:val="bg-BG"/>
        </w:rPr>
      </w:pPr>
      <w:r>
        <w:rPr>
          <w:b/>
          <w:sz w:val="32"/>
          <w:szCs w:val="32"/>
          <w:lang w:val="bg-BG"/>
        </w:rPr>
      </w:r>
    </w:p>
    <w:p>
      <w:pPr>
        <w:pStyle w:val="Normal"/>
        <w:jc w:val="center"/>
        <w:rPr/>
      </w:pPr>
      <w:r>
        <w:rPr/>
        <w:t>ДОКЛАД ЗА ВЪЗНИКНАЛ ПРОБЛЕМ</w:t>
      </w:r>
    </w:p>
    <w:tbl>
      <w:tblPr>
        <w:tblW w:w="947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48"/>
        <w:gridCol w:w="3192"/>
        <w:gridCol w:w="3132"/>
        <w:gridCol w:w="4"/>
      </w:tblGrid>
      <w:tr>
        <w:trPr/>
        <w:tc>
          <w:tcPr>
            <w:tcW w:w="947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b/>
                <w:bCs/>
                <w:lang w:val="bg-BG"/>
              </w:rPr>
            </w:pPr>
            <w:r>
              <w:rPr>
                <w:b/>
                <w:bCs/>
                <w:lang w:val="bg-BG"/>
              </w:rPr>
              <w:t>Описание:</w:t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  <w:t>Вид на отклонението:</w:t>
            </w:r>
          </w:p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/>
        <w:tc>
          <w:tcPr>
            <w:tcW w:w="3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lang w:val="bg-BG"/>
              </w:rPr>
            </w:pPr>
            <w:r>
              <w:rPr>
                <w:lang w:val="bg-BG"/>
              </w:rPr>
              <w:t>Констатирал:</w:t>
            </w:r>
          </w:p>
          <w:p>
            <w:pPr>
              <w:pStyle w:val="Normal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1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jc w:val="both"/>
              <w:rPr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  <w:lang w:val="bg-BG"/>
              </w:rPr>
            </w:r>
          </w:p>
          <w:p>
            <w:pPr>
              <w:pStyle w:val="Normal"/>
              <w:jc w:val="both"/>
              <w:rPr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  <w:lang w:val="bg-BG"/>
              </w:rPr>
              <w:t>Име, фамилия</w:t>
            </w:r>
          </w:p>
        </w:tc>
        <w:tc>
          <w:tcPr>
            <w:tcW w:w="3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  <w:lang w:val="bg-BG"/>
              </w:rPr>
            </w:r>
          </w:p>
          <w:p>
            <w:pPr>
              <w:pStyle w:val="Normal"/>
              <w:jc w:val="both"/>
              <w:rPr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  <w:lang w:val="bg-BG"/>
              </w:rPr>
            </w:r>
          </w:p>
          <w:p>
            <w:pPr>
              <w:pStyle w:val="Normal"/>
              <w:jc w:val="both"/>
              <w:rPr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  <w:lang w:val="bg-BG"/>
              </w:rPr>
              <w:t>Подпис</w:t>
            </w:r>
          </w:p>
        </w:tc>
      </w:tr>
      <w:tr>
        <w:trPr/>
        <w:tc>
          <w:tcPr>
            <w:tcW w:w="3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lang w:val="bg-BG"/>
              </w:rPr>
            </w:pPr>
            <w:r>
              <w:rPr>
                <w:lang w:val="bg-BG"/>
              </w:rPr>
              <w:t>Ръководител:</w:t>
            </w:r>
          </w:p>
          <w:p>
            <w:pPr>
              <w:pStyle w:val="Normal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1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  <w:lang w:val="bg-BG"/>
              </w:rPr>
            </w:r>
          </w:p>
          <w:p>
            <w:pPr>
              <w:pStyle w:val="Normal"/>
              <w:jc w:val="both"/>
              <w:rPr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  <w:lang w:val="bg-BG"/>
              </w:rPr>
            </w:r>
          </w:p>
          <w:p>
            <w:pPr>
              <w:pStyle w:val="Normal"/>
              <w:jc w:val="both"/>
              <w:rPr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  <w:lang w:val="bg-BG"/>
              </w:rPr>
              <w:t>Име, фамилия</w:t>
            </w:r>
          </w:p>
        </w:tc>
        <w:tc>
          <w:tcPr>
            <w:tcW w:w="3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  <w:lang w:val="bg-BG"/>
              </w:rPr>
            </w:r>
          </w:p>
          <w:p>
            <w:pPr>
              <w:pStyle w:val="Normal"/>
              <w:jc w:val="both"/>
              <w:rPr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  <w:lang w:val="bg-BG"/>
              </w:rPr>
            </w:r>
          </w:p>
          <w:p>
            <w:pPr>
              <w:pStyle w:val="Normal"/>
              <w:jc w:val="both"/>
              <w:rPr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  <w:lang w:val="bg-BG"/>
              </w:rPr>
              <w:t>Подпис</w:t>
            </w:r>
          </w:p>
        </w:tc>
      </w:tr>
    </w:tbl>
    <w:p>
      <w:pPr>
        <w:pStyle w:val="Normal"/>
        <w:jc w:val="both"/>
        <w:rPr/>
      </w:pPr>
      <w:r>
        <w:rPr>
          <w:lang w:val="bg-BG"/>
        </w:rPr>
        <w:t xml:space="preserve">        </w:t>
      </w:r>
      <w:r>
        <w:rPr/>
        <w:t>Решение:</w:t>
      </w:r>
    </w:p>
    <w:tbl>
      <w:tblPr>
        <w:tblW w:w="953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65"/>
        <w:gridCol w:w="6328"/>
        <w:gridCol w:w="31"/>
        <w:gridCol w:w="11"/>
      </w:tblGrid>
      <w:tr>
        <w:trPr/>
        <w:tc>
          <w:tcPr>
            <w:tcW w:w="31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rFonts w:eastAsia="Wingdings 2" w:cs="Wingdings 2" w:ascii="Wingdings 2" w:hAnsi="Wingdings 2"/>
                <w:lang w:val="bg-BG"/>
              </w:rPr>
              <w:sym w:font="Wingdings 2" w:char="f0a3"/>
            </w:r>
            <w:r>
              <w:rPr>
                <w:lang w:val="bg-BG"/>
              </w:rPr>
              <w:t xml:space="preserve">  </w:t>
            </w:r>
            <w:r>
              <w:rPr>
                <w:lang w:val="bg-BG"/>
              </w:rPr>
              <w:t>Доремонтиране</w:t>
            </w:r>
          </w:p>
          <w:p>
            <w:pPr>
              <w:pStyle w:val="Normal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jc w:val="both"/>
              <w:rPr/>
            </w:pPr>
            <w:r>
              <w:rPr>
                <w:rFonts w:eastAsia="Wingdings 2" w:cs="Wingdings 2" w:ascii="Wingdings 2" w:hAnsi="Wingdings 2"/>
                <w:lang w:val="bg-BG"/>
              </w:rPr>
              <w:sym w:font="Wingdings 2" w:char="f0a3"/>
            </w:r>
            <w:r>
              <w:rPr>
                <w:lang w:val="bg-BG"/>
              </w:rPr>
              <w:t xml:space="preserve">  </w:t>
            </w:r>
            <w:r>
              <w:rPr>
                <w:lang w:val="bg-BG"/>
              </w:rPr>
              <w:t>Бракуване</w:t>
            </w:r>
          </w:p>
          <w:p>
            <w:pPr>
              <w:pStyle w:val="Normal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jc w:val="both"/>
              <w:rPr/>
            </w:pPr>
            <w:r>
              <w:rPr>
                <w:rFonts w:eastAsia="Wingdings 2" w:cs="Wingdings 2" w:ascii="Wingdings 2" w:hAnsi="Wingdings 2"/>
                <w:lang w:val="bg-BG"/>
              </w:rPr>
              <w:sym w:font="Wingdings 2" w:char="f0a3"/>
            </w:r>
            <w:r>
              <w:rPr>
                <w:lang w:val="bg-BG"/>
              </w:rPr>
              <w:t xml:space="preserve">  </w:t>
            </w:r>
            <w:r>
              <w:rPr>
                <w:lang w:val="bg-BG"/>
              </w:rPr>
              <w:t>Връщане</w:t>
            </w:r>
          </w:p>
          <w:p>
            <w:pPr>
              <w:pStyle w:val="Normal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jc w:val="both"/>
              <w:rPr/>
            </w:pPr>
            <w:r>
              <w:rPr>
                <w:rFonts w:eastAsia="Wingdings 2" w:cs="Wingdings 2" w:ascii="Wingdings 2" w:hAnsi="Wingdings 2"/>
                <w:lang w:val="bg-BG"/>
              </w:rPr>
              <w:sym w:font="Wingdings 2" w:char="f0a3"/>
            </w:r>
            <w:r>
              <w:rPr>
                <w:lang w:val="bg-BG"/>
              </w:rPr>
              <w:t xml:space="preserve">  </w:t>
            </w:r>
            <w:r>
              <w:rPr>
                <w:lang w:val="bg-BG"/>
              </w:rPr>
              <w:t>Разрешение</w:t>
            </w:r>
          </w:p>
        </w:tc>
        <w:tc>
          <w:tcPr>
            <w:tcW w:w="63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lang w:val="bg-BG"/>
              </w:rPr>
            </w:pPr>
            <w:r>
              <w:rPr>
                <w:lang w:val="bg-BG"/>
              </w:rPr>
              <w:t>Друго:</w:t>
            </w:r>
          </w:p>
          <w:p>
            <w:pPr>
              <w:pStyle w:val="Normal"/>
              <w:jc w:val="both"/>
              <w:rPr>
                <w:lang w:val="bg-BG"/>
              </w:rPr>
            </w:pPr>
            <w:r>
              <w:rPr>
                <w:lang w:val="bg-BG"/>
              </w:rPr>
              <w:t>Обосновка на решението</w:t>
            </w:r>
          </w:p>
          <w:p>
            <w:pPr>
              <w:pStyle w:val="Normal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/>
        <w:tc>
          <w:tcPr>
            <w:tcW w:w="95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lang w:val="bg-BG"/>
              </w:rPr>
            </w:pPr>
            <w:r>
              <w:rPr>
                <w:lang w:val="bg-BG"/>
              </w:rPr>
              <w:t>Съгласувано с:</w:t>
            </w:r>
          </w:p>
        </w:tc>
      </w:tr>
      <w:tr>
        <w:trPr/>
        <w:tc>
          <w:tcPr>
            <w:tcW w:w="95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u w:val="single"/>
                <w:lang w:val="bg-BG"/>
              </w:rPr>
            </w:pPr>
            <w:r>
              <w:rPr>
                <w:lang w:val="bg-BG"/>
              </w:rPr>
              <w:t xml:space="preserve">За сметка на: </w:t>
            </w:r>
            <w:r>
              <w:rPr>
                <w:rFonts w:eastAsia="Wingdings 2" w:cs="Wingdings 2" w:ascii="Wingdings 2" w:hAnsi="Wingdings 2"/>
                <w:lang w:val="bg-BG"/>
              </w:rPr>
              <w:sym w:font="Wingdings 2" w:char="f0a3"/>
            </w:r>
            <w:r>
              <w:rPr>
                <w:lang w:val="bg-BG"/>
              </w:rPr>
              <w:t xml:space="preserve">            </w:t>
            </w:r>
            <w:r>
              <w:rPr>
                <w:rFonts w:eastAsia="Wingdings 2" w:cs="Wingdings 2" w:ascii="Wingdings 2" w:hAnsi="Wingdings 2"/>
                <w:lang w:val="bg-BG"/>
              </w:rPr>
              <w:sym w:font="Wingdings 2" w:char="f0a3"/>
            </w:r>
            <w:r>
              <w:rPr>
                <w:lang w:val="bg-BG"/>
              </w:rPr>
              <w:t xml:space="preserve"> Доставчик                  </w:t>
            </w:r>
            <w:r>
              <w:rPr>
                <w:rFonts w:eastAsia="Wingdings 2" w:cs="Wingdings 2" w:ascii="Wingdings 2" w:hAnsi="Wingdings 2"/>
                <w:lang w:val="bg-BG"/>
              </w:rPr>
              <w:sym w:font="Wingdings 2" w:char="f0a3"/>
            </w:r>
            <w:r>
              <w:rPr>
                <w:lang w:val="bg-BG"/>
              </w:rPr>
              <w:t xml:space="preserve">   Клиент</w:t>
            </w:r>
          </w:p>
        </w:tc>
      </w:tr>
      <w:tr>
        <w:trPr>
          <w:trHeight w:val="488" w:hRule="atLeast"/>
        </w:trPr>
        <w:tc>
          <w:tcPr>
            <w:tcW w:w="949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lang w:val="bg-BG"/>
              </w:rPr>
            </w:pPr>
            <w:r>
              <w:rPr>
                <w:lang w:val="bg-BG"/>
              </w:rPr>
              <w:t>Грешката повтаря ли се ?</w:t>
            </w:r>
          </w:p>
          <w:p>
            <w:pPr>
              <w:pStyle w:val="Normal"/>
              <w:jc w:val="both"/>
              <w:rPr/>
            </w:pPr>
            <w:r>
              <w:rPr>
                <w:rFonts w:eastAsia="Wingdings 2" w:cs="Wingdings 2" w:ascii="Wingdings 2" w:hAnsi="Wingdings 2"/>
                <w:lang w:val="bg-BG"/>
              </w:rPr>
              <w:sym w:font="Wingdings 2" w:char="f0a3"/>
            </w:r>
            <w:r>
              <w:rPr>
                <w:lang w:val="bg-BG"/>
              </w:rPr>
              <w:t xml:space="preserve">  </w:t>
            </w:r>
            <w:r>
              <w:rPr>
                <w:lang w:val="bg-BG"/>
              </w:rPr>
              <w:t xml:space="preserve">Да,   </w:t>
            </w:r>
            <w:r>
              <w:rPr>
                <w:rFonts w:eastAsia="Wingdings 2" w:cs="Wingdings 2" w:ascii="Wingdings 2" w:hAnsi="Wingdings 2"/>
                <w:lang w:val="bg-BG"/>
              </w:rPr>
              <w:sym w:font="Wingdings 2" w:char="f0a3"/>
            </w:r>
            <w:r>
              <w:rPr>
                <w:lang w:val="bg-BG"/>
              </w:rPr>
              <w:t xml:space="preserve">  Не</w:t>
            </w:r>
          </w:p>
        </w:tc>
        <w:tc>
          <w:tcPr>
            <w:tcW w:w="42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trHeight w:val="1199" w:hRule="atLeast"/>
        </w:trPr>
        <w:tc>
          <w:tcPr>
            <w:tcW w:w="949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lang w:val="bg-BG"/>
              </w:rPr>
            </w:pPr>
            <w:r>
              <w:rPr>
                <w:lang w:val="bg-BG"/>
              </w:rPr>
              <w:t>Определено коригиращо/превантивно действие:</w:t>
            </w:r>
          </w:p>
          <w:p>
            <w:pPr>
              <w:pStyle w:val="Normal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trHeight w:val="725" w:hRule="atLeast"/>
        </w:trPr>
        <w:tc>
          <w:tcPr>
            <w:tcW w:w="949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jc w:val="both"/>
              <w:rPr>
                <w:lang w:val="bg-BG"/>
              </w:rPr>
            </w:pPr>
            <w:r>
              <w:rPr>
                <w:lang w:val="bg-BG"/>
              </w:rPr>
              <w:t>Ръководител:</w:t>
            </w:r>
          </w:p>
          <w:p>
            <w:pPr>
              <w:pStyle w:val="Normal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trHeight w:val="738" w:hRule="atLeast"/>
        </w:trPr>
        <w:tc>
          <w:tcPr>
            <w:tcW w:w="949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lang w:val="bg-BG"/>
              </w:rPr>
            </w:pPr>
            <w:r>
              <w:rPr>
                <w:lang w:val="bg-BG"/>
              </w:rPr>
              <w:t>Дата:</w:t>
            </w:r>
          </w:p>
          <w:p>
            <w:pPr>
              <w:pStyle w:val="Normal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</w:tbl>
    <w:p>
      <w:pPr>
        <w:pStyle w:val="Normal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008" w:right="864" w:gutter="0" w:header="562" w:top="1872" w:footer="708" w:bottom="1152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Monotype Sorts">
    <w:altName w:val="Symbol"/>
    <w:charset w:val="02"/>
    <w:family w:val="auto"/>
    <w:pitch w:val="variable"/>
  </w:font>
  <w:font w:name="Wingdings">
    <w:charset w:val="02"/>
    <w:family w:val="auto"/>
    <w:pitch w:val="variable"/>
  </w:font>
  <w:font w:name="Courier New">
    <w:charset w:val="cc" w:characterSet="windows-1251"/>
    <w:family w:val="modern"/>
    <w:pitch w:val="default"/>
  </w:font>
  <w:font w:name="Liberation Sans">
    <w:altName w:val="Arial"/>
    <w:charset w:val="cc" w:characterSet="windows-1251"/>
    <w:family w:val="swiss"/>
    <w:pitch w:val="variable"/>
  </w:font>
  <w:font w:name="Timok">
    <w:charset w:val="02"/>
    <w:family w:val="auto"/>
    <w:pitch w:val="variable"/>
  </w:font>
  <w:font w:name="Wingdings 2">
    <w:charset w:val="02"/>
    <w:family w:val="roman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thickThinMediumGap" w:sz="12" w:space="1" w:color="000000"/>
      </w:pBdr>
      <w:rPr/>
    </w:pPr>
    <w:r>
      <w:rPr>
        <w:rStyle w:val="PageNumber"/>
        <w:b/>
        <w:bCs/>
        <w:sz w:val="24"/>
        <w:szCs w:val="24"/>
        <w:lang w:val="bg-BG"/>
      </w:rPr>
      <w:t xml:space="preserve"> </w:t>
    </w:r>
    <w:r>
      <w:rPr>
        <w:rStyle w:val="PageNumber"/>
        <w:b/>
        <w:bCs/>
        <w:sz w:val="24"/>
        <w:szCs w:val="24"/>
        <w:lang w:val="bg-BG"/>
      </w:rPr>
      <w:tab/>
      <w:tab/>
      <w:tab/>
      <w:tab/>
      <w:tab/>
      <w:tab/>
      <w:tab/>
      <w:tab/>
    </w:r>
    <w:r>
      <w:rPr>
        <w:rStyle w:val="PageNumber"/>
        <w:b/>
        <w:bCs/>
        <w:sz w:val="24"/>
        <w:szCs w:val="24"/>
        <w:lang w:val="en-US"/>
      </w:rPr>
      <w:t xml:space="preserve">ISO 9001:2015 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080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970"/>
      <w:gridCol w:w="4410"/>
      <w:gridCol w:w="1409"/>
      <w:gridCol w:w="1291"/>
    </w:tblGrid>
    <w:tr>
      <w:trPr>
        <w:trHeight w:val="1035" w:hRule="atLeast"/>
        <w:cantSplit/>
      </w:trPr>
      <w:tc>
        <w:tcPr>
          <w:tcW w:w="2970" w:type="dxa"/>
          <w:tcBorders>
            <w:top w:val="thinThickLargeGap" w:sz="24" w:space="0" w:color="000000"/>
            <w:start w:val="thinThickLargeGap" w:sz="24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tabs>
              <w:tab w:val="clear" w:pos="4153"/>
              <w:tab w:val="clear" w:pos="8306"/>
            </w:tabs>
            <w:snapToGrid w:val="false"/>
            <w:rPr>
              <w:sz w:val="18"/>
              <w:lang w:val="bg-BG"/>
            </w:rPr>
          </w:pPr>
          <w:r>
            <w:rPr>
              <w:sz w:val="18"/>
              <w:lang w:val="bg-BG"/>
            </w:rPr>
          </w:r>
        </w:p>
        <w:p>
          <w:pPr>
            <w:pStyle w:val="Heading5"/>
            <w:spacing w:before="120" w:after="120"/>
            <w:ind w:hanging="0" w:start="0"/>
            <w:jc w:val="center"/>
            <w:rPr>
              <w:b/>
              <w:lang w:val="bg-BG"/>
            </w:rPr>
          </w:pPr>
          <w:r>
            <w:rPr>
              <w:b/>
              <w:sz w:val="22"/>
              <w:szCs w:val="22"/>
              <w:lang w:val="ru-RU"/>
            </w:rPr>
            <w:t>"Артпласт" ЕООД</w:t>
          </w:r>
        </w:p>
      </w:tc>
      <w:tc>
        <w:tcPr>
          <w:tcW w:w="4410" w:type="dxa"/>
          <w:vMerge w:val="restart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rPr>
              <w:sz w:val="18"/>
              <w:lang w:val="bg-BG"/>
            </w:rPr>
          </w:pPr>
          <w:r>
            <w:rPr>
              <w:sz w:val="18"/>
              <w:lang w:val="bg-BG"/>
            </w:rPr>
            <w:t>Вид на документа:</w:t>
          </w:r>
        </w:p>
        <w:p>
          <w:pPr>
            <w:pStyle w:val="Normal"/>
            <w:rPr>
              <w:sz w:val="18"/>
              <w:lang w:val="bg-BG"/>
            </w:rPr>
          </w:pPr>
          <w:r>
            <w:rPr>
              <w:sz w:val="18"/>
              <w:lang w:val="bg-BG"/>
            </w:rPr>
          </w:r>
        </w:p>
        <w:p>
          <w:pPr>
            <w:pStyle w:val="Heading2"/>
            <w:ind w:hanging="0" w:start="0"/>
            <w:rPr>
              <w:lang w:val="ru-RU"/>
            </w:rPr>
          </w:pPr>
          <w:r>
            <w:rPr>
              <w:lang w:val="bg-BG"/>
            </w:rPr>
            <w:t xml:space="preserve">Процедура </w:t>
          </w:r>
        </w:p>
        <w:p>
          <w:pPr>
            <w:pStyle w:val="Heading2"/>
            <w:ind w:hanging="0" w:start="0"/>
            <w:rPr>
              <w:lang w:val="bg-BG"/>
            </w:rPr>
          </w:pPr>
          <w:r>
            <w:rPr>
              <w:lang w:val="bg-BG"/>
            </w:rPr>
            <w:t xml:space="preserve"> </w:t>
          </w:r>
        </w:p>
        <w:p>
          <w:pPr>
            <w:pStyle w:val="Normal"/>
            <w:jc w:val="center"/>
            <w:rPr>
              <w:i/>
              <w:sz w:val="24"/>
              <w:szCs w:val="24"/>
              <w:lang w:val="ru-RU"/>
            </w:rPr>
          </w:pPr>
          <w:r>
            <w:rPr>
              <w:i/>
              <w:sz w:val="24"/>
              <w:szCs w:val="24"/>
              <w:lang w:val="en-US"/>
            </w:rPr>
            <w:t xml:space="preserve">ISO 9001:2015 </w:t>
          </w:r>
        </w:p>
      </w:tc>
      <w:tc>
        <w:tcPr>
          <w:tcW w:w="2700" w:type="dxa"/>
          <w:gridSpan w:val="2"/>
          <w:vMerge w:val="restart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thickThinLargeGap" w:sz="24" w:space="0" w:color="000000"/>
          </w:tcBorders>
          <w:vAlign w:val="center"/>
        </w:tcPr>
        <w:p>
          <w:pPr>
            <w:pStyle w:val="BodyText"/>
            <w:spacing w:before="40" w:after="40"/>
            <w:jc w:val="center"/>
            <w:rPr/>
          </w:pPr>
          <w:r>
            <w:rPr>
              <w:b/>
              <w:szCs w:val="24"/>
              <w:lang w:val="bg-BG"/>
            </w:rPr>
            <w:t>ПР 05</w:t>
          </w:r>
        </w:p>
      </w:tc>
    </w:tr>
    <w:tr>
      <w:trPr>
        <w:trHeight w:val="582" w:hRule="atLeast"/>
        <w:cantSplit/>
      </w:trPr>
      <w:tc>
        <w:tcPr>
          <w:tcW w:w="2970" w:type="dxa"/>
          <w:tcBorders>
            <w:top w:val="single" w:sz="6" w:space="0" w:color="000000"/>
            <w:start w:val="thinThickLargeGap" w:sz="24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rPr>
              <w:lang w:val="bg-BG"/>
            </w:rPr>
          </w:pPr>
          <w:r>
            <w:rPr>
              <w:lang w:val="bg-BG"/>
            </w:rPr>
            <w:t>Издадена на дата:</w:t>
          </w:r>
        </w:p>
        <w:p>
          <w:pPr>
            <w:pStyle w:val="Normal"/>
            <w:jc w:val="center"/>
            <w:rPr>
              <w:b/>
              <w:sz w:val="24"/>
              <w:szCs w:val="24"/>
              <w:lang w:val="bg-BG"/>
            </w:rPr>
          </w:pPr>
          <w:r>
            <w:rPr>
              <w:b/>
              <w:sz w:val="24"/>
              <w:szCs w:val="24"/>
              <w:lang w:val="bg-BG"/>
            </w:rPr>
            <w:t>11.05.2020г.</w:t>
          </w:r>
        </w:p>
      </w:tc>
      <w:tc>
        <w:tcPr>
          <w:tcW w:w="4410" w:type="dxa"/>
          <w:vMerge w:val="continue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snapToGrid w:val="false"/>
            <w:rPr>
              <w:b/>
              <w:sz w:val="24"/>
              <w:szCs w:val="24"/>
              <w:lang w:val="bg-BG"/>
            </w:rPr>
          </w:pPr>
          <w:r>
            <w:rPr>
              <w:b/>
              <w:sz w:val="24"/>
              <w:szCs w:val="24"/>
              <w:lang w:val="bg-BG"/>
            </w:rPr>
          </w:r>
        </w:p>
      </w:tc>
      <w:tc>
        <w:tcPr>
          <w:tcW w:w="2700" w:type="dxa"/>
          <w:gridSpan w:val="2"/>
          <w:vMerge w:val="continue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thickThinLargeGap" w:sz="24" w:space="0" w:color="000000"/>
          </w:tcBorders>
          <w:vAlign w:val="center"/>
        </w:tcPr>
        <w:p>
          <w:pPr>
            <w:pStyle w:val="Normal"/>
            <w:snapToGrid w:val="false"/>
            <w:rPr>
              <w:lang w:val="bg-BG"/>
            </w:rPr>
          </w:pPr>
          <w:r>
            <w:rPr>
              <w:lang w:val="bg-BG"/>
            </w:rPr>
          </w:r>
        </w:p>
      </w:tc>
    </w:tr>
    <w:tr>
      <w:trPr>
        <w:cantSplit/>
      </w:trPr>
      <w:tc>
        <w:tcPr>
          <w:tcW w:w="2970" w:type="dxa"/>
          <w:tcBorders>
            <w:top w:val="single" w:sz="6" w:space="0" w:color="000000"/>
            <w:start w:val="thinThickLargeGap" w:sz="24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rPr>
              <w:lang w:val="bg-BG"/>
            </w:rPr>
          </w:pPr>
          <w:r>
            <w:rPr>
              <w:lang w:val="bg-BG"/>
            </w:rPr>
            <w:t>Разработена от:              Подпис:</w:t>
          </w:r>
        </w:p>
        <w:p>
          <w:pPr>
            <w:pStyle w:val="Heading1"/>
            <w:ind w:hanging="0" w:start="0"/>
            <w:jc w:val="start"/>
            <w:rPr>
              <w:b w:val="false"/>
              <w:sz w:val="16"/>
              <w:szCs w:val="16"/>
              <w:lang w:val="bg-BG"/>
            </w:rPr>
          </w:pPr>
          <w:r>
            <w:rPr>
              <w:b w:val="false"/>
              <w:sz w:val="16"/>
              <w:szCs w:val="16"/>
              <w:lang w:val="bg-BG"/>
            </w:rPr>
          </w:r>
        </w:p>
        <w:p>
          <w:pPr>
            <w:pStyle w:val="Normal"/>
            <w:rPr>
              <w:b/>
              <w:sz w:val="16"/>
              <w:szCs w:val="16"/>
              <w:lang w:val="en-US"/>
            </w:rPr>
          </w:pPr>
          <w:r>
            <w:rPr>
              <w:b/>
              <w:sz w:val="16"/>
              <w:szCs w:val="16"/>
              <w:lang w:val="en-US"/>
            </w:rPr>
          </w:r>
        </w:p>
      </w:tc>
      <w:tc>
        <w:tcPr>
          <w:tcW w:w="4410" w:type="dxa"/>
          <w:vMerge w:val="restart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ing1"/>
            <w:ind w:hanging="0" w:start="0"/>
            <w:jc w:val="start"/>
            <w:rPr>
              <w:b w:val="false"/>
              <w:bCs/>
              <w:sz w:val="18"/>
              <w:lang w:val="bg-BG"/>
            </w:rPr>
          </w:pPr>
          <w:r>
            <w:rPr>
              <w:b w:val="false"/>
              <w:bCs/>
              <w:sz w:val="18"/>
              <w:lang w:val="bg-BG"/>
            </w:rPr>
            <w:t>Документ:</w:t>
          </w:r>
        </w:p>
        <w:p>
          <w:pPr>
            <w:pStyle w:val="Normal"/>
            <w:rPr>
              <w:b/>
              <w:bCs/>
              <w:sz w:val="18"/>
              <w:lang w:val="bg-BG"/>
            </w:rPr>
          </w:pPr>
          <w:r>
            <w:rPr>
              <w:b/>
              <w:bCs/>
              <w:sz w:val="18"/>
              <w:lang w:val="bg-BG"/>
            </w:rPr>
          </w:r>
        </w:p>
        <w:p>
          <w:pPr>
            <w:pStyle w:val="Normal"/>
            <w:spacing w:before="120" w:after="0"/>
            <w:jc w:val="center"/>
            <w:rPr>
              <w:b/>
              <w:sz w:val="24"/>
              <w:lang w:val="bg-BG"/>
            </w:rPr>
          </w:pPr>
          <w:r>
            <w:rPr>
              <w:b/>
              <w:bCs/>
              <w:sz w:val="24"/>
              <w:szCs w:val="24"/>
              <w:lang w:val="bg-BG"/>
            </w:rPr>
            <w:t>КОРИГИРАЩИ ДЕЙСТВИЯ</w:t>
          </w:r>
        </w:p>
      </w:tc>
      <w:tc>
        <w:tcPr>
          <w:tcW w:w="2700" w:type="dxa"/>
          <w:gridSpan w:val="2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thickThinLargeGap" w:sz="24" w:space="0" w:color="000000"/>
          </w:tcBorders>
        </w:tcPr>
        <w:p>
          <w:pPr>
            <w:pStyle w:val="Normal"/>
            <w:rPr>
              <w:sz w:val="18"/>
              <w:lang w:val="bg-BG"/>
            </w:rPr>
          </w:pPr>
          <w:r>
            <w:rPr>
              <w:sz w:val="18"/>
              <w:lang w:val="bg-BG"/>
            </w:rPr>
            <w:t xml:space="preserve">Документ </w:t>
          </w:r>
        </w:p>
        <w:p>
          <w:pPr>
            <w:pStyle w:val="Normal"/>
            <w:jc w:val="center"/>
            <w:rPr>
              <w:b/>
              <w:lang w:val="en-US"/>
            </w:rPr>
          </w:pPr>
          <w:r>
            <w:rPr>
              <w:b/>
              <w:lang w:val="bg-BG"/>
            </w:rPr>
            <w:t xml:space="preserve">ИСУ </w:t>
          </w:r>
        </w:p>
      </w:tc>
    </w:tr>
    <w:tr>
      <w:trPr>
        <w:cantSplit/>
      </w:trPr>
      <w:tc>
        <w:tcPr>
          <w:tcW w:w="2970" w:type="dxa"/>
          <w:tcBorders>
            <w:top w:val="single" w:sz="6" w:space="0" w:color="000000"/>
            <w:start w:val="thinThickLargeGap" w:sz="24" w:space="0" w:color="000000"/>
            <w:bottom w:val="thickThinLargeGap" w:sz="24" w:space="0" w:color="000000"/>
            <w:end w:val="single" w:sz="6" w:space="0" w:color="000000"/>
          </w:tcBorders>
        </w:tcPr>
        <w:p>
          <w:pPr>
            <w:pStyle w:val="Normal"/>
            <w:rPr>
              <w:lang w:val="bg-BG"/>
            </w:rPr>
          </w:pPr>
          <w:r>
            <w:rPr>
              <w:lang w:val="bg-BG"/>
            </w:rPr>
            <w:t>Одобрена от:                  Подпис:</w:t>
          </w:r>
        </w:p>
        <w:p>
          <w:pPr>
            <w:pStyle w:val="Normal"/>
            <w:keepNext w:val="true"/>
            <w:numPr>
              <w:ilvl w:val="0"/>
              <w:numId w:val="0"/>
            </w:numPr>
            <w:outlineLvl w:val="3"/>
            <w:rPr>
              <w:lang w:val="bg-BG"/>
            </w:rPr>
          </w:pPr>
          <w:r>
            <w:rPr>
              <w:lang w:val="bg-BG"/>
            </w:rPr>
          </w:r>
        </w:p>
        <w:p>
          <w:pPr>
            <w:pStyle w:val="Normal"/>
            <w:rPr>
              <w:sz w:val="22"/>
              <w:szCs w:val="22"/>
              <w:lang w:val="bg-BG"/>
            </w:rPr>
          </w:pPr>
          <w:r>
            <w:rPr>
              <w:sz w:val="22"/>
              <w:szCs w:val="22"/>
              <w:lang w:val="bg-BG"/>
            </w:rPr>
            <w:t>Тодор Тодоров</w:t>
          </w:r>
        </w:p>
      </w:tc>
      <w:tc>
        <w:tcPr>
          <w:tcW w:w="4410" w:type="dxa"/>
          <w:vMerge w:val="continue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snapToGrid w:val="false"/>
            <w:spacing w:before="120" w:after="0"/>
            <w:jc w:val="center"/>
            <w:rPr>
              <w:sz w:val="22"/>
              <w:szCs w:val="22"/>
              <w:lang w:val="bg-BG"/>
            </w:rPr>
          </w:pPr>
          <w:r>
            <w:rPr>
              <w:sz w:val="22"/>
              <w:szCs w:val="22"/>
              <w:lang w:val="bg-BG"/>
            </w:rPr>
          </w:r>
        </w:p>
      </w:tc>
      <w:tc>
        <w:tcPr>
          <w:tcW w:w="1409" w:type="dxa"/>
          <w:tcBorders>
            <w:top w:val="single" w:sz="6" w:space="0" w:color="000000"/>
            <w:start w:val="single" w:sz="6" w:space="0" w:color="000000"/>
            <w:bottom w:val="thickThinLargeGap" w:sz="24" w:space="0" w:color="000000"/>
            <w:end w:val="single" w:sz="6" w:space="0" w:color="000000"/>
          </w:tcBorders>
        </w:tcPr>
        <w:p>
          <w:pPr>
            <w:pStyle w:val="Normal"/>
            <w:rPr>
              <w:sz w:val="16"/>
              <w:lang w:val="bg-BG"/>
            </w:rPr>
          </w:pPr>
          <w:r>
            <w:rPr>
              <w:sz w:val="16"/>
              <w:lang w:val="bg-BG"/>
            </w:rPr>
            <w:t>Страница</w:t>
          </w:r>
        </w:p>
        <w:p>
          <w:pPr>
            <w:pStyle w:val="Normal"/>
            <w:jc w:val="center"/>
            <w:rPr>
              <w:sz w:val="18"/>
              <w:lang w:val="bg-BG"/>
            </w:rPr>
          </w:pPr>
          <w:r>
            <w:rPr>
              <w:rStyle w:val="PageNumber"/>
              <w:sz w:val="18"/>
              <w:lang w:val="bg-BG"/>
            </w:rPr>
            <w:fldChar w:fldCharType="begin"/>
          </w:r>
          <w:r>
            <w:rPr>
              <w:rStyle w:val="PageNumber"/>
              <w:sz w:val="18"/>
              <w:lang w:val="bg-BG"/>
            </w:rPr>
            <w:instrText xml:space="preserve"> PAGE </w:instrText>
          </w:r>
          <w:r>
            <w:rPr>
              <w:rStyle w:val="PageNumber"/>
              <w:sz w:val="18"/>
              <w:lang w:val="bg-BG"/>
            </w:rPr>
            <w:fldChar w:fldCharType="separate"/>
          </w:r>
          <w:r>
            <w:rPr>
              <w:rStyle w:val="PageNumber"/>
              <w:sz w:val="18"/>
              <w:lang w:val="bg-BG"/>
            </w:rPr>
            <w:t>10</w:t>
          </w:r>
          <w:r>
            <w:rPr>
              <w:rStyle w:val="PageNumber"/>
              <w:sz w:val="18"/>
              <w:lang w:val="bg-BG"/>
            </w:rPr>
            <w:fldChar w:fldCharType="end"/>
          </w:r>
          <w:r>
            <w:rPr>
              <w:b/>
              <w:sz w:val="18"/>
              <w:lang w:val="bg-BG"/>
            </w:rPr>
            <w:t xml:space="preserve"> </w:t>
          </w:r>
          <w:r>
            <w:rPr>
              <w:b/>
              <w:sz w:val="18"/>
              <w:lang w:val="bg-BG"/>
            </w:rPr>
            <w:t>/ 8</w:t>
          </w:r>
        </w:p>
      </w:tc>
      <w:tc>
        <w:tcPr>
          <w:tcW w:w="1291" w:type="dxa"/>
          <w:tcBorders>
            <w:top w:val="single" w:sz="6" w:space="0" w:color="000000"/>
            <w:start w:val="single" w:sz="6" w:space="0" w:color="000000"/>
            <w:bottom w:val="thickThinLargeGap" w:sz="24" w:space="0" w:color="000000"/>
            <w:end w:val="thickThinLargeGap" w:sz="24" w:space="0" w:color="000000"/>
          </w:tcBorders>
        </w:tcPr>
        <w:p>
          <w:pPr>
            <w:pStyle w:val="Normal"/>
            <w:rPr>
              <w:bCs/>
              <w:sz w:val="16"/>
              <w:lang w:val="bg-BG"/>
            </w:rPr>
          </w:pPr>
          <w:r>
            <w:rPr>
              <w:bCs/>
              <w:sz w:val="16"/>
              <w:lang w:val="bg-BG"/>
            </w:rPr>
            <w:t>Екз. №</w:t>
          </w:r>
        </w:p>
        <w:p>
          <w:pPr>
            <w:pStyle w:val="Normal"/>
            <w:rPr>
              <w:bCs/>
              <w:sz w:val="16"/>
              <w:lang w:val="bg-BG"/>
            </w:rPr>
          </w:pPr>
          <w:r>
            <w:rPr>
              <w:bCs/>
              <w:sz w:val="16"/>
              <w:lang w:val="bg-BG"/>
            </w:rPr>
          </w:r>
        </w:p>
        <w:p>
          <w:pPr>
            <w:pStyle w:val="Normal"/>
            <w:rPr>
              <w:b/>
              <w:bCs/>
              <w:sz w:val="24"/>
              <w:lang w:val="bg-BG"/>
            </w:rPr>
          </w:pPr>
          <w:r>
            <w:rPr>
              <w:b/>
              <w:bCs/>
              <w:sz w:val="24"/>
              <w:lang w:val="bg-BG"/>
            </w:rPr>
          </w:r>
        </w:p>
      </w:tc>
    </w:tr>
  </w:tbl>
  <w:p>
    <w:pPr>
      <w:pStyle w:val="Header"/>
      <w:rPr>
        <w:lang w:val="bg-BG"/>
      </w:rPr>
    </w:pPr>
    <w:r>
      <w:rPr>
        <w:lang w:val="bg-BG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080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970"/>
      <w:gridCol w:w="4410"/>
      <w:gridCol w:w="1409"/>
      <w:gridCol w:w="1291"/>
    </w:tblGrid>
    <w:tr>
      <w:trPr>
        <w:trHeight w:val="1035" w:hRule="atLeast"/>
        <w:cantSplit/>
      </w:trPr>
      <w:tc>
        <w:tcPr>
          <w:tcW w:w="2970" w:type="dxa"/>
          <w:tcBorders>
            <w:top w:val="thinThickLargeGap" w:sz="24" w:space="0" w:color="000000"/>
            <w:start w:val="thinThickLargeGap" w:sz="24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tabs>
              <w:tab w:val="clear" w:pos="4153"/>
              <w:tab w:val="clear" w:pos="8306"/>
            </w:tabs>
            <w:snapToGrid w:val="false"/>
            <w:rPr>
              <w:sz w:val="18"/>
              <w:lang w:val="bg-BG"/>
            </w:rPr>
          </w:pPr>
          <w:r>
            <w:rPr>
              <w:sz w:val="18"/>
              <w:lang w:val="bg-BG"/>
            </w:rPr>
          </w:r>
        </w:p>
        <w:p>
          <w:pPr>
            <w:pStyle w:val="Heading5"/>
            <w:spacing w:before="120" w:after="120"/>
            <w:ind w:hanging="0" w:start="0"/>
            <w:jc w:val="center"/>
            <w:rPr>
              <w:b/>
              <w:lang w:val="bg-BG"/>
            </w:rPr>
          </w:pPr>
          <w:r>
            <w:rPr>
              <w:b/>
              <w:sz w:val="22"/>
              <w:szCs w:val="22"/>
              <w:lang w:val="ru-RU"/>
            </w:rPr>
            <w:t>"Артпласт" ЕООД</w:t>
          </w:r>
        </w:p>
      </w:tc>
      <w:tc>
        <w:tcPr>
          <w:tcW w:w="4410" w:type="dxa"/>
          <w:vMerge w:val="restart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rPr>
              <w:sz w:val="18"/>
              <w:lang w:val="bg-BG"/>
            </w:rPr>
          </w:pPr>
          <w:r>
            <w:rPr>
              <w:sz w:val="18"/>
              <w:lang w:val="bg-BG"/>
            </w:rPr>
            <w:t>Вид на документа:</w:t>
          </w:r>
        </w:p>
        <w:p>
          <w:pPr>
            <w:pStyle w:val="Normal"/>
            <w:rPr>
              <w:sz w:val="18"/>
              <w:lang w:val="bg-BG"/>
            </w:rPr>
          </w:pPr>
          <w:r>
            <w:rPr>
              <w:sz w:val="18"/>
              <w:lang w:val="bg-BG"/>
            </w:rPr>
          </w:r>
        </w:p>
        <w:p>
          <w:pPr>
            <w:pStyle w:val="Heading2"/>
            <w:ind w:hanging="0" w:start="0"/>
            <w:rPr>
              <w:lang w:val="ru-RU"/>
            </w:rPr>
          </w:pPr>
          <w:r>
            <w:rPr>
              <w:lang w:val="bg-BG"/>
            </w:rPr>
            <w:t xml:space="preserve">Процедура </w:t>
          </w:r>
        </w:p>
        <w:p>
          <w:pPr>
            <w:pStyle w:val="Heading2"/>
            <w:ind w:hanging="0" w:start="0"/>
            <w:rPr>
              <w:lang w:val="bg-BG"/>
            </w:rPr>
          </w:pPr>
          <w:r>
            <w:rPr>
              <w:lang w:val="bg-BG"/>
            </w:rPr>
            <w:t xml:space="preserve"> </w:t>
          </w:r>
        </w:p>
        <w:p>
          <w:pPr>
            <w:pStyle w:val="Normal"/>
            <w:jc w:val="center"/>
            <w:rPr>
              <w:i/>
              <w:sz w:val="24"/>
              <w:szCs w:val="24"/>
              <w:lang w:val="ru-RU"/>
            </w:rPr>
          </w:pPr>
          <w:r>
            <w:rPr>
              <w:i/>
              <w:sz w:val="24"/>
              <w:szCs w:val="24"/>
              <w:lang w:val="en-US"/>
            </w:rPr>
            <w:t xml:space="preserve">ISO 9001:2015 </w:t>
          </w:r>
        </w:p>
      </w:tc>
      <w:tc>
        <w:tcPr>
          <w:tcW w:w="2700" w:type="dxa"/>
          <w:gridSpan w:val="2"/>
          <w:vMerge w:val="restart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thickThinLargeGap" w:sz="24" w:space="0" w:color="000000"/>
          </w:tcBorders>
          <w:vAlign w:val="center"/>
        </w:tcPr>
        <w:p>
          <w:pPr>
            <w:pStyle w:val="BodyText"/>
            <w:spacing w:before="40" w:after="40"/>
            <w:jc w:val="center"/>
            <w:rPr>
              <w:b/>
              <w:szCs w:val="24"/>
              <w:lang w:val="bg-BG"/>
            </w:rPr>
          </w:pPr>
          <w:r>
            <w:rPr>
              <w:b/>
              <w:szCs w:val="24"/>
              <w:lang w:val="bg-BG"/>
            </w:rPr>
            <w:t>ПР 05</w:t>
          </w:r>
        </w:p>
      </w:tc>
    </w:tr>
    <w:tr>
      <w:trPr>
        <w:trHeight w:val="582" w:hRule="atLeast"/>
        <w:cantSplit/>
      </w:trPr>
      <w:tc>
        <w:tcPr>
          <w:tcW w:w="2970" w:type="dxa"/>
          <w:tcBorders>
            <w:top w:val="single" w:sz="6" w:space="0" w:color="000000"/>
            <w:start w:val="thinThickLargeGap" w:sz="24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rPr>
              <w:lang w:val="bg-BG"/>
            </w:rPr>
          </w:pPr>
          <w:r>
            <w:rPr>
              <w:lang w:val="bg-BG"/>
            </w:rPr>
            <w:t>Издадена на дата:</w:t>
          </w:r>
        </w:p>
        <w:p>
          <w:pPr>
            <w:pStyle w:val="Normal"/>
            <w:jc w:val="center"/>
            <w:rPr>
              <w:b/>
              <w:sz w:val="24"/>
              <w:szCs w:val="24"/>
              <w:lang w:val="bg-BG"/>
            </w:rPr>
          </w:pPr>
          <w:r>
            <w:rPr>
              <w:b/>
              <w:sz w:val="24"/>
              <w:szCs w:val="24"/>
              <w:lang w:val="bg-BG"/>
            </w:rPr>
            <w:t>11.05.2020г.</w:t>
          </w:r>
        </w:p>
      </w:tc>
      <w:tc>
        <w:tcPr>
          <w:tcW w:w="4410" w:type="dxa"/>
          <w:vMerge w:val="continue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snapToGrid w:val="false"/>
            <w:rPr>
              <w:b/>
              <w:sz w:val="24"/>
              <w:szCs w:val="24"/>
              <w:lang w:val="bg-BG"/>
            </w:rPr>
          </w:pPr>
          <w:r>
            <w:rPr>
              <w:b/>
              <w:sz w:val="24"/>
              <w:szCs w:val="24"/>
              <w:lang w:val="bg-BG"/>
            </w:rPr>
          </w:r>
        </w:p>
      </w:tc>
      <w:tc>
        <w:tcPr>
          <w:tcW w:w="2700" w:type="dxa"/>
          <w:gridSpan w:val="2"/>
          <w:vMerge w:val="continue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thickThinLargeGap" w:sz="24" w:space="0" w:color="000000"/>
          </w:tcBorders>
          <w:vAlign w:val="center"/>
        </w:tcPr>
        <w:p>
          <w:pPr>
            <w:pStyle w:val="Normal"/>
            <w:snapToGrid w:val="false"/>
            <w:rPr>
              <w:lang w:val="bg-BG"/>
            </w:rPr>
          </w:pPr>
          <w:r>
            <w:rPr>
              <w:lang w:val="bg-BG"/>
            </w:rPr>
          </w:r>
        </w:p>
      </w:tc>
    </w:tr>
    <w:tr>
      <w:trPr>
        <w:cantSplit/>
      </w:trPr>
      <w:tc>
        <w:tcPr>
          <w:tcW w:w="2970" w:type="dxa"/>
          <w:tcBorders>
            <w:top w:val="single" w:sz="6" w:space="0" w:color="000000"/>
            <w:start w:val="thinThickLargeGap" w:sz="24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rPr>
              <w:lang w:val="bg-BG"/>
            </w:rPr>
          </w:pPr>
          <w:r>
            <w:rPr>
              <w:lang w:val="bg-BG"/>
            </w:rPr>
            <w:t>Разработена от:              Подпис:</w:t>
          </w:r>
        </w:p>
        <w:p>
          <w:pPr>
            <w:pStyle w:val="Heading1"/>
            <w:ind w:hanging="0" w:start="0"/>
            <w:jc w:val="start"/>
            <w:rPr>
              <w:b w:val="false"/>
              <w:sz w:val="16"/>
              <w:szCs w:val="16"/>
              <w:lang w:val="bg-BG"/>
            </w:rPr>
          </w:pPr>
          <w:r>
            <w:rPr>
              <w:b w:val="false"/>
              <w:sz w:val="16"/>
              <w:szCs w:val="16"/>
              <w:lang w:val="bg-BG"/>
            </w:rPr>
          </w:r>
        </w:p>
        <w:p>
          <w:pPr>
            <w:pStyle w:val="Normal"/>
            <w:rPr>
              <w:b/>
              <w:sz w:val="16"/>
              <w:szCs w:val="16"/>
              <w:lang w:val="en-US"/>
            </w:rPr>
          </w:pPr>
          <w:r>
            <w:rPr>
              <w:b/>
              <w:sz w:val="16"/>
              <w:szCs w:val="16"/>
              <w:lang w:val="en-US"/>
            </w:rPr>
          </w:r>
        </w:p>
      </w:tc>
      <w:tc>
        <w:tcPr>
          <w:tcW w:w="4410" w:type="dxa"/>
          <w:vMerge w:val="restart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ing1"/>
            <w:ind w:hanging="0" w:start="0"/>
            <w:jc w:val="start"/>
            <w:rPr>
              <w:b w:val="false"/>
              <w:bCs/>
              <w:sz w:val="18"/>
              <w:lang w:val="bg-BG"/>
            </w:rPr>
          </w:pPr>
          <w:r>
            <w:rPr>
              <w:b w:val="false"/>
              <w:bCs/>
              <w:sz w:val="18"/>
              <w:lang w:val="bg-BG"/>
            </w:rPr>
            <w:t>Документ:</w:t>
          </w:r>
        </w:p>
        <w:p>
          <w:pPr>
            <w:pStyle w:val="Normal"/>
            <w:rPr>
              <w:b/>
              <w:bCs/>
              <w:sz w:val="18"/>
              <w:lang w:val="bg-BG"/>
            </w:rPr>
          </w:pPr>
          <w:r>
            <w:rPr>
              <w:b/>
              <w:bCs/>
              <w:sz w:val="18"/>
              <w:lang w:val="bg-BG"/>
            </w:rPr>
          </w:r>
        </w:p>
        <w:p>
          <w:pPr>
            <w:pStyle w:val="Normal"/>
            <w:spacing w:before="120" w:after="0"/>
            <w:jc w:val="center"/>
            <w:rPr>
              <w:b/>
              <w:sz w:val="24"/>
              <w:lang w:val="bg-BG"/>
            </w:rPr>
          </w:pPr>
          <w:r>
            <w:rPr>
              <w:b/>
              <w:bCs/>
              <w:sz w:val="24"/>
              <w:szCs w:val="24"/>
              <w:lang w:val="bg-BG"/>
            </w:rPr>
            <w:t>КОРИГИРАЩИ ДЕЙСТВИЯ</w:t>
          </w:r>
        </w:p>
      </w:tc>
      <w:tc>
        <w:tcPr>
          <w:tcW w:w="2700" w:type="dxa"/>
          <w:gridSpan w:val="2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thickThinLargeGap" w:sz="24" w:space="0" w:color="000000"/>
          </w:tcBorders>
        </w:tcPr>
        <w:p>
          <w:pPr>
            <w:pStyle w:val="Normal"/>
            <w:rPr>
              <w:sz w:val="18"/>
              <w:lang w:val="bg-BG"/>
            </w:rPr>
          </w:pPr>
          <w:r>
            <w:rPr>
              <w:sz w:val="18"/>
              <w:lang w:val="bg-BG"/>
            </w:rPr>
            <w:t xml:space="preserve">Документ </w:t>
          </w:r>
        </w:p>
        <w:p>
          <w:pPr>
            <w:pStyle w:val="Normal"/>
            <w:jc w:val="center"/>
            <w:rPr>
              <w:b/>
              <w:lang w:val="en-US"/>
            </w:rPr>
          </w:pPr>
          <w:r>
            <w:rPr>
              <w:b/>
              <w:lang w:val="bg-BG"/>
            </w:rPr>
            <w:t>ИСУ</w:t>
          </w:r>
        </w:p>
      </w:tc>
    </w:tr>
    <w:tr>
      <w:trPr>
        <w:cantSplit/>
      </w:trPr>
      <w:tc>
        <w:tcPr>
          <w:tcW w:w="2970" w:type="dxa"/>
          <w:tcBorders>
            <w:top w:val="single" w:sz="6" w:space="0" w:color="000000"/>
            <w:start w:val="thinThickLargeGap" w:sz="24" w:space="0" w:color="000000"/>
            <w:bottom w:val="thickThinLargeGap" w:sz="24" w:space="0" w:color="000000"/>
            <w:end w:val="single" w:sz="6" w:space="0" w:color="000000"/>
          </w:tcBorders>
        </w:tcPr>
        <w:p>
          <w:pPr>
            <w:pStyle w:val="Normal"/>
            <w:rPr>
              <w:lang w:val="bg-BG"/>
            </w:rPr>
          </w:pPr>
          <w:r>
            <w:rPr>
              <w:lang w:val="bg-BG"/>
            </w:rPr>
            <w:t>Одобрена от:                  Подпис:</w:t>
          </w:r>
        </w:p>
        <w:p>
          <w:pPr>
            <w:pStyle w:val="Normal"/>
            <w:rPr>
              <w:lang w:val="bg-BG"/>
            </w:rPr>
          </w:pPr>
          <w:r>
            <w:rPr>
              <w:lang w:val="bg-BG"/>
            </w:rPr>
          </w:r>
        </w:p>
        <w:p>
          <w:pPr>
            <w:pStyle w:val="Normal"/>
            <w:rPr>
              <w:sz w:val="22"/>
              <w:szCs w:val="22"/>
              <w:lang w:val="bg-BG"/>
            </w:rPr>
          </w:pPr>
          <w:r>
            <w:rPr>
              <w:lang w:val="bg-BG"/>
            </w:rPr>
            <w:t>Тодор Тодоров</w:t>
          </w:r>
        </w:p>
      </w:tc>
      <w:tc>
        <w:tcPr>
          <w:tcW w:w="4410" w:type="dxa"/>
          <w:vMerge w:val="continue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snapToGrid w:val="false"/>
            <w:spacing w:before="120" w:after="0"/>
            <w:jc w:val="center"/>
            <w:rPr>
              <w:sz w:val="22"/>
              <w:szCs w:val="22"/>
              <w:lang w:val="bg-BG"/>
            </w:rPr>
          </w:pPr>
          <w:r>
            <w:rPr>
              <w:sz w:val="22"/>
              <w:szCs w:val="22"/>
              <w:lang w:val="bg-BG"/>
            </w:rPr>
          </w:r>
        </w:p>
      </w:tc>
      <w:tc>
        <w:tcPr>
          <w:tcW w:w="1409" w:type="dxa"/>
          <w:tcBorders>
            <w:top w:val="single" w:sz="6" w:space="0" w:color="000000"/>
            <w:start w:val="single" w:sz="6" w:space="0" w:color="000000"/>
            <w:bottom w:val="thickThinLargeGap" w:sz="24" w:space="0" w:color="000000"/>
            <w:end w:val="single" w:sz="6" w:space="0" w:color="000000"/>
          </w:tcBorders>
        </w:tcPr>
        <w:p>
          <w:pPr>
            <w:pStyle w:val="Normal"/>
            <w:rPr>
              <w:sz w:val="16"/>
              <w:lang w:val="bg-BG"/>
            </w:rPr>
          </w:pPr>
          <w:r>
            <w:rPr>
              <w:sz w:val="16"/>
              <w:lang w:val="bg-BG"/>
            </w:rPr>
            <w:t>Страница</w:t>
          </w:r>
        </w:p>
        <w:p>
          <w:pPr>
            <w:pStyle w:val="Normal"/>
            <w:jc w:val="center"/>
            <w:rPr>
              <w:sz w:val="18"/>
              <w:lang w:val="bg-BG"/>
            </w:rPr>
          </w:pPr>
          <w:r>
            <w:rPr>
              <w:rStyle w:val="PageNumber"/>
              <w:sz w:val="18"/>
              <w:lang w:val="bg-BG"/>
            </w:rPr>
            <w:fldChar w:fldCharType="begin"/>
          </w:r>
          <w:r>
            <w:rPr>
              <w:rStyle w:val="PageNumber"/>
              <w:sz w:val="18"/>
              <w:lang w:val="bg-BG"/>
            </w:rPr>
            <w:instrText xml:space="preserve"> PAGE </w:instrText>
          </w:r>
          <w:r>
            <w:rPr>
              <w:rStyle w:val="PageNumber"/>
              <w:sz w:val="18"/>
              <w:lang w:val="bg-BG"/>
            </w:rPr>
            <w:fldChar w:fldCharType="separate"/>
          </w:r>
          <w:r>
            <w:rPr>
              <w:rStyle w:val="PageNumber"/>
              <w:sz w:val="18"/>
              <w:lang w:val="bg-BG"/>
            </w:rPr>
            <w:t>1</w:t>
          </w:r>
          <w:r>
            <w:rPr>
              <w:rStyle w:val="PageNumber"/>
              <w:sz w:val="18"/>
              <w:lang w:val="bg-BG"/>
            </w:rPr>
            <w:fldChar w:fldCharType="end"/>
          </w:r>
          <w:r>
            <w:rPr>
              <w:b/>
              <w:sz w:val="18"/>
              <w:lang w:val="bg-BG"/>
            </w:rPr>
            <w:t xml:space="preserve"> </w:t>
          </w:r>
          <w:r>
            <w:rPr>
              <w:b/>
              <w:sz w:val="18"/>
              <w:lang w:val="bg-BG"/>
            </w:rPr>
            <w:t>/ 8</w:t>
          </w:r>
        </w:p>
      </w:tc>
      <w:tc>
        <w:tcPr>
          <w:tcW w:w="1291" w:type="dxa"/>
          <w:tcBorders>
            <w:top w:val="single" w:sz="6" w:space="0" w:color="000000"/>
            <w:start w:val="single" w:sz="6" w:space="0" w:color="000000"/>
            <w:bottom w:val="thickThinLargeGap" w:sz="24" w:space="0" w:color="000000"/>
            <w:end w:val="thickThinLargeGap" w:sz="24" w:space="0" w:color="000000"/>
          </w:tcBorders>
        </w:tcPr>
        <w:p>
          <w:pPr>
            <w:pStyle w:val="Normal"/>
            <w:rPr>
              <w:bCs/>
              <w:sz w:val="16"/>
              <w:lang w:val="bg-BG"/>
            </w:rPr>
          </w:pPr>
          <w:r>
            <w:rPr>
              <w:bCs/>
              <w:sz w:val="16"/>
              <w:lang w:val="bg-BG"/>
            </w:rPr>
            <w:t>Екз. №</w:t>
          </w:r>
        </w:p>
        <w:p>
          <w:pPr>
            <w:pStyle w:val="Normal"/>
            <w:rPr>
              <w:bCs/>
              <w:sz w:val="16"/>
              <w:lang w:val="bg-BG"/>
            </w:rPr>
          </w:pPr>
          <w:r>
            <w:rPr>
              <w:bCs/>
              <w:sz w:val="16"/>
              <w:lang w:val="bg-BG"/>
            </w:rPr>
          </w:r>
        </w:p>
        <w:p>
          <w:pPr>
            <w:pStyle w:val="Normal"/>
            <w:rPr>
              <w:b/>
              <w:bCs/>
              <w:sz w:val="24"/>
              <w:lang w:val="bg-BG"/>
            </w:rPr>
          </w:pPr>
          <w:r>
            <w:rPr>
              <w:b/>
              <w:bCs/>
              <w:sz w:val="24"/>
              <w:lang w:val="bg-BG"/>
            </w:rPr>
          </w:r>
        </w:p>
      </w:tc>
    </w:tr>
  </w:tbl>
  <w:p>
    <w:pPr>
      <w:pStyle w:val="Header"/>
      <w:rPr>
        <w:sz w:val="16"/>
        <w:lang w:val="bg-BG"/>
      </w:rPr>
    </w:pPr>
    <w:r>
      <w:rPr>
        <w:sz w:val="16"/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"/>
      <w:lvlJc w:val="start"/>
      <w:pPr>
        <w:tabs>
          <w:tab w:val="num" w:pos="1211"/>
        </w:tabs>
        <w:ind w:start="0" w:firstLine="851"/>
      </w:pPr>
      <w:rPr>
        <w:rFonts w:ascii="Monotype Sorts" w:hAnsi="Monotype Sorts" w:cs="Monotype Sorts" w:hint="default"/>
        <w:b w:val="false"/>
        <w:i w:val="false"/>
        <w:sz w:val="20"/>
      </w:rPr>
    </w:lvl>
    <w:lvl w:ilvl="1">
      <w:start w:val="1"/>
      <w:numFmt w:val="bullet"/>
      <w:lvlText w:val=""/>
      <w:lvlJc w:val="start"/>
      <w:pPr>
        <w:tabs>
          <w:tab w:val="num" w:pos="1224"/>
        </w:tabs>
        <w:ind w:start="0" w:firstLine="864"/>
      </w:pPr>
      <w:rPr>
        <w:rFonts w:ascii="Wingdings" w:hAnsi="Wingdings" w:cs="Wingdings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3">
    <w:lvl w:ilvl="0">
      <w:start w:val="1"/>
      <w:numFmt w:val="bullet"/>
      <w:lvlText w:val=""/>
      <w:lvlJc w:val="start"/>
      <w:pPr>
        <w:tabs>
          <w:tab w:val="num" w:pos="1097"/>
        </w:tabs>
        <w:ind w:start="0" w:firstLine="737"/>
      </w:pPr>
      <w:rPr>
        <w:rFonts w:ascii="Wingdings" w:hAnsi="Wingdings" w:cs="Wingdings" w:hint="default"/>
        <w:sz w:val="16"/>
      </w:rPr>
    </w:lvl>
    <w:lvl w:ilvl="1">
      <w:start w:val="1"/>
      <w:numFmt w:val="bullet"/>
      <w:lvlText w:val=""/>
      <w:lvlJc w:val="start"/>
      <w:pPr>
        <w:tabs>
          <w:tab w:val="num" w:pos="1224"/>
        </w:tabs>
        <w:ind w:start="0" w:firstLine="864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center"/>
      <w:pPr>
        <w:tabs>
          <w:tab w:val="num" w:pos="1080"/>
        </w:tabs>
        <w:ind w:start="357" w:firstLine="363"/>
      </w:pPr>
      <w:rPr>
        <w:rFonts w:ascii="Symbol" w:hAnsi="Symbol" w:cs="Symbol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6">
    <w:lvl w:ilvl="0">
      <w:numFmt w:val="decimal"/>
      <w:lvlText w:val="}%1"/>
      <w:lvlJc w:val="start"/>
      <w:pPr>
        <w:tabs>
          <w:tab w:val="num" w:pos="288"/>
        </w:tabs>
        <w:ind w:start="288" w:hanging="288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sv-SE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120" w:after="0"/>
      <w:outlineLvl w:val="2"/>
    </w:pPr>
    <w:rPr>
      <w:b/>
      <w:sz w:val="22"/>
      <w:szCs w:val="22"/>
      <w:lang w:val="bg-BG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outlineLvl w:val="3"/>
    </w:pPr>
    <w:rPr>
      <w:i/>
      <w:lang w:val="bg-BG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before="120" w:after="120"/>
      <w:outlineLvl w:val="4"/>
    </w:pPr>
    <w:rPr>
      <w:sz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jc w:val="both"/>
      <w:outlineLvl w:val="5"/>
    </w:pPr>
    <w:rPr>
      <w:i/>
      <w:sz w:val="22"/>
      <w:lang w:val="bg-BG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jc w:val="both"/>
      <w:outlineLvl w:val="6"/>
    </w:pPr>
    <w:rPr>
      <w:rFonts w:ascii="Arial" w:hAnsi="Arial" w:cs="Arial"/>
      <w:sz w:val="24"/>
      <w:lang w:val="bg-BG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jc w:val="both"/>
      <w:outlineLvl w:val="7"/>
    </w:pPr>
    <w:rPr>
      <w:rFonts w:ascii="Arial" w:hAnsi="Arial" w:cs="Arial"/>
      <w:i/>
      <w:sz w:val="24"/>
      <w:lang w:val="bg-BG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 w:cs="Arial"/>
      <w:b/>
      <w:i/>
      <w:sz w:val="18"/>
      <w:lang w:val="bg-BG"/>
    </w:rPr>
  </w:style>
  <w:style w:type="character" w:styleId="WW8Num1z0">
    <w:name w:val="WW8Num1z0"/>
    <w:qFormat/>
    <w:rPr>
      <w:rFonts w:ascii="Monotype Sorts;Symbol" w:hAnsi="Monotype Sorts;Symbol" w:cs="Monotype Sorts;Symbol"/>
      <w:b w:val="false"/>
      <w:i w:val="false"/>
      <w:sz w:val="20"/>
    </w:rPr>
  </w:style>
  <w:style w:type="character" w:styleId="WW8Num1z1">
    <w:name w:val="WW8Num1z1"/>
    <w:qFormat/>
    <w:rPr>
      <w:rFonts w:ascii="Wingdings" w:hAnsi="Wingdings" w:cs="Wingdings"/>
      <w:sz w:val="20"/>
    </w:rPr>
  </w:style>
  <w:style w:type="character" w:styleId="WW8Num2z0">
    <w:name w:val="WW8Num2z0"/>
    <w:qFormat/>
    <w:rPr>
      <w:rFonts w:ascii="Wingdings" w:hAnsi="Wingdings" w:cs="Wingdings"/>
      <w:sz w:val="16"/>
    </w:rPr>
  </w:style>
  <w:style w:type="character" w:styleId="WW8Num2z1">
    <w:name w:val="WW8Num2z1"/>
    <w:qFormat/>
    <w:rPr>
      <w:rFonts w:ascii="Wingdings" w:hAnsi="Wingdings" w:cs="Wingdings"/>
      <w:sz w:val="20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2z4">
    <w:name w:val="WW8Num2z4"/>
    <w:qFormat/>
    <w:rPr>
      <w:rFonts w:ascii="Courier New" w:hAnsi="Courier New" w:cs="Courier New"/>
    </w:rPr>
  </w:style>
  <w:style w:type="character" w:styleId="WW8Num3z0">
    <w:name w:val="WW8Num3z0"/>
    <w:qFormat/>
    <w:rPr>
      <w:rFonts w:ascii="Symbol" w:hAnsi="Symbol" w:cs="Symbol"/>
      <w:sz w:val="20"/>
    </w:rPr>
  </w:style>
  <w:style w:type="character" w:styleId="WW8Num4z0">
    <w:name w:val="WW8Num4z0"/>
    <w:qFormat/>
    <w:rPr>
      <w:rFonts w:ascii="Symbol" w:hAnsi="Symbol" w:cs="Symbol"/>
    </w:rPr>
  </w:style>
  <w:style w:type="character" w:styleId="Style5">
    <w:name w:val="Шрифт на абзаца по подразбиране"/>
    <w:qFormat/>
    <w:rPr/>
  </w:style>
  <w:style w:type="character" w:styleId="PageNumber">
    <w:name w:val="page number"/>
    <w:basedOn w:val="Style5"/>
    <w:rPr/>
  </w:style>
  <w:style w:type="paragraph" w:styleId="Style6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/>
    <w:rPr>
      <w:sz w:val="24"/>
      <w:lang w:val="en-GB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next w:val="Normal"/>
    <w:qFormat/>
    <w:pPr>
      <w:ind w:firstLine="720" w:start="0" w:end="0"/>
      <w:jc w:val="both"/>
    </w:pPr>
    <w:rPr>
      <w:b/>
      <w:bCs/>
      <w:sz w:val="24"/>
      <w:szCs w:val="24"/>
      <w:lang w:val="bg-BG"/>
    </w:rPr>
  </w:style>
  <w:style w:type="paragraph" w:styleId="Style7">
    <w:name w:val="Указател"/>
    <w:basedOn w:val="Normal"/>
    <w:qFormat/>
    <w:pPr>
      <w:suppressLineNumbers/>
    </w:pPr>
    <w:rPr>
      <w:rFonts w:cs="Arial"/>
    </w:rPr>
  </w:style>
  <w:style w:type="paragraph" w:styleId="Style8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DefaultText">
    <w:name w:val="Default Text"/>
    <w:basedOn w:val="Normal"/>
    <w:qFormat/>
    <w:pPr/>
    <w:rPr>
      <w:sz w:val="24"/>
      <w:lang w:val="en-US"/>
    </w:rPr>
  </w:style>
  <w:style w:type="paragraph" w:styleId="Bullet">
    <w:name w:val="Bullet"/>
    <w:basedOn w:val="Normal"/>
    <w:qFormat/>
    <w:pPr>
      <w:numPr>
        <w:ilvl w:val="0"/>
        <w:numId w:val="6"/>
      </w:numPr>
      <w:ind w:hanging="288" w:start="288" w:end="0"/>
    </w:pPr>
    <w:rPr>
      <w:sz w:val="24"/>
      <w:lang w:val="en-US"/>
    </w:rPr>
  </w:style>
  <w:style w:type="paragraph" w:styleId="z-">
    <w:name w:val="z-Начало формуляр"/>
    <w:basedOn w:val="Normal"/>
    <w:qFormat/>
    <w:pPr/>
    <w:rPr>
      <w:sz w:val="24"/>
      <w:lang w:val="en-US"/>
    </w:rPr>
  </w:style>
  <w:style w:type="paragraph" w:styleId="2">
    <w:name w:val="Основен текст 2"/>
    <w:basedOn w:val="Normal"/>
    <w:qFormat/>
    <w:pPr>
      <w:jc w:val="both"/>
    </w:pPr>
    <w:rPr/>
  </w:style>
  <w:style w:type="paragraph" w:styleId="Style9">
    <w:name w:val="Блоков текст"/>
    <w:basedOn w:val="Normal"/>
    <w:qFormat/>
    <w:pPr>
      <w:ind w:hanging="0" w:start="289" w:end="289"/>
      <w:jc w:val="both"/>
    </w:pPr>
    <w:rPr>
      <w:rFonts w:ascii="Timok" w:hAnsi="Timok" w:cs="Timok"/>
      <w:lang w:val="bg-BG"/>
    </w:rPr>
  </w:style>
  <w:style w:type="paragraph" w:styleId="Style11">
    <w:name w:val="Style1"/>
    <w:basedOn w:val="Normal"/>
    <w:qFormat/>
    <w:pPr>
      <w:numPr>
        <w:ilvl w:val="0"/>
        <w:numId w:val="4"/>
      </w:numPr>
      <w:ind w:hanging="0" w:start="0" w:end="0"/>
      <w:jc w:val="both"/>
    </w:pPr>
    <w:rPr>
      <w:lang w:val="bg-BG"/>
    </w:rPr>
  </w:style>
  <w:style w:type="paragraph" w:styleId="21">
    <w:name w:val="Основен текст с отстъп 2"/>
    <w:basedOn w:val="Normal"/>
    <w:qFormat/>
    <w:pPr>
      <w:overflowPunct w:val="false"/>
      <w:autoSpaceDE w:val="false"/>
      <w:spacing w:before="40" w:after="40"/>
      <w:ind w:firstLine="720" w:start="72" w:end="0"/>
      <w:jc w:val="both"/>
    </w:pPr>
    <w:rPr>
      <w:sz w:val="24"/>
      <w:lang w:val="bg-BG"/>
    </w:rPr>
  </w:style>
  <w:style w:type="paragraph" w:styleId="BodyTextIndent">
    <w:name w:val="Body Text Indent"/>
    <w:basedOn w:val="Normal"/>
    <w:pPr>
      <w:ind w:firstLine="432" w:start="0" w:end="0"/>
      <w:jc w:val="both"/>
    </w:pPr>
    <w:rPr/>
  </w:style>
  <w:style w:type="paragraph" w:styleId="3">
    <w:name w:val="Основен текст с отстъп 3"/>
    <w:basedOn w:val="Normal"/>
    <w:qFormat/>
    <w:pPr>
      <w:ind w:firstLine="720" w:start="0" w:end="0"/>
      <w:jc w:val="both"/>
    </w:pPr>
    <w:rPr/>
  </w:style>
  <w:style w:type="paragraph" w:styleId="-Style1">
    <w:name w:val="А-Style1"/>
    <w:basedOn w:val="Normal"/>
    <w:qFormat/>
    <w:pPr>
      <w:tabs>
        <w:tab w:val="clear" w:pos="720"/>
        <w:tab w:val="left" w:pos="1324" w:leader="none"/>
      </w:tabs>
      <w:spacing w:before="120" w:after="0"/>
      <w:ind w:firstLine="964" w:start="0" w:end="0"/>
      <w:jc w:val="both"/>
    </w:pPr>
    <w:rPr>
      <w:lang w:val="bg-BG"/>
    </w:rPr>
  </w:style>
  <w:style w:type="paragraph" w:styleId="Bullet1">
    <w:name w:val="Bullet 1"/>
    <w:basedOn w:val="Normal"/>
    <w:qFormat/>
    <w:pPr>
      <w:numPr>
        <w:ilvl w:val="0"/>
        <w:numId w:val="5"/>
      </w:numPr>
      <w:spacing w:before="60" w:after="0"/>
      <w:jc w:val="both"/>
    </w:pPr>
    <w:rPr>
      <w:sz w:val="24"/>
      <w:lang w:val="bg-BG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StyleNum">
    <w:name w:val="WW8StyleNum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2019-11-25T03:09:00Z</dcterms:created>
  <dc:creator>Per-Eric Håkansson</dc:creator>
  <dc:description/>
  <cp:keywords/>
  <dc:language>bg-BG</dc:language>
  <cp:lastModifiedBy>lenovo</cp:lastModifiedBy>
  <cp:lastPrinted>2013-06-20T14:29:00Z</cp:lastPrinted>
  <dcterms:modified xsi:type="dcterms:W3CDTF">2020-07-28T14:18:00Z</dcterms:modified>
  <cp:revision>20</cp:revision>
  <dc:subject/>
  <dc:title>Job Descriptions</dc:title>
</cp:coreProperties>
</file>