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74" w:type="dxa"/>
        <w:tblInd w:w="-34" w:type="dxa"/>
        <w:tblLook w:val="04A0" w:firstRow="1" w:lastRow="0" w:firstColumn="1" w:lastColumn="0" w:noHBand="0" w:noVBand="1"/>
      </w:tblPr>
      <w:tblGrid>
        <w:gridCol w:w="2127"/>
        <w:gridCol w:w="3426"/>
        <w:gridCol w:w="2669"/>
        <w:gridCol w:w="2552"/>
      </w:tblGrid>
      <w:tr w:rsidR="000B0A2C" w:rsidRPr="008F5843" w14:paraId="78206E78" w14:textId="77777777" w:rsidTr="001019F6">
        <w:tc>
          <w:tcPr>
            <w:tcW w:w="10774" w:type="dxa"/>
            <w:gridSpan w:val="4"/>
          </w:tcPr>
          <w:p w14:paraId="6E1A0AE2" w14:textId="77777777" w:rsidR="000B0A2C" w:rsidRPr="008F5843" w:rsidRDefault="000B0A2C" w:rsidP="000B0A2C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0B0A2C">
              <w:rPr>
                <w:b/>
                <w:lang w:val="bg-BG"/>
              </w:rPr>
              <w:t xml:space="preserve">Критерии за категоризация на информацията на </w:t>
            </w:r>
            <w:r w:rsidRPr="000B0A2C">
              <w:rPr>
                <w:b/>
              </w:rPr>
              <w:t>S</w:t>
            </w:r>
            <w:r w:rsidRPr="008F5843">
              <w:rPr>
                <w:b/>
                <w:lang w:val="ru-RU"/>
              </w:rPr>
              <w:t>&amp;</w:t>
            </w:r>
            <w:r w:rsidRPr="000B0A2C">
              <w:rPr>
                <w:b/>
              </w:rPr>
              <w:t>T</w:t>
            </w:r>
            <w:r w:rsidRPr="008F5843">
              <w:rPr>
                <w:b/>
                <w:lang w:val="ru-RU"/>
              </w:rPr>
              <w:t xml:space="preserve"> </w:t>
            </w:r>
            <w:r w:rsidRPr="000B0A2C">
              <w:rPr>
                <w:b/>
              </w:rPr>
              <w:t>Bulgaria</w:t>
            </w:r>
          </w:p>
        </w:tc>
      </w:tr>
      <w:tr w:rsidR="00BE6953" w14:paraId="2F8AF90E" w14:textId="77777777" w:rsidTr="001019F6">
        <w:tc>
          <w:tcPr>
            <w:tcW w:w="2127" w:type="dxa"/>
            <w:vMerge w:val="restart"/>
          </w:tcPr>
          <w:p w14:paraId="0F3AE0DE" w14:textId="77777777" w:rsidR="00BE6953" w:rsidRDefault="00BE6953" w:rsidP="005E43B8">
            <w:pPr>
              <w:spacing w:after="0" w:line="240" w:lineRule="auto"/>
            </w:pPr>
            <w:r w:rsidRPr="000B0A2C">
              <w:rPr>
                <w:b/>
                <w:lang w:val="bg-BG"/>
              </w:rPr>
              <w:t>Определение</w:t>
            </w:r>
          </w:p>
        </w:tc>
        <w:tc>
          <w:tcPr>
            <w:tcW w:w="3426" w:type="dxa"/>
            <w:shd w:val="clear" w:color="auto" w:fill="FF0000"/>
          </w:tcPr>
          <w:p w14:paraId="60D14E15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Конфиденциална</w:t>
            </w:r>
          </w:p>
        </w:tc>
        <w:tc>
          <w:tcPr>
            <w:tcW w:w="2669" w:type="dxa"/>
            <w:shd w:val="clear" w:color="auto" w:fill="B6DDE8" w:themeFill="accent5" w:themeFillTint="66"/>
          </w:tcPr>
          <w:p w14:paraId="58AD66A0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За служебно ползване</w:t>
            </w:r>
          </w:p>
        </w:tc>
        <w:tc>
          <w:tcPr>
            <w:tcW w:w="2552" w:type="dxa"/>
            <w:shd w:val="clear" w:color="auto" w:fill="FFFF00"/>
          </w:tcPr>
          <w:p w14:paraId="0F46F0A7" w14:textId="77777777" w:rsidR="00BE6953" w:rsidRDefault="00BE6953" w:rsidP="000B0A2C">
            <w:pPr>
              <w:spacing w:after="0" w:line="240" w:lineRule="auto"/>
              <w:jc w:val="center"/>
            </w:pPr>
            <w:r w:rsidRPr="000B0A2C">
              <w:rPr>
                <w:b/>
                <w:lang w:val="bg-BG"/>
              </w:rPr>
              <w:t>Общодостъпна</w:t>
            </w:r>
          </w:p>
        </w:tc>
      </w:tr>
      <w:tr w:rsidR="00BE6953" w:rsidRPr="008F5843" w14:paraId="3845B3DB" w14:textId="77777777" w:rsidTr="001019F6">
        <w:tc>
          <w:tcPr>
            <w:tcW w:w="2127" w:type="dxa"/>
            <w:vMerge/>
          </w:tcPr>
          <w:p w14:paraId="01816562" w14:textId="77777777" w:rsidR="00BE6953" w:rsidRPr="000B0A2C" w:rsidRDefault="00BE6953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3426" w:type="dxa"/>
          </w:tcPr>
          <w:p w14:paraId="5C1B052A" w14:textId="5A675519" w:rsidR="00BE6953" w:rsidRPr="00BE6953" w:rsidRDefault="00A02E9C" w:rsidP="00A02E9C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Това може да бъде информация, за която</w:t>
            </w:r>
            <w:r w:rsidRPr="00A02E9C">
              <w:rPr>
                <w:lang w:val="bg-BG"/>
              </w:rPr>
              <w:t xml:space="preserve"> съществува законово изискване да бъде опазвана</w:t>
            </w:r>
            <w:r>
              <w:rPr>
                <w:lang w:val="bg-BG"/>
              </w:rPr>
              <w:t>.</w:t>
            </w:r>
            <w:r w:rsidRPr="00A02E9C">
              <w:rPr>
                <w:lang w:val="bg-BG"/>
              </w:rPr>
              <w:t xml:space="preserve"> </w:t>
            </w:r>
            <w:r w:rsidR="00BE6953" w:rsidRPr="00BE6953">
              <w:rPr>
                <w:lang w:val="bg-BG"/>
              </w:rPr>
              <w:t xml:space="preserve">Информацията от тази категория </w:t>
            </w:r>
            <w:r w:rsidR="00BE6953">
              <w:rPr>
                <w:lang w:val="bg-BG"/>
              </w:rPr>
              <w:t>е извънредно ценна</w:t>
            </w:r>
            <w:r w:rsidR="00813413" w:rsidRPr="008F5843">
              <w:rPr>
                <w:lang w:val="ru-RU"/>
              </w:rPr>
              <w:t xml:space="preserve"> </w:t>
            </w:r>
            <w:r w:rsidR="00BE6953">
              <w:rPr>
                <w:lang w:val="bg-BG"/>
              </w:rPr>
              <w:t>и може да бъде оценена по-високо</w:t>
            </w:r>
            <w:r w:rsidR="00004C14">
              <w:rPr>
                <w:lang w:val="bg-BG"/>
              </w:rPr>
              <w:t xml:space="preserve"> от нейната нетна стойност или </w:t>
            </w:r>
            <w:r w:rsidR="00BE6953">
              <w:rPr>
                <w:lang w:val="bg-BG"/>
              </w:rPr>
              <w:t xml:space="preserve">очаквана в бъдещето нетна стойност, или пазарна цена. Нейната загуба, </w:t>
            </w:r>
            <w:bookmarkStart w:id="0" w:name="_GoBack"/>
            <w:bookmarkEnd w:id="0"/>
            <w:r w:rsidR="00004C14" w:rsidRPr="00004C14">
              <w:rPr>
                <w:color w:val="FF0000"/>
                <w:lang w:val="bg-BG"/>
              </w:rPr>
              <w:t>повреждане</w:t>
            </w:r>
            <w:r w:rsidR="00BE6953" w:rsidRPr="00004C14">
              <w:rPr>
                <w:color w:val="FF0000"/>
                <w:lang w:val="bg-BG"/>
              </w:rPr>
              <w:t xml:space="preserve"> </w:t>
            </w:r>
            <w:r w:rsidR="00BE6953" w:rsidRPr="00BE6953">
              <w:rPr>
                <w:color w:val="FF0000"/>
                <w:lang w:val="bg-BG"/>
              </w:rPr>
              <w:t>или разкриване</w:t>
            </w:r>
            <w:r w:rsidR="00BE6953">
              <w:rPr>
                <w:lang w:val="bg-BG"/>
              </w:rPr>
              <w:t xml:space="preserve">, може да има сериозно въздействие върху жизнеспособността на организацията. </w:t>
            </w:r>
          </w:p>
        </w:tc>
        <w:tc>
          <w:tcPr>
            <w:tcW w:w="2669" w:type="dxa"/>
          </w:tcPr>
          <w:p w14:paraId="13A20EAD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важна. Загубата, повреждането или разкриването й може да има сериозно и непосредствено въздействие върху доходността на бизнеса.</w:t>
            </w:r>
          </w:p>
        </w:tc>
        <w:tc>
          <w:tcPr>
            <w:tcW w:w="2552" w:type="dxa"/>
          </w:tcPr>
          <w:p w14:paraId="4B19CFCC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без реална икономическа стойност в бизнес процесите и може лесно да бъде подменена с минимални разходи.</w:t>
            </w:r>
          </w:p>
        </w:tc>
      </w:tr>
      <w:tr w:rsidR="000B0A2C" w14:paraId="6FE22829" w14:textId="77777777" w:rsidTr="001019F6">
        <w:tc>
          <w:tcPr>
            <w:tcW w:w="10774" w:type="dxa"/>
            <w:gridSpan w:val="4"/>
          </w:tcPr>
          <w:p w14:paraId="65119DDE" w14:textId="77777777" w:rsidR="000B0A2C" w:rsidRPr="000B0A2C" w:rsidRDefault="000B0A2C">
            <w:pPr>
              <w:spacing w:after="0" w:line="240" w:lineRule="auto"/>
              <w:rPr>
                <w:b/>
              </w:rPr>
            </w:pPr>
            <w:r w:rsidRPr="000B0A2C">
              <w:rPr>
                <w:b/>
                <w:lang w:val="bg-BG"/>
              </w:rPr>
              <w:t>Компоненти на информационната сигурност</w:t>
            </w:r>
          </w:p>
        </w:tc>
      </w:tr>
      <w:tr w:rsidR="000B0A2C" w:rsidRPr="008F5843" w14:paraId="2FD7DFFF" w14:textId="77777777" w:rsidTr="001019F6">
        <w:tc>
          <w:tcPr>
            <w:tcW w:w="2127" w:type="dxa"/>
          </w:tcPr>
          <w:p w14:paraId="522B96EB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Конфиденциалност</w:t>
            </w:r>
          </w:p>
        </w:tc>
        <w:tc>
          <w:tcPr>
            <w:tcW w:w="3426" w:type="dxa"/>
          </w:tcPr>
          <w:p w14:paraId="6D49901B" w14:textId="4938957F" w:rsidR="000B0A2C" w:rsidRPr="000B0A2C" w:rsidRDefault="00BE6953" w:rsidP="0081341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упълномощени от </w:t>
            </w:r>
            <w:r w:rsidR="00813413">
              <w:rPr>
                <w:lang w:val="bg-BG"/>
              </w:rPr>
              <w:t xml:space="preserve">Управителите </w:t>
            </w:r>
            <w:r w:rsidR="00B77509">
              <w:rPr>
                <w:lang w:val="bg-BG"/>
              </w:rPr>
              <w:t>служители.</w:t>
            </w:r>
          </w:p>
        </w:tc>
        <w:tc>
          <w:tcPr>
            <w:tcW w:w="2669" w:type="dxa"/>
          </w:tcPr>
          <w:p w14:paraId="3A2A5ABD" w14:textId="77777777" w:rsidR="000B0A2C" w:rsidRDefault="00BE6953" w:rsidP="00BE695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служители в </w:t>
            </w:r>
            <w:r>
              <w:t>S</w:t>
            </w:r>
            <w:r w:rsidRPr="008F5843">
              <w:rPr>
                <w:lang w:val="ru-RU"/>
              </w:rPr>
              <w:t>&amp;</w:t>
            </w:r>
            <w:r>
              <w:t>T</w:t>
            </w:r>
            <w:r>
              <w:rPr>
                <w:lang w:val="bg-BG"/>
              </w:rPr>
              <w:t xml:space="preserve"> от структурните звена и субектите, участващи в конкретния процес</w:t>
            </w:r>
            <w:r w:rsidR="00004C14">
              <w:rPr>
                <w:lang w:val="bg-BG"/>
              </w:rPr>
              <w:t>.</w:t>
            </w:r>
          </w:p>
          <w:p w14:paraId="05E7D31D" w14:textId="77777777" w:rsidR="00004C14" w:rsidRPr="00BE6953" w:rsidRDefault="00004C14" w:rsidP="00BE6953">
            <w:pPr>
              <w:spacing w:after="0" w:line="240" w:lineRule="auto"/>
              <w:jc w:val="both"/>
              <w:rPr>
                <w:lang w:val="bg-BG"/>
              </w:rPr>
            </w:pPr>
            <w:r w:rsidRPr="00004C14">
              <w:rPr>
                <w:color w:val="FF0000"/>
                <w:lang w:val="bg-BG"/>
              </w:rPr>
              <w:t>Спазва се принципът „необходимост да се знае“.</w:t>
            </w:r>
          </w:p>
        </w:tc>
        <w:tc>
          <w:tcPr>
            <w:tcW w:w="2552" w:type="dxa"/>
          </w:tcPr>
          <w:p w14:paraId="299AB9D5" w14:textId="77777777" w:rsidR="000B0A2C" w:rsidRPr="00BE6953" w:rsidRDefault="00BE6953" w:rsidP="00BE695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Може да се публикува в Интернет, брошури, съобщения за пресата</w:t>
            </w:r>
            <w:r w:rsidR="00B77509">
              <w:rPr>
                <w:lang w:val="bg-BG"/>
              </w:rPr>
              <w:t>.</w:t>
            </w:r>
          </w:p>
        </w:tc>
      </w:tr>
      <w:tr w:rsidR="000B0A2C" w:rsidRPr="008F5843" w14:paraId="12504199" w14:textId="77777777" w:rsidTr="001019F6">
        <w:tc>
          <w:tcPr>
            <w:tcW w:w="2127" w:type="dxa"/>
          </w:tcPr>
          <w:p w14:paraId="07B8F549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Цялостност</w:t>
            </w:r>
          </w:p>
        </w:tc>
        <w:tc>
          <w:tcPr>
            <w:tcW w:w="3426" w:type="dxa"/>
          </w:tcPr>
          <w:p w14:paraId="5DA6951C" w14:textId="77777777" w:rsidR="000B0A2C" w:rsidRPr="000B0A2C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Възможно е спиране на процеса и невъзможност да бъде възстановен или се създава риск за функциониране на процеса</w:t>
            </w:r>
            <w:r w:rsidR="00B77509">
              <w:rPr>
                <w:lang w:val="bg-BG"/>
              </w:rPr>
              <w:t>.</w:t>
            </w:r>
          </w:p>
        </w:tc>
        <w:tc>
          <w:tcPr>
            <w:tcW w:w="2669" w:type="dxa"/>
          </w:tcPr>
          <w:p w14:paraId="5AB337B9" w14:textId="77777777" w:rsidR="000B0A2C" w:rsidRPr="00BE6953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Изисква се време за възстановяване на информацията, но не създава риск за функционирането на процеса</w:t>
            </w:r>
          </w:p>
        </w:tc>
        <w:tc>
          <w:tcPr>
            <w:tcW w:w="2552" w:type="dxa"/>
          </w:tcPr>
          <w:p w14:paraId="286DAB45" w14:textId="77777777" w:rsidR="000B0A2C" w:rsidRPr="00BE6953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Няма последствия за процеса и може да се възстанови лесно.</w:t>
            </w:r>
          </w:p>
        </w:tc>
      </w:tr>
      <w:tr w:rsidR="000B0A2C" w:rsidRPr="008F5843" w14:paraId="7FC863A7" w14:textId="77777777" w:rsidTr="001019F6">
        <w:tc>
          <w:tcPr>
            <w:tcW w:w="2127" w:type="dxa"/>
          </w:tcPr>
          <w:p w14:paraId="2BF141A8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Достъпност</w:t>
            </w:r>
          </w:p>
        </w:tc>
        <w:tc>
          <w:tcPr>
            <w:tcW w:w="3426" w:type="dxa"/>
          </w:tcPr>
          <w:p w14:paraId="617090E9" w14:textId="4A6A0459" w:rsidR="000B0A2C" w:rsidRPr="000B0A2C" w:rsidRDefault="004D2511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категория, дори и за кратко време</w:t>
            </w:r>
            <w:r w:rsidR="00BB6EDC">
              <w:rPr>
                <w:lang w:val="bg-BG"/>
              </w:rPr>
              <w:t xml:space="preserve"> </w:t>
            </w:r>
            <w:r w:rsidR="00BB6EDC"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="00BB6EDC" w:rsidRPr="00BE6953">
              <w:rPr>
                <w:color w:val="FF0000"/>
                <w:lang w:val="bg-BG"/>
              </w:rPr>
              <w:t>/</w:t>
            </w:r>
            <w:r>
              <w:rPr>
                <w:lang w:val="bg-BG"/>
              </w:rPr>
              <w:t xml:space="preserve"> води до невъзможност за изпълнение на основен процес.</w:t>
            </w:r>
          </w:p>
        </w:tc>
        <w:tc>
          <w:tcPr>
            <w:tcW w:w="2669" w:type="dxa"/>
          </w:tcPr>
          <w:p w14:paraId="36743467" w14:textId="6BF7217E" w:rsidR="000B0A2C" w:rsidRPr="00234722" w:rsidRDefault="00BE6953" w:rsidP="00BB6EDC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Липсата на достъп до информация за по-продължително време </w:t>
            </w:r>
            <w:r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Pr="00BE6953">
              <w:rPr>
                <w:color w:val="FF0000"/>
                <w:lang w:val="bg-BG"/>
              </w:rPr>
              <w:t xml:space="preserve">/ не </w:t>
            </w:r>
            <w:r>
              <w:rPr>
                <w:lang w:val="bg-BG"/>
              </w:rPr>
              <w:t>води до прекъсване на изпълнението на основен процес</w:t>
            </w:r>
            <w:r w:rsidR="00234722">
              <w:rPr>
                <w:lang w:val="bg-BG"/>
              </w:rPr>
              <w:t>.</w:t>
            </w:r>
          </w:p>
        </w:tc>
        <w:tc>
          <w:tcPr>
            <w:tcW w:w="2552" w:type="dxa"/>
          </w:tcPr>
          <w:p w14:paraId="230B33A1" w14:textId="77777777" w:rsidR="000B0A2C" w:rsidRPr="00BE6953" w:rsidRDefault="00BE6953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 не оказва влияние на процесите.</w:t>
            </w:r>
          </w:p>
        </w:tc>
      </w:tr>
      <w:tr w:rsidR="000B0A2C" w:rsidRPr="008F5843" w14:paraId="2C76813A" w14:textId="77777777" w:rsidTr="001019F6">
        <w:tc>
          <w:tcPr>
            <w:tcW w:w="2127" w:type="dxa"/>
          </w:tcPr>
          <w:p w14:paraId="45A3F867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 xml:space="preserve">Последствия за </w:t>
            </w:r>
            <w:r w:rsidRPr="000B0A2C">
              <w:rPr>
                <w:b/>
              </w:rPr>
              <w:t>S&amp;T</w:t>
            </w:r>
          </w:p>
        </w:tc>
        <w:tc>
          <w:tcPr>
            <w:tcW w:w="3426" w:type="dxa"/>
          </w:tcPr>
          <w:p w14:paraId="3E7D4F46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 w:rsidRPr="000B0A2C">
              <w:rPr>
                <w:lang w:val="bg-BG"/>
              </w:rPr>
              <w:t xml:space="preserve">Води до </w:t>
            </w:r>
            <w:r>
              <w:rPr>
                <w:lang w:val="bg-BG"/>
              </w:rPr>
              <w:t>големи финансови последствия и загуба на имиджа на организацията /международен мащаб/</w:t>
            </w:r>
          </w:p>
        </w:tc>
        <w:tc>
          <w:tcPr>
            <w:tcW w:w="2669" w:type="dxa"/>
          </w:tcPr>
          <w:p w14:paraId="685711AF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Води до големи финансови последствия</w:t>
            </w:r>
          </w:p>
        </w:tc>
        <w:tc>
          <w:tcPr>
            <w:tcW w:w="2552" w:type="dxa"/>
          </w:tcPr>
          <w:p w14:paraId="6F4E5DEF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Няма последствия за имиджа на организацията</w:t>
            </w:r>
            <w:r w:rsidR="004D2511">
              <w:rPr>
                <w:lang w:val="bg-BG"/>
              </w:rPr>
              <w:t>.</w:t>
            </w:r>
          </w:p>
        </w:tc>
      </w:tr>
    </w:tbl>
    <w:p w14:paraId="59485B05" w14:textId="77777777" w:rsidR="001A4F24" w:rsidRPr="00B1494B" w:rsidRDefault="001A4F24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7218E" w14:textId="77777777" w:rsidR="00456697" w:rsidRDefault="00456697" w:rsidP="00B26FC3">
      <w:pPr>
        <w:spacing w:after="0" w:line="240" w:lineRule="auto"/>
      </w:pPr>
      <w:r>
        <w:separator/>
      </w:r>
    </w:p>
  </w:endnote>
  <w:endnote w:type="continuationSeparator" w:id="0">
    <w:p w14:paraId="0B549D41" w14:textId="77777777" w:rsidR="00456697" w:rsidRDefault="0045669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DDE1DD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9079B" w:rsidRPr="00336218" w14:paraId="1E2EFE36" w14:textId="77777777" w:rsidTr="00932837">
      <w:trPr>
        <w:jc w:val="center"/>
      </w:trPr>
      <w:tc>
        <w:tcPr>
          <w:tcW w:w="2970" w:type="dxa"/>
        </w:tcPr>
        <w:p w14:paraId="3D981849" w14:textId="2D9233BE" w:rsidR="0089079B" w:rsidRPr="007E5BBC" w:rsidRDefault="0089079B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</w:p>
      </w:tc>
      <w:tc>
        <w:tcPr>
          <w:tcW w:w="7095" w:type="dxa"/>
        </w:tcPr>
        <w:p w14:paraId="06B30E0F" w14:textId="075ACB04" w:rsidR="0089079B" w:rsidRPr="00336218" w:rsidRDefault="0089079B" w:rsidP="0089079B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23179E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6ECB9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4726D" w14:textId="77777777" w:rsidR="00456697" w:rsidRDefault="00456697" w:rsidP="00B26FC3">
      <w:pPr>
        <w:spacing w:after="0" w:line="240" w:lineRule="auto"/>
      </w:pPr>
      <w:r>
        <w:separator/>
      </w:r>
    </w:p>
  </w:footnote>
  <w:footnote w:type="continuationSeparator" w:id="0">
    <w:p w14:paraId="20C5527B" w14:textId="77777777" w:rsidR="00456697" w:rsidRDefault="0045669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22D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F584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03EC0F7" w14:textId="77777777" w:rsidR="007E5BBC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127DA3F1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56800D7" w14:textId="77777777" w:rsidR="00FD423E" w:rsidRPr="008F5843" w:rsidRDefault="007E5BB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НИСУ - </w:t>
          </w: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 6 - </w:t>
          </w:r>
          <w:r w:rsidRPr="007D1ADF">
            <w:rPr>
              <w:rFonts w:ascii="Arial" w:eastAsiaTheme="minorHAnsi" w:hAnsi="Arial" w:cs="Arial"/>
              <w:color w:val="0070C0"/>
              <w:lang w:val="bg-BG"/>
            </w:rPr>
            <w:t>Критерии за категоризация на активите</w:t>
          </w:r>
        </w:p>
      </w:tc>
      <w:tc>
        <w:tcPr>
          <w:tcW w:w="1191" w:type="pct"/>
          <w:vAlign w:val="center"/>
        </w:tcPr>
        <w:p w14:paraId="21F4F300" w14:textId="02376735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F584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F584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74790A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2831E" w14:textId="77777777" w:rsidR="00FD423E" w:rsidRPr="0089079B" w:rsidRDefault="008910C7" w:rsidP="00FD423E">
    <w:pPr>
      <w:pStyle w:val="Header"/>
      <w:ind w:left="-720" w:right="-432"/>
      <w:rPr>
        <w:noProof/>
        <w:lang w:val="bg-BG"/>
      </w:rPr>
    </w:pPr>
    <w:r w:rsidRPr="0089079B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89079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9079B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77777777" w:rsidR="00FD423E" w:rsidRPr="0089079B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CD14B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77777777" w:rsidR="007E5BBC" w:rsidRPr="0089079B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89079B">
            <w:rPr>
              <w:rFonts w:ascii="Arial" w:eastAsiaTheme="minorHAnsi" w:hAnsi="Arial" w:cs="Arial"/>
              <w:lang w:val="bg-BG"/>
            </w:rPr>
            <w:t>NISU</w:t>
          </w:r>
        </w:p>
        <w:p w14:paraId="7C0C8868" w14:textId="77777777" w:rsidR="00FD423E" w:rsidRPr="0089079B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124ACD34" w:rsidR="00FD423E" w:rsidRPr="0089079B" w:rsidRDefault="0089079B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89079B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7777777" w:rsidR="00FD423E" w:rsidRPr="0089079B" w:rsidRDefault="007E5BB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6824BFAA" w14:textId="25CF6B0A" w:rsidR="00FD423E" w:rsidRPr="0089079B" w:rsidRDefault="0089079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Вътреш</w:t>
          </w:r>
          <w:r w:rsidR="00FD423E" w:rsidRPr="0089079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9079B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77777777" w:rsidR="00FD423E" w:rsidRPr="0089079B" w:rsidRDefault="007E5BBC" w:rsidP="000B0A2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9079B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6 - Критерии за категоризация на </w:t>
          </w:r>
          <w:r w:rsidR="000B0A2C" w:rsidRPr="0089079B">
            <w:rPr>
              <w:rFonts w:ascii="Arial" w:eastAsiaTheme="minorHAnsi" w:hAnsi="Arial" w:cs="Arial"/>
              <w:color w:val="0070C0"/>
              <w:lang w:val="bg-BG"/>
            </w:rPr>
            <w:t>информацията</w:t>
          </w:r>
        </w:p>
      </w:tc>
      <w:tc>
        <w:tcPr>
          <w:tcW w:w="1191" w:type="pct"/>
          <w:vAlign w:val="center"/>
        </w:tcPr>
        <w:p w14:paraId="0127C2D3" w14:textId="371E6FFE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 xml:space="preserve">Стр.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PAGE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89079B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  <w:r w:rsidRPr="0089079B">
            <w:rPr>
              <w:rFonts w:ascii="Arial" w:hAnsi="Arial" w:cs="Arial"/>
              <w:lang w:val="bg-BG"/>
            </w:rPr>
            <w:t xml:space="preserve"> от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NUMPAGES 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89079B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89079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A2C"/>
    <w:rsid w:val="000B0C4F"/>
    <w:rsid w:val="000C49A1"/>
    <w:rsid w:val="000E782E"/>
    <w:rsid w:val="001019F6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14BB"/>
    <w:rsid w:val="003E220A"/>
    <w:rsid w:val="003E7B14"/>
    <w:rsid w:val="003F1722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45CCA"/>
    <w:rsid w:val="004538DA"/>
    <w:rsid w:val="00456697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079B"/>
    <w:rsid w:val="008910C7"/>
    <w:rsid w:val="00891AB1"/>
    <w:rsid w:val="008967D2"/>
    <w:rsid w:val="008A1D18"/>
    <w:rsid w:val="008A4ABF"/>
    <w:rsid w:val="008B462B"/>
    <w:rsid w:val="008D0EFC"/>
    <w:rsid w:val="008F1FEB"/>
    <w:rsid w:val="008F5843"/>
    <w:rsid w:val="008F685D"/>
    <w:rsid w:val="0091257F"/>
    <w:rsid w:val="0093028E"/>
    <w:rsid w:val="00935FBE"/>
    <w:rsid w:val="00936511"/>
    <w:rsid w:val="00942D81"/>
    <w:rsid w:val="00942E68"/>
    <w:rsid w:val="00946CDB"/>
    <w:rsid w:val="00950AD6"/>
    <w:rsid w:val="00961494"/>
    <w:rsid w:val="0096574E"/>
    <w:rsid w:val="009732F2"/>
    <w:rsid w:val="00977135"/>
    <w:rsid w:val="00987E42"/>
    <w:rsid w:val="009B3188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D668C13E-079E-4811-83BF-E231D6A8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4</cp:revision>
  <cp:lastPrinted>2015-08-14T09:27:00Z</cp:lastPrinted>
  <dcterms:created xsi:type="dcterms:W3CDTF">2020-09-13T12:12:00Z</dcterms:created>
  <dcterms:modified xsi:type="dcterms:W3CDTF">2020-09-13T12:46:00Z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