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3F56EB">
        <w:rPr>
          <w:b/>
        </w:rPr>
        <w:t xml:space="preserve">ПРЕДМЕТ </w:t>
      </w: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b/>
          <w:lang w:val="bg-BG"/>
        </w:rPr>
      </w:pPr>
      <w:r w:rsidRPr="003F56EB">
        <w:rPr>
          <w:rFonts w:ascii="Arial" w:hAnsi="Arial" w:cs="Arial"/>
          <w:lang w:val="bg-BG"/>
        </w:rPr>
        <w:t>Политиката за бюджетиране и отчетност има за цел да определи контролните механизми, целите и критичните компоненти на процеса по бюджетиране и счетоводна отчетност в</w:t>
      </w:r>
      <w:r w:rsidR="007C0D99">
        <w:rPr>
          <w:rFonts w:ascii="Arial" w:hAnsi="Arial" w:cs="Arial"/>
          <w:lang w:val="bg-BG"/>
        </w:rPr>
        <w:t>“С-ТРЪСТ ГРУП“ ЕООД</w:t>
      </w:r>
      <w:r w:rsidRPr="003F56EB">
        <w:rPr>
          <w:rFonts w:ascii="Arial" w:hAnsi="Arial" w:cs="Arial"/>
          <w:lang w:val="bg-BG"/>
        </w:rPr>
        <w:t xml:space="preserve">. Това включва входната и изходна информация на процеса, отговорностите на заинтересованите страни, подробности за измерване и отчитане на процеса, както и постоянни механизми за подобряване на процеса, в следствие на установени несъответствия в процеса на изпълнението му. </w:t>
      </w:r>
      <w:r w:rsidRPr="003F56EB">
        <w:rPr>
          <w:rFonts w:ascii="Arial" w:hAnsi="Arial" w:cs="Arial"/>
          <w:b/>
          <w:lang w:val="bg-BG"/>
        </w:rPr>
        <w:tab/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3F56EB">
        <w:rPr>
          <w:b/>
        </w:rPr>
        <w:t>ОБЛАСТ НА ПРИЛОЖЕНИЕ</w:t>
      </w: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Политиката за бюджетиране и отчетност се прилага в отделите ИТ - сервизни услуги, МЕД – медицински технологии при изпълнението на всички техни дейности, описани в RDU 01-01 Каталога на услугите на</w:t>
      </w:r>
      <w:r w:rsidR="007C0D99">
        <w:rPr>
          <w:rFonts w:ascii="Arial" w:hAnsi="Arial" w:cs="Arial"/>
          <w:lang w:val="bg-BG"/>
        </w:rPr>
        <w:t>“С-ТРЪСТ ГРУП“ ЕООД</w:t>
      </w:r>
      <w:r w:rsidRPr="003F56EB">
        <w:rPr>
          <w:rFonts w:ascii="Arial" w:hAnsi="Arial" w:cs="Arial"/>
          <w:lang w:val="bg-BG"/>
        </w:rPr>
        <w:t xml:space="preserve">. 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  <w:bCs/>
        </w:rPr>
      </w:pPr>
      <w:r w:rsidRPr="003F56EB">
        <w:rPr>
          <w:b/>
          <w:bCs/>
        </w:rPr>
        <w:t>ТЕРМИНИ, ОПРЕДЕЛЕНИЯ, ОЗНАЧЕНИЯ И СЪКРАЩЕНИЯ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b/>
          <w:lang w:val="bg-BG"/>
        </w:rPr>
        <w:t>Процес</w:t>
      </w:r>
      <w:r w:rsidRPr="003F56EB">
        <w:rPr>
          <w:rFonts w:ascii="Arial" w:hAnsi="Arial" w:cs="Arial"/>
          <w:lang w:val="bg-BG"/>
        </w:rPr>
        <w:t xml:space="preserve"> - една или няколко свързани помежду си процедури или операции (функции), които съвместно реализират определена бизнес задача и реализирането им води до конкретни резултати. Това е съвкупност от взаимосвързани и взаимодействащи видове дейности, преобразуващи входовете в изходи.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b/>
          <w:lang w:val="bg-BG"/>
        </w:rPr>
        <w:t>Ефективност</w:t>
      </w:r>
      <w:r w:rsidRPr="003F56EB">
        <w:rPr>
          <w:rFonts w:ascii="Arial" w:hAnsi="Arial" w:cs="Arial"/>
          <w:lang w:val="bg-BG"/>
        </w:rPr>
        <w:t xml:space="preserve"> - степента, до която се реализират планираните дейности и планираните резултати са постигнати.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b/>
          <w:lang w:val="bg-BG"/>
        </w:rPr>
        <w:t>Компонент на услугата</w:t>
      </w:r>
      <w:r w:rsidRPr="003F56EB">
        <w:rPr>
          <w:rFonts w:ascii="Arial" w:hAnsi="Arial" w:cs="Arial"/>
          <w:lang w:val="bg-BG"/>
        </w:rPr>
        <w:t xml:space="preserve"> – единичен елемент от услугата, който, когато се комбинира с други елементи води до предоставяне на цялата услуга.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i/>
          <w:lang w:val="bg-BG"/>
        </w:rPr>
      </w:pPr>
      <w:r w:rsidRPr="003F56EB">
        <w:rPr>
          <w:rFonts w:ascii="Arial" w:hAnsi="Arial" w:cs="Arial"/>
          <w:i/>
          <w:lang w:val="bg-BG"/>
        </w:rPr>
        <w:t>ПРИМЕРИ: хардуер, софтуер, инструменти, приложения, документи, информация, процеси или спомагателни услуги.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i/>
          <w:lang w:val="bg-BG"/>
        </w:rPr>
      </w:pPr>
      <w:r w:rsidRPr="003F56EB">
        <w:rPr>
          <w:rFonts w:ascii="Arial" w:hAnsi="Arial" w:cs="Arial"/>
          <w:i/>
          <w:lang w:val="bg-BG"/>
        </w:rPr>
        <w:t>ЗАБЕЛЕЖКА: Компонентът на услугата може да се състои от един или повече конфигурационни елементи.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3F56EB">
        <w:rPr>
          <w:b/>
        </w:rPr>
        <w:t>ОПИСАНИЕ НА ПОЛИТИКАТА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Основната цел на бюджетирането и счетоводната отчетност на услугите и компонентите на услугите е да се планират и отчитат активите (включително лицензите), ресурсите, капиталовите, оперативните и режийните разходи, услугите, предоставяни от външни страни, персонала, инфраструктурата, разпределението на преките и непреки разходи за всяка услуга, за целите на вземане на решения и ефективен финансов контрол.</w:t>
      </w:r>
    </w:p>
    <w:p w:rsidR="003F56EB" w:rsidRPr="003F56EB" w:rsidRDefault="003F56EB" w:rsidP="003F56EB">
      <w:pPr>
        <w:tabs>
          <w:tab w:val="num" w:pos="720"/>
        </w:tabs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Изходната информация от процеса по бюджетиране и счетоводна отчетност се използва от процеса по управление на промени, за да се оценят разходите на исканите промени или нови услуги и от процеса по управление на капацитета – за планиране на подобрения в инфраструктурата или закупуването на нови компоненти.</w:t>
      </w:r>
    </w:p>
    <w:p w:rsidR="003F56EB" w:rsidRPr="003F56EB" w:rsidRDefault="003F56EB" w:rsidP="003F56EB">
      <w:pPr>
        <w:spacing w:before="120"/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b/>
          <w:lang w:val="bg-BG"/>
        </w:rPr>
        <w:t>KPIs за управление на бюджетирането и отчетността са:</w:t>
      </w:r>
    </w:p>
    <w:p w:rsidR="003F56EB" w:rsidRPr="003F56EB" w:rsidRDefault="003F56EB" w:rsidP="003F56EB">
      <w:pPr>
        <w:widowControl w:val="0"/>
        <w:numPr>
          <w:ilvl w:val="0"/>
          <w:numId w:val="43"/>
        </w:numPr>
        <w:spacing w:after="0" w:line="240" w:lineRule="auto"/>
        <w:ind w:right="402"/>
        <w:jc w:val="both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Съответствие между планирани и реално извършени разходи за сервизната дейност – 80%&lt;реални/планирани&lt;120%.</w:t>
      </w:r>
    </w:p>
    <w:p w:rsidR="003F56EB" w:rsidRPr="003F56EB" w:rsidRDefault="003F56EB" w:rsidP="003F56EB">
      <w:pPr>
        <w:widowControl w:val="0"/>
        <w:numPr>
          <w:ilvl w:val="0"/>
          <w:numId w:val="43"/>
        </w:numPr>
        <w:spacing w:after="0" w:line="240" w:lineRule="auto"/>
        <w:ind w:right="402"/>
        <w:jc w:val="both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Разходи, които не са били предмет на бюджетиране – 0%</w:t>
      </w:r>
    </w:p>
    <w:p w:rsidR="003F56EB" w:rsidRPr="003F56EB" w:rsidRDefault="003F56EB" w:rsidP="003F56EB">
      <w:pPr>
        <w:ind w:right="402"/>
        <w:rPr>
          <w:lang w:val="bg-BG"/>
        </w:rPr>
      </w:pPr>
      <w:r w:rsidRPr="003F56EB">
        <w:rPr>
          <w:rFonts w:ascii="Arial" w:hAnsi="Arial" w:cs="Arial"/>
          <w:lang w:val="bg-BG"/>
        </w:rPr>
        <w:t>Показателите се изчисляват по видове разходи (пера).</w:t>
      </w:r>
    </w:p>
    <w:p w:rsidR="003F56EB" w:rsidRPr="003F56EB" w:rsidRDefault="003F56EB" w:rsidP="003F56EB">
      <w:pPr>
        <w:pStyle w:val="ListParagraph"/>
        <w:widowControl w:val="0"/>
        <w:numPr>
          <w:ilvl w:val="1"/>
          <w:numId w:val="42"/>
        </w:numPr>
        <w:tabs>
          <w:tab w:val="num" w:pos="720"/>
        </w:tabs>
        <w:spacing w:before="60" w:after="0" w:line="240" w:lineRule="auto"/>
        <w:ind w:right="402"/>
        <w:contextualSpacing/>
        <w:rPr>
          <w:b/>
        </w:rPr>
      </w:pPr>
      <w:r w:rsidRPr="003F56EB">
        <w:rPr>
          <w:b/>
        </w:rPr>
        <w:lastRenderedPageBreak/>
        <w:t>БЮДЖЕТИРАНЕ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</w:pPr>
      <w:r w:rsidRPr="003F56EB">
        <w:t>Финансовият мениджър на</w:t>
      </w:r>
      <w:r w:rsidR="007C0D99">
        <w:t>“С-ТРЪСТ ГРУП“ ЕООД</w:t>
      </w:r>
      <w:r w:rsidRPr="003F56EB">
        <w:t xml:space="preserve"> разработва годишен бюджет за дейността, който се одобрява от Управителя. Бъджетът се съгласува със собствениците и окончателно се утвърждава от тях. Бюджетът включва прогнозни приходи и разходи, като се взимат предвид и планираните промени в услугите. Бюджетирането подпомага ръководството да осигури разходите, които да покрият необходимите ресурси за изпълнение на договорите и да планира и внедри планираните промени и подобрения в услугите. 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  <w:rPr>
          <w:color w:val="000000"/>
          <w:sz w:val="20"/>
        </w:rPr>
      </w:pPr>
      <w:r w:rsidRPr="003F56EB">
        <w:t>Бюджетът включва планирани разходи, необходими за поддържане на минималното ниво на услугите и такива, необходими за възстановяване на услугата при евентуално прекъсване или загуба.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  <w:rPr>
          <w:b/>
        </w:rPr>
      </w:pPr>
      <w:r w:rsidRPr="003F56EB">
        <w:rPr>
          <w:b/>
        </w:rPr>
        <w:t>6.1.1</w:t>
      </w:r>
      <w:r w:rsidRPr="003F56EB">
        <w:rPr>
          <w:b/>
        </w:rPr>
        <w:tab/>
        <w:t xml:space="preserve">Елементи на бюджета 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</w:pPr>
      <w:r w:rsidRPr="003F56EB">
        <w:t>Бюджетът се разработва по видове разходи, както следва: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60" w:after="240" w:line="240" w:lineRule="auto"/>
        <w:ind w:right="402"/>
        <w:contextualSpacing/>
      </w:pPr>
      <w:r w:rsidRPr="003F56EB">
        <w:t>Personnel costs – заплати, бонуси, извънреден труд и осигуровки;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60" w:after="240" w:line="240" w:lineRule="auto"/>
        <w:ind w:right="402"/>
        <w:contextualSpacing/>
      </w:pPr>
      <w:r w:rsidRPr="003F56EB">
        <w:t>Depreciation – амортизация на ДА;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60" w:after="240" w:line="240" w:lineRule="auto"/>
        <w:ind w:right="402"/>
        <w:contextualSpacing/>
      </w:pPr>
      <w:r w:rsidRPr="003F56EB">
        <w:t>Car expenses – разходи за служебните коли;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right="402"/>
        <w:contextualSpacing/>
      </w:pPr>
      <w:r w:rsidRPr="003F56EB">
        <w:t>Rental/leasing expenses – разходи за наем и лизинг;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right="283"/>
        <w:contextualSpacing/>
      </w:pPr>
      <w:r w:rsidRPr="003F56EB">
        <w:t>Marketing – разходи за маркетинг;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right="283"/>
        <w:contextualSpacing/>
      </w:pPr>
      <w:r w:rsidRPr="003F56EB">
        <w:t>и др.</w:t>
      </w:r>
    </w:p>
    <w:p w:rsidR="003F56EB" w:rsidRPr="003F56EB" w:rsidRDefault="003F56EB" w:rsidP="003F56EB">
      <w:pPr>
        <w:ind w:right="283" w:firstLine="709"/>
        <w:rPr>
          <w:lang w:val="bg-BG"/>
        </w:rPr>
      </w:pPr>
      <w:r w:rsidRPr="003F56EB">
        <w:rPr>
          <w:rFonts w:ascii="Arial" w:hAnsi="Arial" w:cs="Arial"/>
          <w:lang w:val="bg-BG"/>
        </w:rPr>
        <w:t>Разходите се делят на преки и непреки. В преките разходи влизат заплати, извънреден труд, коли и други, които са директно свързани с предоствяне на услугите, а в непреките влизат наема, интернет и други, които не могат да бъдат директно свързани с предоставяне на услугите. Непреките разходи се разпределят на принципа на броят служители, които ползват офиса, интернет и т.н.</w:t>
      </w:r>
    </w:p>
    <w:p w:rsidR="003F56EB" w:rsidRPr="003F56EB" w:rsidRDefault="003F56EB" w:rsidP="003F56EB">
      <w:pPr>
        <w:ind w:right="402" w:firstLine="709"/>
        <w:rPr>
          <w:b/>
          <w:lang w:val="bg-BG"/>
        </w:rPr>
      </w:pPr>
      <w:r w:rsidRPr="003F56EB">
        <w:rPr>
          <w:rFonts w:ascii="Arial" w:hAnsi="Arial" w:cs="Arial"/>
          <w:b/>
          <w:lang w:val="bg-BG"/>
        </w:rPr>
        <w:t>6.1.2</w:t>
      </w:r>
      <w:r w:rsidRPr="003F56EB">
        <w:rPr>
          <w:rFonts w:ascii="Arial" w:hAnsi="Arial" w:cs="Arial"/>
          <w:b/>
          <w:lang w:val="bg-BG"/>
        </w:rPr>
        <w:tab/>
        <w:t>График на бюджета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</w:pPr>
      <w:r w:rsidRPr="003F56EB">
        <w:t xml:space="preserve">Бюджетът се изготвя веднъж годишно преди започване на съответната година, по график утвърден от собствениците. 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</w:pPr>
      <w:r w:rsidRPr="003F56EB">
        <w:t>Годишният бюджет представя информация за планираните приходи и разходи за всеки месец в рамките на една финансова година.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  <w:rPr>
          <w:b/>
        </w:rPr>
      </w:pPr>
      <w:r w:rsidRPr="003F56EB">
        <w:rPr>
          <w:b/>
        </w:rPr>
        <w:t>6.1.3 Бюджетиране по проекти</w:t>
      </w:r>
    </w:p>
    <w:p w:rsidR="003F56EB" w:rsidRPr="003F56EB" w:rsidRDefault="003F56EB" w:rsidP="003F56EB">
      <w:pPr>
        <w:pStyle w:val="ListParagraph"/>
        <w:ind w:right="402" w:firstLine="709"/>
      </w:pPr>
      <w:r w:rsidRPr="003F56EB">
        <w:t xml:space="preserve">Планиране на разходите за услуги се извършва за всеки проект и сключен договор и се документира от Key Account Manager, отговорен за сделката, подписва се от Project manager, и се одобрява от Финансовия Мениджър и Управителя в “BAT_Bid Approval Template”, съгласно </w:t>
      </w:r>
      <w:r w:rsidR="005436DB">
        <w:rPr>
          <w:lang w:val="en-US"/>
        </w:rPr>
        <w:t>RI</w:t>
      </w:r>
      <w:r w:rsidR="005436DB" w:rsidRPr="001C0B95">
        <w:t xml:space="preserve"> 10-04</w:t>
      </w:r>
      <w:r w:rsidRPr="003F56EB">
        <w:t xml:space="preserve"> Bid Approval and Project Controlling Policy.</w:t>
      </w:r>
    </w:p>
    <w:p w:rsidR="003F56EB" w:rsidRPr="003F56EB" w:rsidRDefault="003F56EB" w:rsidP="003F56EB">
      <w:pPr>
        <w:pStyle w:val="ListParagraph"/>
        <w:widowControl w:val="0"/>
        <w:numPr>
          <w:ilvl w:val="1"/>
          <w:numId w:val="42"/>
        </w:numPr>
        <w:tabs>
          <w:tab w:val="num" w:pos="720"/>
        </w:tabs>
        <w:spacing w:before="60" w:after="0" w:line="240" w:lineRule="auto"/>
        <w:ind w:right="402"/>
        <w:contextualSpacing/>
        <w:rPr>
          <w:b/>
        </w:rPr>
      </w:pPr>
      <w:r w:rsidRPr="003F56EB">
        <w:rPr>
          <w:b/>
        </w:rPr>
        <w:t>КАЛКУЛИРАНЕ НА РАЗХОДИТЕ ЗА УСЛУГИТЕ И КОМПОНЕНТИТЕ НА УСЛУГИТЕ</w:t>
      </w:r>
    </w:p>
    <w:p w:rsidR="003F56EB" w:rsidRPr="00B76AF5" w:rsidRDefault="003F56EB" w:rsidP="00B76AF5">
      <w:pPr>
        <w:ind w:right="402" w:firstLine="709"/>
        <w:rPr>
          <w:b/>
          <w:lang w:val="ru-RU"/>
        </w:rPr>
      </w:pPr>
      <w:r w:rsidRPr="003F56EB">
        <w:rPr>
          <w:rFonts w:ascii="Arial" w:hAnsi="Arial" w:cs="Arial"/>
          <w:lang w:val="bg-BG"/>
        </w:rPr>
        <w:t xml:space="preserve">Калкулирането на разходите за услугите и компонентите на услугите се извършва съгласно „Internal Cost Rates Calculation manual“, като се водят записи в „Cost Rates Calculation </w:t>
      </w:r>
      <w:r w:rsidRPr="003F56EB">
        <w:rPr>
          <w:rFonts w:ascii="Arial" w:hAnsi="Arial" w:cs="Arial"/>
          <w:lang w:val="bg-BG"/>
        </w:rPr>
        <w:lastRenderedPageBreak/>
        <w:t xml:space="preserve">Template“. Калкулираните по този начин ставки се използват за бюджетирането на услугите по т.6.1.3. </w:t>
      </w:r>
      <w:r w:rsidRPr="00B76AF5">
        <w:rPr>
          <w:lang w:val="ru-RU"/>
        </w:rPr>
        <w:t xml:space="preserve"> </w:t>
      </w:r>
    </w:p>
    <w:p w:rsidR="003F56EB" w:rsidRPr="003F56EB" w:rsidRDefault="003F56EB" w:rsidP="003F56EB">
      <w:pPr>
        <w:pStyle w:val="ListParagraph"/>
        <w:widowControl w:val="0"/>
        <w:numPr>
          <w:ilvl w:val="1"/>
          <w:numId w:val="42"/>
        </w:numPr>
        <w:tabs>
          <w:tab w:val="num" w:pos="720"/>
        </w:tabs>
        <w:spacing w:before="60" w:after="0" w:line="240" w:lineRule="auto"/>
        <w:ind w:right="402"/>
        <w:contextualSpacing/>
        <w:rPr>
          <w:b/>
        </w:rPr>
      </w:pPr>
      <w:r w:rsidRPr="003F56EB">
        <w:rPr>
          <w:b/>
        </w:rPr>
        <w:t>СЧЕТОВОДНО ОТЧИТАНЕ НА УСЛУГИТЕ</w:t>
      </w:r>
    </w:p>
    <w:p w:rsidR="003F56EB" w:rsidRPr="003F56EB" w:rsidRDefault="003F56EB" w:rsidP="003F56EB">
      <w:pPr>
        <w:pStyle w:val="ListParagraph"/>
        <w:ind w:right="402" w:firstLine="792"/>
      </w:pPr>
      <w:r w:rsidRPr="003F56EB">
        <w:t>Счетоводното отчитане на услугите в</w:t>
      </w:r>
      <w:r w:rsidR="007C0D99">
        <w:t>“С-ТРЪСТ ГРУП“ ЕООД</w:t>
      </w:r>
      <w:r w:rsidRPr="003F56EB">
        <w:t xml:space="preserve"> се извършва съгласно действащите Закон за счетоводството и Националните стандарти за финансови отчети за малки и средни предприятия и за целите на собствениците – по Международните счетоводни стандарти.</w:t>
      </w:r>
    </w:p>
    <w:p w:rsidR="003F56EB" w:rsidRPr="003F56EB" w:rsidRDefault="003F56EB" w:rsidP="003F56EB">
      <w:pPr>
        <w:pStyle w:val="ListParagraph"/>
        <w:ind w:right="402" w:firstLine="792"/>
      </w:pPr>
      <w:r w:rsidRPr="003F56EB">
        <w:t>Прилага се утвърдената от Управителя „Счетоводна политика“, приложение към годишния финансов отчет на Дружеството.</w:t>
      </w:r>
    </w:p>
    <w:p w:rsidR="003F56EB" w:rsidRPr="003F56EB" w:rsidRDefault="003F56EB" w:rsidP="003F56EB">
      <w:pPr>
        <w:pStyle w:val="ListParagraph"/>
        <w:ind w:right="402" w:firstLine="792"/>
      </w:pPr>
      <w:r w:rsidRPr="003F56EB">
        <w:t xml:space="preserve">Счетоводните дейности се използват за проследяване на разходите и сравняването им с планираните такива, което предоставя информация на Финансовия мениджър и му позволява ефективна съпоставимост на планираните към реалните разходи. </w:t>
      </w:r>
    </w:p>
    <w:p w:rsidR="003F56EB" w:rsidRPr="003F56EB" w:rsidRDefault="003F56EB" w:rsidP="003F56EB">
      <w:pPr>
        <w:pStyle w:val="ListParagraph"/>
        <w:ind w:right="402" w:firstLine="792"/>
      </w:pPr>
      <w:r w:rsidRPr="003F56EB">
        <w:t>Използваният модел на калкулиране предоставя информация за всички разходи, направени за доставените на клиентите услуги и компоненти на услуги и позволява да се вземат решения за предоставянето на нови и променени услуги.</w:t>
      </w:r>
    </w:p>
    <w:p w:rsidR="003F56EB" w:rsidRPr="003F56EB" w:rsidRDefault="003F56EB" w:rsidP="003F56EB">
      <w:pPr>
        <w:pStyle w:val="ListParagraph"/>
        <w:widowControl w:val="0"/>
        <w:numPr>
          <w:ilvl w:val="1"/>
          <w:numId w:val="42"/>
        </w:numPr>
        <w:tabs>
          <w:tab w:val="num" w:pos="720"/>
        </w:tabs>
        <w:spacing w:before="60" w:after="0" w:line="240" w:lineRule="auto"/>
        <w:ind w:right="402"/>
        <w:contextualSpacing/>
        <w:rPr>
          <w:b/>
        </w:rPr>
      </w:pPr>
      <w:r w:rsidRPr="003F56EB">
        <w:rPr>
          <w:b/>
        </w:rPr>
        <w:t>ИЗМЕРВАНЕ, АНАЛИЗ И ПОДОБРЯВАНЕ</w:t>
      </w:r>
    </w:p>
    <w:p w:rsidR="003F56EB" w:rsidRPr="003F56EB" w:rsidRDefault="003F56EB" w:rsidP="003F56EB">
      <w:pPr>
        <w:pStyle w:val="ListParagraph"/>
        <w:ind w:right="402" w:firstLine="709"/>
      </w:pPr>
      <w:r w:rsidRPr="003F56EB">
        <w:t xml:space="preserve">Всяко тримесечие, Финансовият мениджър на Дружеството извършва измерване на действително направените разходи спрямо планираните, заложени в бюджета за съответния период. Измерването се документира като част от финансовите отчети, и се представя от Финансовия Мениджър на Управителя.  </w:t>
      </w:r>
    </w:p>
    <w:p w:rsidR="003F56EB" w:rsidRPr="003F56EB" w:rsidRDefault="003F56EB" w:rsidP="003F56EB">
      <w:pPr>
        <w:pStyle w:val="ListParagraph"/>
        <w:autoSpaceDE w:val="0"/>
        <w:autoSpaceDN w:val="0"/>
        <w:adjustRightInd w:val="0"/>
        <w:spacing w:after="240"/>
        <w:ind w:right="402" w:firstLine="709"/>
        <w:rPr>
          <w:color w:val="000000"/>
          <w:sz w:val="20"/>
        </w:rPr>
      </w:pPr>
      <w:r w:rsidRPr="003F56EB">
        <w:t>Финансовите отчети включват направените разходи под и над планираното ниво, разходите, необходими за поддържане на минималното ниво на услугите и такива, необходими за възстановяване на услугата при евентуално прекъсване или загуба. Отчитат се и показателите (KPIs), съгласно т.6 от настоящата политика.</w:t>
      </w:r>
    </w:p>
    <w:p w:rsidR="003F56EB" w:rsidRPr="003F56EB" w:rsidRDefault="003F56EB" w:rsidP="003F56EB">
      <w:pPr>
        <w:pStyle w:val="ListParagraph"/>
        <w:ind w:right="402" w:firstLine="709"/>
      </w:pPr>
      <w:r w:rsidRPr="003F56EB">
        <w:t>При наличие на надвишаване на реалните разходи спрямо планираните с повече от 20%, и след установяване на тенденция в надвишаване на разходите, се предприемат стъпки в намаляване на разходите, за да не се застраши рамката на бюджета. В случай, че отклонението е в следствие на увеличено предлагане на услуги, то на база на отчета се прави равносметка дали има и съответно увеличение на приходи, което да компенсира увеличението на разходите.</w:t>
      </w:r>
    </w:p>
    <w:p w:rsidR="003F56EB" w:rsidRPr="003F56EB" w:rsidRDefault="003F56EB" w:rsidP="003F56EB">
      <w:pPr>
        <w:pStyle w:val="ListParagraph"/>
        <w:ind w:right="402" w:firstLine="709"/>
      </w:pPr>
      <w:r w:rsidRPr="003F56EB">
        <w:t>При наличие на намаление на реалните разходи спрямо планираните с повече от 20%, се предприемат стъпки за анализ на метода за бюджетиране, с цел недопускане на тенденция за значително увеличаване на планираните разходи при бюджетирането за следващия период. В случай, че отклонението е в следствие на намалено предлагане на услуги, се извършва анализ на тенденцията, като информацията се взема предвид при бюджетирането за следващия период.</w:t>
      </w:r>
    </w:p>
    <w:p w:rsidR="003F56EB" w:rsidRPr="003F56EB" w:rsidRDefault="003F56EB" w:rsidP="003F56EB">
      <w:pPr>
        <w:spacing w:before="120"/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b/>
          <w:lang w:val="bg-BG"/>
        </w:rPr>
        <w:t xml:space="preserve">Входна и изходна информация </w:t>
      </w: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Входна информация за процеса по бюджетиране и счетоводна отчетност се осигурява от: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 xml:space="preserve">Целите, правилата и графика, които се залагат от собствениците за съответната </w:t>
      </w:r>
      <w:r w:rsidRPr="003F56EB">
        <w:lastRenderedPageBreak/>
        <w:t>година;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Информация от Key Account Manager, които прогнозират продажбите на услугите и съответния капацитет, който ще им бъде нужен за реализирането на продажбите;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Информация за съществуващите договори за услуги, които ще продължат според клаузите на договора да бъдат изпълнявани през бюджетирания период;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Процесът по разработване и въвеждане на нови или променени услуги – информация за бюджета и времева рамка за въвеждане на променена или нова услуга;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Процесът по управление нивото на услугите – Каталогът на услугите е основа за избор на модел за калкулиране на разходите;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Процесът по разработване и въвеждане на нови или променени услуги – информация за бюджета и времева рамка за въвеждане на променена или нова услуга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Процесът по управление на доставчиците – информация за променени разходи за продукти/услуги, предоставяни от доставчиците;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4"/>
        </w:numPr>
        <w:tabs>
          <w:tab w:val="num" w:pos="720"/>
        </w:tabs>
        <w:spacing w:before="60" w:after="0" w:line="240" w:lineRule="auto"/>
        <w:ind w:left="0" w:right="402" w:firstLine="900"/>
        <w:contextualSpacing/>
      </w:pPr>
      <w:r w:rsidRPr="003F56EB">
        <w:t>Процесът по управление на конфигурациите – информация за конфигурационните елементи;</w:t>
      </w: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Изходна информация от процеса по бюджетиране и счетоводна отчетност се осигурява на: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5"/>
        </w:numPr>
        <w:tabs>
          <w:tab w:val="num" w:pos="720"/>
        </w:tabs>
        <w:spacing w:before="60" w:after="0" w:line="240" w:lineRule="auto"/>
        <w:ind w:right="402"/>
        <w:contextualSpacing/>
      </w:pPr>
      <w:r w:rsidRPr="003F56EB">
        <w:t>Процеса по управление на капацитета – информация за планираните приходи и разходи, подобрения в инфраструктурата или закупуването на нови компоненти;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5"/>
        </w:numPr>
        <w:tabs>
          <w:tab w:val="num" w:pos="720"/>
        </w:tabs>
        <w:spacing w:before="60" w:after="0" w:line="240" w:lineRule="auto"/>
        <w:ind w:right="402"/>
        <w:contextualSpacing/>
      </w:pPr>
      <w:r w:rsidRPr="003F56EB">
        <w:t>Процеса по управление на промени – финансово одобрение, където е необходимо, при въвеждане на промени в услугите.</w:t>
      </w:r>
    </w:p>
    <w:p w:rsidR="00067829" w:rsidRPr="003F56EB" w:rsidRDefault="00067829" w:rsidP="003F56EB">
      <w:pPr>
        <w:ind w:right="402"/>
        <w:rPr>
          <w:rFonts w:ascii="Arial" w:hAnsi="Arial" w:cs="Arial"/>
          <w:szCs w:val="24"/>
          <w:lang w:val="bg-BG"/>
        </w:rPr>
      </w:pPr>
    </w:p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  <w:bCs/>
        </w:rPr>
      </w:pPr>
      <w:r w:rsidRPr="003F56EB">
        <w:rPr>
          <w:b/>
        </w:rPr>
        <w:t>ОТГОВОРНОСТИ И ПЪЛНОМОЩИЯ</w:t>
      </w:r>
    </w:p>
    <w:p w:rsidR="003F56EB" w:rsidRPr="003F56EB" w:rsidRDefault="003F56EB" w:rsidP="003F56EB">
      <w:pPr>
        <w:pStyle w:val="ListParagraph"/>
        <w:widowControl w:val="0"/>
        <w:spacing w:after="0" w:line="240" w:lineRule="auto"/>
        <w:ind w:left="1080" w:right="402"/>
        <w:contextualSpacing/>
        <w:rPr>
          <w:b/>
          <w:bCs/>
        </w:rPr>
      </w:pP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b/>
          <w:lang w:val="bg-BG"/>
        </w:rPr>
      </w:pPr>
      <w:r w:rsidRPr="003F56EB">
        <w:rPr>
          <w:rFonts w:ascii="Arial" w:hAnsi="Arial" w:cs="Arial"/>
          <w:b/>
          <w:lang w:val="bg-BG"/>
        </w:rPr>
        <w:t>Управител: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8"/>
        </w:numPr>
        <w:tabs>
          <w:tab w:val="num" w:pos="142"/>
        </w:tabs>
        <w:spacing w:after="0" w:line="240" w:lineRule="auto"/>
        <w:ind w:left="0" w:right="402" w:firstLine="540"/>
        <w:contextualSpacing/>
      </w:pPr>
      <w:r w:rsidRPr="003F56EB">
        <w:t>Одобрява Годишния бюджет на</w:t>
      </w:r>
      <w:r w:rsidR="007C0D99">
        <w:t>“С-ТРЪСТ ГРУП“ ЕООД</w:t>
      </w:r>
      <w:r w:rsidRPr="003F56EB">
        <w:t>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8"/>
        </w:numPr>
        <w:tabs>
          <w:tab w:val="num" w:pos="142"/>
        </w:tabs>
        <w:spacing w:after="0" w:line="240" w:lineRule="auto"/>
        <w:ind w:left="0" w:right="402" w:firstLine="540"/>
        <w:contextualSpacing/>
      </w:pPr>
      <w:r w:rsidRPr="003F56EB">
        <w:t>Одобрява предложените от Финансовия мениджър последващи действия при евентуално превишаване на планираните разходи в Дружеството;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8"/>
        </w:numPr>
        <w:tabs>
          <w:tab w:val="num" w:pos="142"/>
        </w:tabs>
        <w:spacing w:after="0" w:line="240" w:lineRule="auto"/>
        <w:ind w:left="0" w:right="402" w:firstLine="540"/>
        <w:contextualSpacing/>
      </w:pPr>
      <w:r w:rsidRPr="003F56EB">
        <w:t>Одобрява разработените от Key Account Manager “BAT_Bid Approval Template” за проект/договор.</w:t>
      </w: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lang w:val="bg-BG"/>
        </w:rPr>
      </w:pP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b/>
          <w:lang w:val="bg-BG"/>
        </w:rPr>
      </w:pPr>
      <w:r w:rsidRPr="003F56EB">
        <w:rPr>
          <w:rFonts w:ascii="Arial" w:hAnsi="Arial" w:cs="Arial"/>
          <w:b/>
          <w:lang w:val="bg-BG"/>
        </w:rPr>
        <w:t>Финансов мениджър: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0"/>
        </w:tabs>
        <w:spacing w:after="0" w:line="240" w:lineRule="auto"/>
        <w:ind w:left="0" w:right="402" w:firstLine="540"/>
        <w:contextualSpacing/>
      </w:pPr>
      <w:r w:rsidRPr="003F56EB">
        <w:t>Разработва годишен бюджет на</w:t>
      </w:r>
      <w:r w:rsidR="007C0D99">
        <w:t>“С-ТРЪСТ ГРУП“ ЕООД</w:t>
      </w:r>
      <w:r w:rsidRPr="003F56EB">
        <w:t>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0"/>
        </w:tabs>
        <w:spacing w:after="0" w:line="240" w:lineRule="auto"/>
        <w:ind w:left="0" w:right="402" w:firstLine="540"/>
        <w:contextualSpacing/>
      </w:pPr>
      <w:r w:rsidRPr="003F56EB">
        <w:t>Одобрява разработените от Key Account Manager “BAT_Bid Approval Template” за проект/договор;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0"/>
        </w:tabs>
        <w:spacing w:after="0" w:line="240" w:lineRule="auto"/>
        <w:ind w:left="0" w:right="402" w:firstLine="540"/>
        <w:contextualSpacing/>
      </w:pPr>
      <w:r w:rsidRPr="003F56EB">
        <w:t xml:space="preserve">Контролира счетоводното отчитане в </w:t>
      </w:r>
      <w:r w:rsidR="007C0D99">
        <w:t>"С-ТРЪСТ ГРУП" ЕООД</w:t>
      </w:r>
      <w:r w:rsidRPr="003F56EB">
        <w:t>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0"/>
        </w:tabs>
        <w:spacing w:after="0" w:line="240" w:lineRule="auto"/>
        <w:ind w:left="0" w:right="402" w:firstLine="540"/>
        <w:contextualSpacing/>
      </w:pPr>
      <w:r w:rsidRPr="003F56EB">
        <w:t>Изготвя финансови отчети за направените разходи за тримесечие;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0"/>
        </w:tabs>
        <w:spacing w:after="0" w:line="240" w:lineRule="auto"/>
        <w:ind w:left="0" w:right="402" w:firstLine="540"/>
        <w:contextualSpacing/>
      </w:pPr>
      <w:r w:rsidRPr="003F56EB">
        <w:t>Определя последващи действия при евентуално превишаване на планираните разходи в Дружеството;</w:t>
      </w:r>
    </w:p>
    <w:p w:rsidR="003F56EB" w:rsidRPr="003F56EB" w:rsidRDefault="003F56EB" w:rsidP="003F56EB">
      <w:pPr>
        <w:pStyle w:val="ListParagraph"/>
        <w:tabs>
          <w:tab w:val="num" w:pos="720"/>
        </w:tabs>
        <w:ind w:left="900" w:right="402"/>
      </w:pPr>
    </w:p>
    <w:p w:rsidR="003F56EB" w:rsidRPr="003F56EB" w:rsidRDefault="003F56EB" w:rsidP="003F56EB">
      <w:pPr>
        <w:tabs>
          <w:tab w:val="num" w:pos="720"/>
        </w:tabs>
        <w:ind w:right="402" w:firstLine="540"/>
        <w:rPr>
          <w:rFonts w:ascii="Arial" w:hAnsi="Arial" w:cs="Arial"/>
          <w:b/>
          <w:lang w:val="bg-BG"/>
        </w:rPr>
      </w:pPr>
      <w:r w:rsidRPr="003F56EB">
        <w:rPr>
          <w:rFonts w:ascii="Arial" w:hAnsi="Arial" w:cs="Arial"/>
          <w:b/>
          <w:lang w:val="bg-BG"/>
        </w:rPr>
        <w:t>Key Account Manager: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7"/>
        </w:numPr>
        <w:tabs>
          <w:tab w:val="num" w:pos="720"/>
        </w:tabs>
        <w:spacing w:after="0" w:line="240" w:lineRule="auto"/>
        <w:ind w:left="0" w:right="402" w:firstLine="540"/>
        <w:contextualSpacing/>
      </w:pPr>
      <w:r w:rsidRPr="003F56EB">
        <w:t>Планира разходите за услуги в рамките на проект и сключен договор, води записи в “BAT_Bid Approval Template” и го представя на Финансовия мениджър и на Управителя за одобрение.</w:t>
      </w:r>
    </w:p>
    <w:p w:rsidR="003F56EB" w:rsidRPr="003F56EB" w:rsidRDefault="003F56EB" w:rsidP="003F56EB">
      <w:pPr>
        <w:pStyle w:val="ListParagraph"/>
        <w:widowControl w:val="0"/>
        <w:numPr>
          <w:ilvl w:val="0"/>
          <w:numId w:val="42"/>
        </w:numPr>
        <w:tabs>
          <w:tab w:val="clear" w:pos="1080"/>
          <w:tab w:val="num" w:pos="851"/>
        </w:tabs>
        <w:spacing w:after="0" w:line="240" w:lineRule="auto"/>
        <w:ind w:right="402" w:hanging="513"/>
        <w:contextualSpacing/>
        <w:rPr>
          <w:b/>
        </w:rPr>
      </w:pPr>
      <w:r w:rsidRPr="003F56EB">
        <w:rPr>
          <w:b/>
        </w:rPr>
        <w:lastRenderedPageBreak/>
        <w:t xml:space="preserve"> ПОЗОВАВАНИЯ И СВЪРЗАНИ ДОКУМЕНТИ</w:t>
      </w:r>
    </w:p>
    <w:p w:rsidR="003F56EB" w:rsidRPr="003F56EB" w:rsidRDefault="003F56EB" w:rsidP="0093589E">
      <w:pPr>
        <w:spacing w:after="0" w:line="240" w:lineRule="auto"/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Годишен бюджет</w:t>
      </w:r>
    </w:p>
    <w:p w:rsidR="003F56EB" w:rsidRPr="0093589E" w:rsidRDefault="003F56EB" w:rsidP="0093589E">
      <w:pPr>
        <w:spacing w:after="0" w:line="240" w:lineRule="auto"/>
        <w:ind w:right="402" w:firstLine="567"/>
        <w:rPr>
          <w:rFonts w:ascii="Arial" w:hAnsi="Arial" w:cs="Arial"/>
        </w:rPr>
      </w:pPr>
      <w:r w:rsidRPr="003F56EB">
        <w:rPr>
          <w:rFonts w:ascii="Arial" w:hAnsi="Arial" w:cs="Arial"/>
          <w:lang w:val="bg-BG"/>
        </w:rPr>
        <w:t>Финансов отчет</w:t>
      </w:r>
    </w:p>
    <w:p w:rsidR="003F56EB" w:rsidRPr="003F56EB" w:rsidRDefault="003F56EB" w:rsidP="0093589E">
      <w:pPr>
        <w:tabs>
          <w:tab w:val="num" w:pos="720"/>
        </w:tabs>
        <w:spacing w:after="0" w:line="240" w:lineRule="auto"/>
        <w:ind w:right="402" w:firstLine="540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Счетоводна политика</w:t>
      </w:r>
    </w:p>
    <w:p w:rsidR="003F56EB" w:rsidRPr="003F56EB" w:rsidRDefault="003F56EB" w:rsidP="0093589E">
      <w:pPr>
        <w:tabs>
          <w:tab w:val="num" w:pos="720"/>
        </w:tabs>
        <w:spacing w:after="0" w:line="240" w:lineRule="auto"/>
        <w:ind w:right="402" w:firstLine="540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 xml:space="preserve">Internal Cost Rates Calculation </w:t>
      </w:r>
    </w:p>
    <w:p w:rsidR="003F56EB" w:rsidRPr="003F56EB" w:rsidRDefault="005436DB" w:rsidP="0093589E">
      <w:pPr>
        <w:tabs>
          <w:tab w:val="num" w:pos="720"/>
        </w:tabs>
        <w:spacing w:after="0" w:line="240" w:lineRule="auto"/>
        <w:ind w:right="402" w:firstLine="540"/>
        <w:rPr>
          <w:rFonts w:ascii="Arial" w:hAnsi="Arial" w:cs="Arial"/>
          <w:lang w:val="bg-BG"/>
        </w:rPr>
      </w:pPr>
      <w:r>
        <w:rPr>
          <w:rFonts w:ascii="Arial" w:hAnsi="Arial" w:cs="Arial"/>
        </w:rPr>
        <w:t>RI 10-04</w:t>
      </w:r>
      <w:r w:rsidR="003F56EB" w:rsidRPr="003F56EB">
        <w:rPr>
          <w:rFonts w:ascii="Arial" w:hAnsi="Arial" w:cs="Arial"/>
          <w:lang w:val="bg-BG"/>
        </w:rPr>
        <w:t xml:space="preserve"> Bid Approval and Project Controlling Policy</w:t>
      </w:r>
    </w:p>
    <w:p w:rsidR="003F56EB" w:rsidRPr="003F56EB" w:rsidRDefault="003F56EB" w:rsidP="0093589E">
      <w:pPr>
        <w:spacing w:after="0" w:line="240" w:lineRule="auto"/>
        <w:ind w:right="402" w:firstLine="567"/>
        <w:rPr>
          <w:rFonts w:ascii="Arial" w:hAnsi="Arial" w:cs="Arial"/>
          <w:lang w:val="bg-BG"/>
        </w:rPr>
      </w:pPr>
      <w:r w:rsidRPr="003F56EB">
        <w:rPr>
          <w:rFonts w:ascii="Arial" w:hAnsi="Arial" w:cs="Arial"/>
          <w:lang w:val="bg-BG"/>
        </w:rPr>
        <w:t>BAT approval sheet</w:t>
      </w:r>
    </w:p>
    <w:p w:rsidR="001A4F24" w:rsidRPr="003F56EB" w:rsidRDefault="001A4F24" w:rsidP="00B76AF5">
      <w:pPr>
        <w:spacing w:after="0" w:line="240" w:lineRule="auto"/>
        <w:rPr>
          <w:rFonts w:ascii="Arial" w:hAnsi="Arial" w:cs="Arial"/>
          <w:lang w:val="bg-BG"/>
        </w:rPr>
      </w:pPr>
    </w:p>
    <w:sectPr w:rsidR="001A4F24" w:rsidRPr="003F56EB" w:rsidSect="00EB68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263F" w:rsidRDefault="00D9263F" w:rsidP="00B26FC3">
      <w:pPr>
        <w:spacing w:after="0" w:line="240" w:lineRule="auto"/>
      </w:pPr>
      <w:r>
        <w:separator/>
      </w:r>
    </w:p>
  </w:endnote>
  <w:endnote w:type="continuationSeparator" w:id="0">
    <w:p w:rsidR="00D9263F" w:rsidRDefault="00D9263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0D99" w:rsidRDefault="007C0D9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8E969E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  <w:p w:rsidR="00283B4C" w:rsidRDefault="00283B4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76AF5" w:rsidRPr="00336218" w:rsidTr="00D247DA">
      <w:trPr>
        <w:jc w:val="center"/>
      </w:trPr>
      <w:tc>
        <w:tcPr>
          <w:tcW w:w="2970" w:type="dxa"/>
        </w:tcPr>
        <w:p w:rsidR="00B76AF5" w:rsidRPr="00FD423E" w:rsidRDefault="00B76AF5" w:rsidP="00B76AF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B76AF5" w:rsidRPr="007C0D99" w:rsidRDefault="007C0D99" w:rsidP="007C0D99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  <w:bookmarkStart w:id="0" w:name="_GoBack"/>
          <w:bookmarkEnd w:id="0"/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026F143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9493FD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263F" w:rsidRDefault="00D9263F" w:rsidP="00B26FC3">
      <w:pPr>
        <w:spacing w:after="0" w:line="240" w:lineRule="auto"/>
      </w:pPr>
      <w:r>
        <w:separator/>
      </w:r>
    </w:p>
  </w:footnote>
  <w:footnote w:type="continuationSeparator" w:id="0">
    <w:p w:rsidR="00D9263F" w:rsidRDefault="00D9263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0D99" w:rsidRDefault="007C0D9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B76AF5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B76AF5">
      <w:rPr>
        <w:noProof/>
        <w:lang w:val="bg-BG" w:eastAsia="bg-BG"/>
      </w:rPr>
      <w:drawing>
        <wp:inline distT="0" distB="0" distL="0" distR="0" wp14:anchorId="01BD8A19" wp14:editId="5F6789EB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76AF5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76AF5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B76AF5" w:rsidRDefault="007C0D9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B76AF5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 xml:space="preserve">PUU </w:t>
          </w:r>
          <w:r w:rsidR="003F56EB" w:rsidRPr="00B76AF5">
            <w:rPr>
              <w:rFonts w:ascii="Arial" w:hAnsi="Arial" w:cs="Arial"/>
              <w:lang w:val="bg-BG"/>
            </w:rPr>
            <w:t>02</w:t>
          </w:r>
        </w:p>
        <w:p w:rsidR="00FD423E" w:rsidRPr="00B76AF5" w:rsidRDefault="00B76AF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Вътреш</w:t>
          </w:r>
          <w:r w:rsidR="00FD423E" w:rsidRPr="00B76AF5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76AF5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76AF5" w:rsidRDefault="003F56E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76AF5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БЮДЖЕТИРАНЕ И СЧЕТОВОДНО ОТЧИТАНЕ</w:t>
          </w:r>
        </w:p>
      </w:tc>
      <w:tc>
        <w:tcPr>
          <w:tcW w:w="1191" w:type="pct"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 xml:space="preserve">Стр. </w:t>
          </w:r>
          <w:r w:rsidRPr="00B76AF5">
            <w:rPr>
              <w:rFonts w:ascii="Arial" w:hAnsi="Arial" w:cs="Arial"/>
              <w:lang w:val="bg-BG"/>
            </w:rPr>
            <w:fldChar w:fldCharType="begin"/>
          </w:r>
          <w:r w:rsidRPr="00B76AF5">
            <w:rPr>
              <w:rFonts w:ascii="Arial" w:hAnsi="Arial" w:cs="Arial"/>
              <w:lang w:val="bg-BG"/>
            </w:rPr>
            <w:instrText xml:space="preserve"> PAGE </w:instrText>
          </w:r>
          <w:r w:rsidRPr="00B76AF5">
            <w:rPr>
              <w:rFonts w:ascii="Arial" w:hAnsi="Arial" w:cs="Arial"/>
              <w:lang w:val="bg-BG"/>
            </w:rPr>
            <w:fldChar w:fldCharType="separate"/>
          </w:r>
          <w:r w:rsidR="007C0D99">
            <w:rPr>
              <w:rFonts w:ascii="Arial" w:hAnsi="Arial" w:cs="Arial"/>
              <w:noProof/>
              <w:lang w:val="bg-BG"/>
            </w:rPr>
            <w:t>5</w:t>
          </w:r>
          <w:r w:rsidRPr="00B76AF5">
            <w:rPr>
              <w:rFonts w:ascii="Arial" w:hAnsi="Arial" w:cs="Arial"/>
              <w:lang w:val="bg-BG"/>
            </w:rPr>
            <w:fldChar w:fldCharType="end"/>
          </w:r>
          <w:r w:rsidRPr="00B76AF5">
            <w:rPr>
              <w:rFonts w:ascii="Arial" w:hAnsi="Arial" w:cs="Arial"/>
              <w:lang w:val="bg-BG"/>
            </w:rPr>
            <w:t xml:space="preserve"> от </w:t>
          </w:r>
          <w:r w:rsidRPr="00B76AF5">
            <w:rPr>
              <w:rFonts w:ascii="Arial" w:hAnsi="Arial" w:cs="Arial"/>
              <w:lang w:val="bg-BG"/>
            </w:rPr>
            <w:fldChar w:fldCharType="begin"/>
          </w:r>
          <w:r w:rsidRPr="00B76AF5">
            <w:rPr>
              <w:rFonts w:ascii="Arial" w:hAnsi="Arial" w:cs="Arial"/>
              <w:lang w:val="bg-BG"/>
            </w:rPr>
            <w:instrText xml:space="preserve"> NUMPAGES  </w:instrText>
          </w:r>
          <w:r w:rsidRPr="00B76AF5">
            <w:rPr>
              <w:rFonts w:ascii="Arial" w:hAnsi="Arial" w:cs="Arial"/>
              <w:lang w:val="bg-BG"/>
            </w:rPr>
            <w:fldChar w:fldCharType="separate"/>
          </w:r>
          <w:r w:rsidR="007C0D99">
            <w:rPr>
              <w:rFonts w:ascii="Arial" w:hAnsi="Arial" w:cs="Arial"/>
              <w:noProof/>
              <w:lang w:val="bg-BG"/>
            </w:rPr>
            <w:t>5</w:t>
          </w:r>
          <w:r w:rsidRPr="00B76AF5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283B4C" w:rsidRPr="00B76AF5" w:rsidRDefault="00283B4C">
    <w:pPr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B76AF5" w:rsidRDefault="008910C7" w:rsidP="00FD423E">
    <w:pPr>
      <w:pStyle w:val="Header"/>
      <w:ind w:left="-720" w:right="-432"/>
      <w:rPr>
        <w:noProof/>
        <w:lang w:val="bg-BG"/>
      </w:rPr>
    </w:pPr>
    <w:r w:rsidRPr="00B76AF5">
      <w:rPr>
        <w:noProof/>
        <w:lang w:val="bg-BG" w:eastAsia="bg-BG"/>
      </w:rPr>
      <w:drawing>
        <wp:inline distT="0" distB="0" distL="0" distR="0" wp14:anchorId="76DA8577" wp14:editId="383F170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76AF5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76AF5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7C0D99" w:rsidRDefault="007C0D99" w:rsidP="00FD423E">
          <w:pPr>
            <w:spacing w:before="60" w:after="0" w:line="240" w:lineRule="auto"/>
            <w:jc w:val="center"/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PU</w:t>
          </w:r>
          <w:r w:rsidR="008759A0" w:rsidRPr="00B76AF5">
            <w:rPr>
              <w:rFonts w:ascii="Arial" w:hAnsi="Arial" w:cs="Arial"/>
              <w:lang w:val="bg-BG"/>
            </w:rPr>
            <w:t xml:space="preserve">U </w:t>
          </w:r>
          <w:r w:rsidR="003F56EB" w:rsidRPr="00B76AF5">
            <w:rPr>
              <w:rFonts w:ascii="Arial" w:hAnsi="Arial" w:cs="Arial"/>
              <w:lang w:val="bg-BG"/>
            </w:rPr>
            <w:t>02</w:t>
          </w:r>
        </w:p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B76AF5" w:rsidRDefault="007C0D99" w:rsidP="00B76AF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8759A0" w:rsidRPr="00B76AF5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B76AF5" w:rsidTr="007E3727">
      <w:tc>
        <w:tcPr>
          <w:tcW w:w="1037" w:type="pct"/>
          <w:vMerge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76AF5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B76AF5" w:rsidRDefault="00B76AF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>Вътреш</w:t>
          </w:r>
          <w:r w:rsidR="00FD423E" w:rsidRPr="00B76AF5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76AF5" w:rsidTr="007E3727">
      <w:tc>
        <w:tcPr>
          <w:tcW w:w="1037" w:type="pct"/>
          <w:vMerge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76AF5" w:rsidRDefault="003F56E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76AF5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БЮДЖЕТИРАНЕ И СЧЕТОВОДНО ОТЧИТАНЕ</w:t>
          </w:r>
        </w:p>
      </w:tc>
      <w:tc>
        <w:tcPr>
          <w:tcW w:w="1191" w:type="pct"/>
          <w:vAlign w:val="center"/>
        </w:tcPr>
        <w:p w:rsidR="00FD423E" w:rsidRPr="00B76AF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76AF5">
            <w:rPr>
              <w:rFonts w:ascii="Arial" w:hAnsi="Arial" w:cs="Arial"/>
              <w:lang w:val="bg-BG"/>
            </w:rPr>
            <w:t xml:space="preserve">Стр. </w:t>
          </w:r>
          <w:r w:rsidRPr="00B76AF5">
            <w:rPr>
              <w:rFonts w:ascii="Arial" w:hAnsi="Arial" w:cs="Arial"/>
              <w:lang w:val="bg-BG"/>
            </w:rPr>
            <w:fldChar w:fldCharType="begin"/>
          </w:r>
          <w:r w:rsidRPr="00B76AF5">
            <w:rPr>
              <w:rFonts w:ascii="Arial" w:hAnsi="Arial" w:cs="Arial"/>
              <w:lang w:val="bg-BG"/>
            </w:rPr>
            <w:instrText xml:space="preserve"> PAGE </w:instrText>
          </w:r>
          <w:r w:rsidRPr="00B76AF5">
            <w:rPr>
              <w:rFonts w:ascii="Arial" w:hAnsi="Arial" w:cs="Arial"/>
              <w:lang w:val="bg-BG"/>
            </w:rPr>
            <w:fldChar w:fldCharType="separate"/>
          </w:r>
          <w:r w:rsidR="007C0D99">
            <w:rPr>
              <w:rFonts w:ascii="Arial" w:hAnsi="Arial" w:cs="Arial"/>
              <w:noProof/>
              <w:lang w:val="bg-BG"/>
            </w:rPr>
            <w:t>1</w:t>
          </w:r>
          <w:r w:rsidRPr="00B76AF5">
            <w:rPr>
              <w:rFonts w:ascii="Arial" w:hAnsi="Arial" w:cs="Arial"/>
              <w:lang w:val="bg-BG"/>
            </w:rPr>
            <w:fldChar w:fldCharType="end"/>
          </w:r>
          <w:r w:rsidRPr="00B76AF5">
            <w:rPr>
              <w:rFonts w:ascii="Arial" w:hAnsi="Arial" w:cs="Arial"/>
              <w:lang w:val="bg-BG"/>
            </w:rPr>
            <w:t xml:space="preserve"> от </w:t>
          </w:r>
          <w:r w:rsidRPr="00B76AF5">
            <w:rPr>
              <w:rFonts w:ascii="Arial" w:hAnsi="Arial" w:cs="Arial"/>
              <w:lang w:val="bg-BG"/>
            </w:rPr>
            <w:fldChar w:fldCharType="begin"/>
          </w:r>
          <w:r w:rsidRPr="00B76AF5">
            <w:rPr>
              <w:rFonts w:ascii="Arial" w:hAnsi="Arial" w:cs="Arial"/>
              <w:lang w:val="bg-BG"/>
            </w:rPr>
            <w:instrText xml:space="preserve"> NUMPAGES  </w:instrText>
          </w:r>
          <w:r w:rsidRPr="00B76AF5">
            <w:rPr>
              <w:rFonts w:ascii="Arial" w:hAnsi="Arial" w:cs="Arial"/>
              <w:lang w:val="bg-BG"/>
            </w:rPr>
            <w:fldChar w:fldCharType="separate"/>
          </w:r>
          <w:r w:rsidR="007C0D99">
            <w:rPr>
              <w:rFonts w:ascii="Arial" w:hAnsi="Arial" w:cs="Arial"/>
              <w:noProof/>
              <w:lang w:val="bg-BG"/>
            </w:rPr>
            <w:t>5</w:t>
          </w:r>
          <w:r w:rsidRPr="00B76AF5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B76AF5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0F6138BB"/>
    <w:multiLevelType w:val="hybridMultilevel"/>
    <w:tmpl w:val="959853EA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11EC2E79"/>
    <w:multiLevelType w:val="hybridMultilevel"/>
    <w:tmpl w:val="3C6432B0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>
    <w:nsid w:val="12073814"/>
    <w:multiLevelType w:val="hybridMultilevel"/>
    <w:tmpl w:val="0ADAB16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17E447C0"/>
    <w:multiLevelType w:val="hybridMultilevel"/>
    <w:tmpl w:val="CAD4E49E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8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>
    <w:nsid w:val="2A2B6645"/>
    <w:multiLevelType w:val="hybridMultilevel"/>
    <w:tmpl w:val="4C8E7C20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>
    <w:nsid w:val="35177B5A"/>
    <w:multiLevelType w:val="hybridMultilevel"/>
    <w:tmpl w:val="018000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>
    <w:nsid w:val="414D5AC3"/>
    <w:multiLevelType w:val="hybridMultilevel"/>
    <w:tmpl w:val="A93AB012"/>
    <w:lvl w:ilvl="0" w:tplc="AB440262">
      <w:start w:val="6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>
    <w:nsid w:val="441C15A5"/>
    <w:multiLevelType w:val="hybridMultilevel"/>
    <w:tmpl w:val="3BBAA676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>
    <w:nsid w:val="67CA04D9"/>
    <w:multiLevelType w:val="hybridMultilevel"/>
    <w:tmpl w:val="2290375E"/>
    <w:lvl w:ilvl="0" w:tplc="204A0B06">
      <w:numFmt w:val="bullet"/>
      <w:lvlText w:val="•"/>
      <w:lvlJc w:val="left"/>
      <w:pPr>
        <w:ind w:left="2883" w:hanging="756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>
    <w:nsid w:val="7130091C"/>
    <w:multiLevelType w:val="hybridMultilevel"/>
    <w:tmpl w:val="00CC00AE"/>
    <w:lvl w:ilvl="0" w:tplc="B90EE6E2">
      <w:start w:val="6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>
    <w:nsid w:val="75451968"/>
    <w:multiLevelType w:val="hybridMultilevel"/>
    <w:tmpl w:val="ACF0022A"/>
    <w:lvl w:ilvl="0" w:tplc="EDA435DC">
      <w:start w:val="1"/>
      <w:numFmt w:val="lowerLetter"/>
      <w:lvlText w:val="%1)"/>
      <w:lvlJc w:val="left"/>
      <w:pPr>
        <w:ind w:left="3580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>
    <w:nsid w:val="76A84A4E"/>
    <w:multiLevelType w:val="hybridMultilevel"/>
    <w:tmpl w:val="73422BB0"/>
    <w:lvl w:ilvl="0" w:tplc="EDA435DC">
      <w:start w:val="1"/>
      <w:numFmt w:val="lowerLetter"/>
      <w:lvlText w:val="%1)"/>
      <w:lvlJc w:val="left"/>
      <w:pPr>
        <w:ind w:left="2162" w:hanging="7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>
    <w:nsid w:val="7E222B3A"/>
    <w:multiLevelType w:val="hybridMultilevel"/>
    <w:tmpl w:val="F864D290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>
    <w:nsid w:val="7ECF1435"/>
    <w:multiLevelType w:val="hybridMultilevel"/>
    <w:tmpl w:val="C050702A"/>
    <w:lvl w:ilvl="0" w:tplc="34367854">
      <w:start w:val="4"/>
      <w:numFmt w:val="bullet"/>
      <w:lvlText w:val="-"/>
      <w:lvlJc w:val="left"/>
      <w:pPr>
        <w:ind w:left="2162" w:hanging="744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6"/>
  </w:num>
  <w:num w:numId="5">
    <w:abstractNumId w:val="21"/>
  </w:num>
  <w:num w:numId="6">
    <w:abstractNumId w:val="27"/>
  </w:num>
  <w:num w:numId="7">
    <w:abstractNumId w:val="10"/>
  </w:num>
  <w:num w:numId="8">
    <w:abstractNumId w:val="12"/>
  </w:num>
  <w:num w:numId="9">
    <w:abstractNumId w:val="23"/>
  </w:num>
  <w:num w:numId="10">
    <w:abstractNumId w:val="12"/>
  </w:num>
  <w:num w:numId="11">
    <w:abstractNumId w:val="12"/>
  </w:num>
  <w:num w:numId="12">
    <w:abstractNumId w:val="22"/>
  </w:num>
  <w:num w:numId="13">
    <w:abstractNumId w:val="12"/>
  </w:num>
  <w:num w:numId="14">
    <w:abstractNumId w:val="12"/>
  </w:num>
  <w:num w:numId="15">
    <w:abstractNumId w:val="8"/>
  </w:num>
  <w:num w:numId="16">
    <w:abstractNumId w:val="25"/>
  </w:num>
  <w:num w:numId="17">
    <w:abstractNumId w:val="17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0"/>
  </w:num>
  <w:num w:numId="27">
    <w:abstractNumId w:val="11"/>
  </w:num>
  <w:num w:numId="28">
    <w:abstractNumId w:val="19"/>
  </w:num>
  <w:num w:numId="29">
    <w:abstractNumId w:val="12"/>
  </w:num>
  <w:num w:numId="30">
    <w:abstractNumId w:val="15"/>
  </w:num>
  <w:num w:numId="31">
    <w:abstractNumId w:val="1"/>
  </w:num>
  <w:num w:numId="32">
    <w:abstractNumId w:val="12"/>
  </w:num>
  <w:num w:numId="33">
    <w:abstractNumId w:val="12"/>
  </w:num>
  <w:num w:numId="34">
    <w:abstractNumId w:val="20"/>
  </w:num>
  <w:num w:numId="35">
    <w:abstractNumId w:val="24"/>
  </w:num>
  <w:num w:numId="36">
    <w:abstractNumId w:val="6"/>
  </w:num>
  <w:num w:numId="37">
    <w:abstractNumId w:val="3"/>
  </w:num>
  <w:num w:numId="38">
    <w:abstractNumId w:val="28"/>
  </w:num>
  <w:num w:numId="39">
    <w:abstractNumId w:val="29"/>
  </w:num>
  <w:num w:numId="40">
    <w:abstractNumId w:val="30"/>
  </w:num>
  <w:num w:numId="41">
    <w:abstractNumId w:val="31"/>
  </w:num>
  <w:num w:numId="42">
    <w:abstractNumId w:val="7"/>
  </w:num>
  <w:num w:numId="43">
    <w:abstractNumId w:val="14"/>
  </w:num>
  <w:num w:numId="44">
    <w:abstractNumId w:val="9"/>
  </w:num>
  <w:num w:numId="45">
    <w:abstractNumId w:val="4"/>
  </w:num>
  <w:num w:numId="46">
    <w:abstractNumId w:val="5"/>
  </w:num>
  <w:num w:numId="47">
    <w:abstractNumId w:val="26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65837"/>
    <w:rsid w:val="00067829"/>
    <w:rsid w:val="0007215F"/>
    <w:rsid w:val="00076AF8"/>
    <w:rsid w:val="0007799B"/>
    <w:rsid w:val="0008255D"/>
    <w:rsid w:val="0009210D"/>
    <w:rsid w:val="000B0C4F"/>
    <w:rsid w:val="000C49A1"/>
    <w:rsid w:val="000C678D"/>
    <w:rsid w:val="000E782E"/>
    <w:rsid w:val="00111371"/>
    <w:rsid w:val="00115544"/>
    <w:rsid w:val="00123650"/>
    <w:rsid w:val="00124F51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0B95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6EB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36DB"/>
    <w:rsid w:val="005579CB"/>
    <w:rsid w:val="0057736F"/>
    <w:rsid w:val="00582253"/>
    <w:rsid w:val="00595864"/>
    <w:rsid w:val="005A5BA8"/>
    <w:rsid w:val="005A608F"/>
    <w:rsid w:val="005B3E93"/>
    <w:rsid w:val="005B5984"/>
    <w:rsid w:val="005C1D44"/>
    <w:rsid w:val="005D3F6C"/>
    <w:rsid w:val="005D628C"/>
    <w:rsid w:val="00602640"/>
    <w:rsid w:val="006047F5"/>
    <w:rsid w:val="0062381E"/>
    <w:rsid w:val="0063022A"/>
    <w:rsid w:val="006308B0"/>
    <w:rsid w:val="0063202A"/>
    <w:rsid w:val="0064440A"/>
    <w:rsid w:val="00667313"/>
    <w:rsid w:val="00694714"/>
    <w:rsid w:val="006A24E1"/>
    <w:rsid w:val="006B2B55"/>
    <w:rsid w:val="006B5A0E"/>
    <w:rsid w:val="006B787F"/>
    <w:rsid w:val="006B7E31"/>
    <w:rsid w:val="006E4AFB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C0D99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F1FEB"/>
    <w:rsid w:val="008F2EF2"/>
    <w:rsid w:val="008F685D"/>
    <w:rsid w:val="0091257F"/>
    <w:rsid w:val="0093028E"/>
    <w:rsid w:val="0093589E"/>
    <w:rsid w:val="00935FBE"/>
    <w:rsid w:val="00936511"/>
    <w:rsid w:val="0094154B"/>
    <w:rsid w:val="00942D81"/>
    <w:rsid w:val="00942E68"/>
    <w:rsid w:val="00961494"/>
    <w:rsid w:val="0096574E"/>
    <w:rsid w:val="009732F2"/>
    <w:rsid w:val="00977135"/>
    <w:rsid w:val="00987E42"/>
    <w:rsid w:val="009B3188"/>
    <w:rsid w:val="009B3DA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5171"/>
    <w:rsid w:val="00B46D1A"/>
    <w:rsid w:val="00B6361A"/>
    <w:rsid w:val="00B67A15"/>
    <w:rsid w:val="00B754B6"/>
    <w:rsid w:val="00B75C1C"/>
    <w:rsid w:val="00B76AF5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63F"/>
    <w:rsid w:val="00D9280F"/>
    <w:rsid w:val="00D9285A"/>
    <w:rsid w:val="00D9404F"/>
    <w:rsid w:val="00DA2DDF"/>
    <w:rsid w:val="00DB6495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45C01"/>
    <w:rsid w:val="00E52CED"/>
    <w:rsid w:val="00E552E4"/>
    <w:rsid w:val="00E70F55"/>
    <w:rsid w:val="00E83757"/>
    <w:rsid w:val="00E93423"/>
    <w:rsid w:val="00E94C86"/>
    <w:rsid w:val="00EA54F3"/>
    <w:rsid w:val="00EB5486"/>
    <w:rsid w:val="00EB6859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E97C9583-2241-46BD-9E93-FB7978EC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5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по бюджетиране и отчетност</vt:lpstr>
    </vt:vector>
  </TitlesOfParts>
  <Company>suis</Company>
  <LinksUpToDate>false</LinksUpToDate>
  <CharactersWithSpaces>9710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по бюджетиране и отчетност</dc:title>
  <dc:subject/>
  <dc:creator>HEIC Alexander Atanassov</dc:creator>
  <cp:keywords/>
  <dc:description/>
  <cp:lastModifiedBy>Microsoft account</cp:lastModifiedBy>
  <cp:revision>4</cp:revision>
  <cp:lastPrinted>2015-08-14T13:05:00Z</cp:lastPrinted>
  <dcterms:created xsi:type="dcterms:W3CDTF">2020-09-22T08:33:00Z</dcterms:created>
  <dcterms:modified xsi:type="dcterms:W3CDTF">2022-06-06T14:17:00Z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