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9A0" w:rsidRPr="00887ED3" w:rsidRDefault="008759A0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1.</w:t>
      </w:r>
      <w:r w:rsidRPr="00887ED3">
        <w:rPr>
          <w:b/>
          <w:bCs/>
        </w:rPr>
        <w:tab/>
        <w:t>ПРЕДМЕТ</w:t>
      </w:r>
    </w:p>
    <w:p w:rsidR="008759A0" w:rsidRPr="00CF1C7D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6F6472">
        <w:rPr>
          <w:rFonts w:ascii="Arial" w:hAnsi="Arial" w:cs="Arial"/>
          <w:lang w:val="bg-BG"/>
        </w:rPr>
        <w:t>Политиката за управление на капацитета има за цел да определи контролните механизми, целите и критичните компоненти на процеса по управление на капацитета в</w:t>
      </w:r>
      <w:r w:rsidR="002F71CE">
        <w:rPr>
          <w:rFonts w:ascii="Arial" w:hAnsi="Arial" w:cs="Arial"/>
          <w:lang w:val="bg-BG"/>
        </w:rPr>
        <w:t>“С-ТРЪСТ ГРУП“ ЕООД</w:t>
      </w:r>
      <w:r w:rsidRPr="006F6472">
        <w:rPr>
          <w:rFonts w:ascii="Arial" w:hAnsi="Arial" w:cs="Arial"/>
          <w:lang w:val="bg-BG"/>
        </w:rPr>
        <w:t>. Това включва входната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процеса, в следствие на установени несъответствия в процеса на изпълнението му. Настоящата политика се прилага при внедряване и поддържане на процеса по управление на промените в отделите на</w:t>
      </w:r>
      <w:r w:rsidR="002F71CE">
        <w:rPr>
          <w:rFonts w:ascii="Arial" w:hAnsi="Arial" w:cs="Arial"/>
          <w:lang w:val="bg-BG"/>
        </w:rPr>
        <w:t>“С-ТРЪСТ ГРУП“ ЕООД</w:t>
      </w:r>
      <w:r w:rsidRPr="006F6472">
        <w:rPr>
          <w:rFonts w:ascii="Arial" w:hAnsi="Arial" w:cs="Arial"/>
          <w:lang w:val="bg-BG"/>
        </w:rPr>
        <w:t>.</w:t>
      </w:r>
    </w:p>
    <w:p w:rsidR="00887ED3" w:rsidRPr="00CF1C7D" w:rsidRDefault="00887ED3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ab/>
      </w:r>
    </w:p>
    <w:p w:rsidR="008759A0" w:rsidRPr="00887ED3" w:rsidRDefault="008759A0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2.</w:t>
      </w:r>
      <w:r w:rsidRPr="00887ED3">
        <w:rPr>
          <w:b/>
          <w:bCs/>
        </w:rPr>
        <w:tab/>
        <w:t>ОБЛАСТ НА ПРИЛОЖЕНИЕ</w:t>
      </w:r>
    </w:p>
    <w:p w:rsidR="008759A0" w:rsidRPr="00CF1C7D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6F6472">
        <w:rPr>
          <w:rFonts w:ascii="Arial" w:hAnsi="Arial" w:cs="Arial"/>
          <w:lang w:val="bg-BG"/>
        </w:rPr>
        <w:t>Политиката за управление на капацитета се прилага в отделите ИТ - сервизни услуги, МЕД – медицински технологии при изпълнението на всички техни дейности, описани в RDU 01-02 Каталога на услугите на</w:t>
      </w:r>
      <w:r w:rsidR="002F71CE">
        <w:rPr>
          <w:rFonts w:ascii="Arial" w:hAnsi="Arial" w:cs="Arial"/>
          <w:lang w:val="bg-BG"/>
        </w:rPr>
        <w:t>“С-ТРЪСТ ГРУП“ ЕООД</w:t>
      </w:r>
      <w:r w:rsidRPr="006F6472">
        <w:rPr>
          <w:rFonts w:ascii="Arial" w:hAnsi="Arial" w:cs="Arial"/>
          <w:lang w:val="bg-BG"/>
        </w:rPr>
        <w:t>. Процесът на управление на капацитета определя функционирането на част от отделите на ИТ - сервизни услуги и МЕД – медицински технологии, наблюдението и анализа на капацитета на своите платформи и изискванията към плана на бъдещите потребности от капацитет.</w:t>
      </w:r>
    </w:p>
    <w:p w:rsidR="00887ED3" w:rsidRPr="00CF1C7D" w:rsidRDefault="00887ED3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8759A0" w:rsidRPr="00887ED3" w:rsidRDefault="00713B15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3</w:t>
      </w:r>
      <w:r w:rsidR="008759A0" w:rsidRPr="00887ED3">
        <w:rPr>
          <w:b/>
          <w:bCs/>
        </w:rPr>
        <w:t>.</w:t>
      </w:r>
      <w:r w:rsidR="008759A0" w:rsidRPr="00887ED3">
        <w:rPr>
          <w:b/>
          <w:bCs/>
        </w:rPr>
        <w:tab/>
        <w:t>ТЕРМИНИ, ОПРЕДЕЛЕНИЯ, ОЗНАЧЕНИЯ И СЪКРАЩЕНИЯ</w:t>
      </w:r>
    </w:p>
    <w:p w:rsidR="00EB6859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 xml:space="preserve">Capacitiy Management 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Управление на капацитетите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ru-RU"/>
        </w:rPr>
      </w:pPr>
    </w:p>
    <w:p w:rsidR="00EB6859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 xml:space="preserve">Процес 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Съвкупност от взаимосвързани или взаимодействащи дейности, които превръщат входните елементи в изходни.</w:t>
      </w:r>
    </w:p>
    <w:p w:rsidR="008759A0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CF1C7D" w:rsidRDefault="00CF1C7D" w:rsidP="00CF1C7D">
      <w:pPr>
        <w:spacing w:after="0" w:line="240" w:lineRule="auto"/>
        <w:ind w:left="792" w:firstLine="626"/>
        <w:rPr>
          <w:rFonts w:ascii="Arial" w:hAnsi="Arial" w:cs="Arial"/>
          <w:lang w:val="bg-BG"/>
        </w:rPr>
      </w:pPr>
      <w:r w:rsidRPr="00CF1C7D">
        <w:rPr>
          <w:rFonts w:ascii="Arial" w:hAnsi="Arial" w:cs="Arial"/>
          <w:b/>
          <w:lang w:val="bg-BG"/>
        </w:rPr>
        <w:t xml:space="preserve">СУ – </w:t>
      </w:r>
      <w:r w:rsidRPr="00CF1C7D">
        <w:rPr>
          <w:rFonts w:ascii="Arial" w:hAnsi="Arial" w:cs="Arial"/>
          <w:lang w:val="bg-BG"/>
        </w:rPr>
        <w:t>Съвет по управление</w:t>
      </w:r>
    </w:p>
    <w:p w:rsidR="00CF1C7D" w:rsidRPr="00CF1C7D" w:rsidRDefault="00CF1C7D" w:rsidP="00CF1C7D">
      <w:pPr>
        <w:spacing w:after="0" w:line="240" w:lineRule="auto"/>
        <w:ind w:left="792" w:firstLine="626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 xml:space="preserve">ОУУ – </w:t>
      </w:r>
      <w:r>
        <w:rPr>
          <w:rFonts w:ascii="Arial" w:hAnsi="Arial" w:cs="Arial"/>
          <w:lang w:val="bg-BG"/>
        </w:rPr>
        <w:t>Отговорник по управление на услугите</w:t>
      </w:r>
    </w:p>
    <w:p w:rsidR="008759A0" w:rsidRPr="006F6472" w:rsidRDefault="008759A0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8759A0" w:rsidRPr="00887ED3" w:rsidRDefault="00713B15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4</w:t>
      </w:r>
      <w:r w:rsidR="008759A0" w:rsidRPr="00887ED3">
        <w:rPr>
          <w:b/>
          <w:bCs/>
        </w:rPr>
        <w:t>.</w:t>
      </w:r>
      <w:r w:rsidR="008759A0" w:rsidRPr="00887ED3">
        <w:rPr>
          <w:b/>
          <w:bCs/>
        </w:rPr>
        <w:tab/>
      </w:r>
      <w:r w:rsidRPr="00887ED3">
        <w:rPr>
          <w:b/>
          <w:bCs/>
        </w:rPr>
        <w:t>ОПИСАНИЕ НА ПОЛИТИКАТА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Основната цел на управлението на капацитета е да се гарантира че, мрежовите системи и капацитета на услугите са подходящи за осигуряване и поддръжка на изискванията на клиентите за техните инфраструктури. Процесът гарантира, че във всеки един момент има наличен капацитет за изпълнение на сключените договори и прогнозните търговски сделки за финансовия период, който отговаря на нуждите на бизнеса и че процесът по заявяване и одобрение на нов капацитет се управлява ефективно. Изпълнението на настоящата политики гарантира документирането на настоящия капацитет и прогнозиране на бъдещи изисквания, включително правилното им класифициране, оценяване на рисковете, планиране и изпълнение.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Най-значимите KPIs за управление на капацитета са:</w:t>
      </w:r>
    </w:p>
    <w:p w:rsidR="008759A0" w:rsidRPr="006F6472" w:rsidRDefault="008759A0" w:rsidP="006F6472">
      <w:pPr>
        <w:pStyle w:val="ListParagraph"/>
        <w:numPr>
          <w:ilvl w:val="0"/>
          <w:numId w:val="34"/>
        </w:numPr>
        <w:spacing w:after="0" w:line="240" w:lineRule="auto"/>
      </w:pPr>
      <w:r w:rsidRPr="00887ED3">
        <w:t>KPI: 90% от заявките за разглеждане на нови капацитети да са обработени за по-малко от 3 работни дни.</w:t>
      </w:r>
    </w:p>
    <w:p w:rsidR="008759A0" w:rsidRPr="006F6472" w:rsidRDefault="008759A0" w:rsidP="006F6472">
      <w:pPr>
        <w:pStyle w:val="ListParagraph"/>
        <w:numPr>
          <w:ilvl w:val="0"/>
          <w:numId w:val="34"/>
        </w:numPr>
        <w:spacing w:after="0" w:line="240" w:lineRule="auto"/>
      </w:pPr>
      <w:r w:rsidRPr="006F6472">
        <w:t>KPI: 95% спазване на планираните времеви изисквания, залегнали в RDU 03-02 Искане за нов капацитет.</w:t>
      </w:r>
    </w:p>
    <w:p w:rsidR="008759A0" w:rsidRPr="006F6472" w:rsidRDefault="008759A0" w:rsidP="006F6472">
      <w:pPr>
        <w:pStyle w:val="ListParagraph"/>
        <w:numPr>
          <w:ilvl w:val="0"/>
          <w:numId w:val="34"/>
        </w:numPr>
        <w:spacing w:after="0" w:line="240" w:lineRule="auto"/>
      </w:pPr>
      <w:r w:rsidRPr="006F6472">
        <w:t>KPI 5%  от настъпили инциденти да са вследствие на недостиг на капацитет;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lastRenderedPageBreak/>
        <w:t>Процес</w:t>
      </w:r>
    </w:p>
    <w:p w:rsidR="00887ED3" w:rsidRPr="00CF1C7D" w:rsidRDefault="00887ED3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Процесът по управление на капацитета е разделен на четири части, които се изпълняват от съответните отговорници. 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7D56E9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Управителят на </w:t>
      </w:r>
      <w:r w:rsidR="002F71CE">
        <w:rPr>
          <w:rFonts w:ascii="Arial" w:hAnsi="Arial" w:cs="Arial"/>
          <w:lang w:val="bg-BG"/>
        </w:rPr>
        <w:t>"С-ТРЪСТ ГРУП" ЕООД</w:t>
      </w:r>
      <w:r w:rsidR="002F71CE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планира</w:t>
      </w:r>
      <w:r w:rsidR="008759A0" w:rsidRPr="006F6472">
        <w:rPr>
          <w:rFonts w:ascii="Arial" w:hAnsi="Arial" w:cs="Arial"/>
          <w:lang w:val="bg-BG"/>
        </w:rPr>
        <w:t xml:space="preserve"> необходимите ресурси за изпълнение на сключените договори и прогнозните търговски сделки за следващ финансов период. Планираните ресурси се залагат в годишния бюджет, който се изготвя от Финансовия мениджър и се утвърждава от Управителя. Бюджетът се одобрява и на корпоративно ниво, съгласно корпоративни процедури.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Планирането и осигуряването на финансови ресурси се извършва съгласно PUU 02 Политика за бюджетиране и счетоводна отчетност.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CF1C7D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Отговорникът по управление на услугите (ОУУ)</w:t>
      </w:r>
      <w:r w:rsidR="008759A0" w:rsidRPr="006F6472">
        <w:rPr>
          <w:rFonts w:ascii="Arial" w:hAnsi="Arial" w:cs="Arial"/>
          <w:lang w:val="bg-BG"/>
        </w:rPr>
        <w:t xml:space="preserve"> годишно извършва анализ на капацитета, документиран в RDU 03-01 План на капацитета и приложение 1 към него. При планирането ресурсите се определят на база анализ на влиянието на капацитета върху наличността, непрекъснатостта и целите на услугите, като се отчитат планирани промени в дейността, очаквани промени в технологията и промени в законови, регулаторни и договорни изисквания към услугите.</w:t>
      </w: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Планът се актуализира веднъж годишно (паралелно с изготвянето на бюджета) на база действащи договори за услуги и прогноза за търговски сделки за следващ финансов период. 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За всеки договор</w:t>
      </w:r>
      <w:r w:rsidR="00EB6859" w:rsidRPr="00887ED3">
        <w:rPr>
          <w:rFonts w:ascii="Arial" w:hAnsi="Arial" w:cs="Arial"/>
          <w:lang w:val="bg-BG"/>
        </w:rPr>
        <w:t xml:space="preserve"> на стойност над 5К </w:t>
      </w:r>
      <w:r w:rsidR="00EB6859" w:rsidRPr="006F6472">
        <w:rPr>
          <w:rFonts w:ascii="Arial" w:hAnsi="Arial" w:cs="Arial"/>
          <w:lang w:val="bg-BG"/>
        </w:rPr>
        <w:t>Euro</w:t>
      </w:r>
      <w:r w:rsidRPr="006F6472">
        <w:rPr>
          <w:rFonts w:ascii="Arial" w:hAnsi="Arial" w:cs="Arial"/>
          <w:lang w:val="bg-BG"/>
        </w:rPr>
        <w:t xml:space="preserve"> и при планиране разработването на нова/променена услуга, необходимите ресурси се определят и документират в BAT Approval sheet, който се одобрява от ръководителя на звеното и Финансовия мениджър и се утвърждава от Управителя. </w:t>
      </w:r>
      <w:r w:rsidR="00EB6859" w:rsidRPr="00887ED3">
        <w:rPr>
          <w:rFonts w:ascii="Arial" w:hAnsi="Arial" w:cs="Arial"/>
          <w:lang w:val="bg-BG"/>
        </w:rPr>
        <w:t xml:space="preserve">За договори на стойност под 5К </w:t>
      </w:r>
      <w:r w:rsidR="00EB6859" w:rsidRPr="006F6472">
        <w:rPr>
          <w:rFonts w:ascii="Arial" w:hAnsi="Arial" w:cs="Arial"/>
          <w:lang w:val="bg-BG"/>
        </w:rPr>
        <w:t>Euro</w:t>
      </w:r>
      <w:r w:rsidR="00EB6859" w:rsidRPr="00887ED3">
        <w:rPr>
          <w:rFonts w:ascii="Arial" w:hAnsi="Arial" w:cs="Arial"/>
          <w:lang w:val="bg-BG"/>
        </w:rPr>
        <w:t>, ресурсите се планират в оперативен порядък от ръководителя на съответното звено.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Необходимостта от нов капацитет се заявява с RDU 03-02-Искане за нов капацитет (в случай на планиране на човешки ресурси, нови технологии, подизпълнители и организационни промени), което подлежи на съгласуване с ОУУ на звеното, одобряване от Финансовия мениджър и утвърждаване от Управителя. При необходимост от закупуване на резервни части, хардуер, консумативи и дълготрайни активи се следват изискванията на PU 12 Закупуване и проверка на продукти и услуги. Попълват се записи в RD 12-02 Заявка за доставка.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Действията, свързани с осигуряване на новия капацитет, подлежат на измерване и оценка за ефективност и ефикасност. Искането за нов капацитет може да произлезе от промяна в бизнес стратегията, сключени нови договори, промяна в SLA, инциденти, свързани с недостиг на капацитет, развитие на капацитети и други изисквания за увеличаване на капацитета.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На база докладвани инциденти и проблеми, свързани с недостиг или неефективно използване на капацитета, на заседание на </w:t>
      </w:r>
      <w:r w:rsidR="00CF1C7D">
        <w:rPr>
          <w:rFonts w:ascii="Arial" w:hAnsi="Arial" w:cs="Arial"/>
          <w:lang w:val="bg-BG"/>
        </w:rPr>
        <w:t>СУ</w:t>
      </w:r>
      <w:r w:rsidRPr="006F6472">
        <w:rPr>
          <w:rFonts w:ascii="Arial" w:hAnsi="Arial" w:cs="Arial"/>
          <w:lang w:val="bg-BG"/>
        </w:rPr>
        <w:t>, ОУУ докладва информацията, на базата на която ПСУ определя коригиращи и превантивни действия, включително и актуализация на RDU 03-01 Плана на капацитета, при необходимост.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Изпълнението на целите по управление на капацитета е предмет на периодично (поне веднъж на шест месеца) докладване на заседание на СУ и се използва като входни </w:t>
      </w:r>
      <w:r w:rsidRPr="006F6472">
        <w:rPr>
          <w:rFonts w:ascii="Arial" w:hAnsi="Arial" w:cs="Arial"/>
          <w:lang w:val="bg-BG"/>
        </w:rPr>
        <w:lastRenderedPageBreak/>
        <w:t>данни за процеса по управление нивото на услугите. Докладването включва информация за:</w:t>
      </w:r>
    </w:p>
    <w:p w:rsidR="008759A0" w:rsidRPr="00887ED3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887ED3">
        <w:t>Услугите – осигурен и използван капацитет и тенденции;</w:t>
      </w:r>
    </w:p>
    <w:p w:rsidR="008759A0" w:rsidRPr="006F6472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6F6472">
        <w:t>Инциденти, свързани с капацитета;</w:t>
      </w:r>
    </w:p>
    <w:p w:rsidR="008759A0" w:rsidRPr="006F6472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6F6472">
        <w:t>Анализ на въздействието на промени в услугите, нови технологии, промени върху капацитета;</w:t>
      </w:r>
    </w:p>
    <w:p w:rsidR="008759A0" w:rsidRPr="006F6472" w:rsidRDefault="008759A0" w:rsidP="006F6472">
      <w:pPr>
        <w:pStyle w:val="ListParagraph"/>
        <w:numPr>
          <w:ilvl w:val="0"/>
          <w:numId w:val="36"/>
        </w:numPr>
        <w:spacing w:after="0" w:line="240" w:lineRule="auto"/>
      </w:pPr>
      <w:r w:rsidRPr="006F6472">
        <w:t>Възможности за подобряване.</w:t>
      </w:r>
    </w:p>
    <w:p w:rsidR="006F6472" w:rsidRDefault="006F6472" w:rsidP="00EB6859">
      <w:pPr>
        <w:spacing w:after="0" w:line="240" w:lineRule="auto"/>
        <w:ind w:left="1418"/>
        <w:jc w:val="both"/>
        <w:rPr>
          <w:rFonts w:ascii="Arial" w:hAnsi="Arial" w:cs="Arial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Входна и изходна информация за процеса по управление на капацитета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нивото на услугите осигурява информация за договорените нива на услугите.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бюджетиране, калкулиране и отчетност на услугите осигурява информация за ефикасността на предоставяните услуги и използваните ресурси.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на инциденти и заявки за услуги осигурява информация за докладваните инциденти и постъпилите заявки за услуги, които са свързани с капацитета.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на конфигурациите осигурява информация за CIs, поддържани в CMDB.</w:t>
      </w:r>
    </w:p>
    <w:p w:rsidR="006F6472" w:rsidRPr="00CF1C7D" w:rsidRDefault="006F6472" w:rsidP="00EB685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8759A0" w:rsidRPr="006F6472" w:rsidRDefault="008759A0" w:rsidP="00EB685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Процесът по управление на капацитета осигурява информация на: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887ED3">
        <w:t xml:space="preserve">Процеса по управление нивото на услугите – периодични доклади за капацитета за нови или променени услуги; 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6F6472">
        <w:t>Процеса по управление непрекъснатостта и наличността на услугите – информация, необходима за планиране и осигуряване на капацитет при прекъсване на услугите;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6F6472">
        <w:t>Процеса по управление на промени – информация за цялостния ефект при промяна на капацитета и оценяване влиянието на промени върху планирания капацитет;</w:t>
      </w:r>
    </w:p>
    <w:p w:rsidR="008759A0" w:rsidRPr="006F6472" w:rsidRDefault="008759A0" w:rsidP="006F6472">
      <w:pPr>
        <w:pStyle w:val="ListParagraph"/>
        <w:numPr>
          <w:ilvl w:val="0"/>
          <w:numId w:val="39"/>
        </w:numPr>
        <w:spacing w:after="0" w:line="240" w:lineRule="auto"/>
        <w:ind w:hanging="319"/>
      </w:pPr>
      <w:r w:rsidRPr="006F6472">
        <w:t>Процеса по поддържане на компетентен персонал.</w:t>
      </w:r>
    </w:p>
    <w:p w:rsidR="00713B15" w:rsidRPr="006F6472" w:rsidRDefault="00713B15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>
      <w:pPr>
        <w:spacing w:after="0" w:line="240" w:lineRule="auto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br w:type="page"/>
      </w: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noProof/>
          <w:lang w:val="bg-BG" w:eastAsia="bg-BG"/>
        </w:rPr>
        <w:lastRenderedPageBreak/>
        <w:drawing>
          <wp:inline distT="0" distB="0" distL="0" distR="0" wp14:anchorId="72830D11" wp14:editId="289937F8">
            <wp:extent cx="6646545" cy="2658618"/>
            <wp:effectExtent l="0" t="0" r="1905" b="8890"/>
            <wp:docPr id="15" name="Picture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658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EB6859" w:rsidRPr="006F6472" w:rsidRDefault="00EB6859" w:rsidP="006F6472">
      <w:pPr>
        <w:spacing w:after="0" w:line="240" w:lineRule="auto"/>
        <w:rPr>
          <w:rFonts w:ascii="Arial" w:hAnsi="Arial" w:cs="Arial"/>
        </w:rPr>
      </w:pPr>
    </w:p>
    <w:p w:rsidR="00713B15" w:rsidRPr="006F6472" w:rsidRDefault="00713B15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5.</w:t>
      </w:r>
      <w:r w:rsidRPr="00887ED3">
        <w:rPr>
          <w:b/>
          <w:bCs/>
        </w:rPr>
        <w:tab/>
      </w:r>
      <w:r w:rsidR="0094154B" w:rsidRPr="006F6472">
        <w:rPr>
          <w:b/>
          <w:bCs/>
        </w:rPr>
        <w:t>ОТГОВОРНОСТИ И ПЪЛНОМОЩИЯ</w:t>
      </w:r>
    </w:p>
    <w:p w:rsidR="00713B15" w:rsidRPr="006F6472" w:rsidRDefault="00713B15" w:rsidP="00EB6859">
      <w:pPr>
        <w:spacing w:after="0" w:line="240" w:lineRule="auto"/>
        <w:ind w:left="1418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>Управител: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>утвърждава RDU 03-01 План на капацитета, RDU 03-02 Искане за нов капацитет и BAT approval sheet.</w:t>
      </w: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>Финансов мениджър: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 xml:space="preserve">извършва, със съдействието на </w:t>
      </w:r>
      <w:r w:rsidR="007D56E9">
        <w:t>ОУУ</w:t>
      </w:r>
      <w:r w:rsidRPr="006F6472">
        <w:t>, годишен анализ на капацитета, който се документира в Приложение 1 към RDU 03-01;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>одобрява RDU 03-01 План на капацитета, RDU 03-02 Искане за нов капацитет и BAT approval sheet</w:t>
      </w:r>
      <w:r w:rsidR="00EB6859" w:rsidRPr="00887ED3">
        <w:t xml:space="preserve"> </w:t>
      </w:r>
      <w:r w:rsidR="00EB6859" w:rsidRPr="006F6472">
        <w:t>(</w:t>
      </w:r>
      <w:r w:rsidR="00EB6859" w:rsidRPr="00887ED3">
        <w:t>за сделки над 5К</w:t>
      </w:r>
      <w:r w:rsidR="00EB6859" w:rsidRPr="006F6472">
        <w:t xml:space="preserve"> Euro)</w:t>
      </w:r>
      <w:r w:rsidRPr="006F6472">
        <w:t>;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 xml:space="preserve">контролира процеса по управление на капацитета. Резултатите от  контрола се отразяват в </w:t>
      </w:r>
      <w:r w:rsidR="007D56E9">
        <w:t xml:space="preserve">протокол от СУ, свързани с </w:t>
      </w:r>
      <w:r w:rsidRPr="006F6472">
        <w:t>УУ.</w:t>
      </w: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713B15" w:rsidRPr="006F6472" w:rsidRDefault="00713B15" w:rsidP="006F647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6F6472">
        <w:rPr>
          <w:rFonts w:ascii="Arial" w:hAnsi="Arial" w:cs="Arial"/>
          <w:b/>
          <w:u w:val="single"/>
          <w:lang w:val="bg-BG"/>
        </w:rPr>
        <w:t>ОУУ: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>участва при планиране и анализ на капацитета;</w:t>
      </w:r>
    </w:p>
    <w:p w:rsidR="00713B15" w:rsidRPr="006F6472" w:rsidRDefault="00713B15" w:rsidP="006F6472">
      <w:pPr>
        <w:pStyle w:val="ListParagraph"/>
        <w:numPr>
          <w:ilvl w:val="0"/>
          <w:numId w:val="40"/>
        </w:numPr>
        <w:spacing w:after="0" w:line="240" w:lineRule="auto"/>
      </w:pPr>
      <w:r w:rsidRPr="006F6472">
        <w:t>приема, анализира и докладва на Управителя за настъпили несъответствия при прилагането на наст</w:t>
      </w:r>
      <w:r w:rsidR="007D56E9">
        <w:t>о</w:t>
      </w:r>
      <w:r w:rsidRPr="006F6472">
        <w:t>ящата политика.</w:t>
      </w:r>
    </w:p>
    <w:p w:rsidR="008759A0" w:rsidRPr="006F6472" w:rsidRDefault="008759A0" w:rsidP="006F6472">
      <w:pPr>
        <w:spacing w:after="0" w:line="240" w:lineRule="auto"/>
        <w:ind w:left="792" w:hanging="432"/>
        <w:jc w:val="both"/>
        <w:rPr>
          <w:rFonts w:ascii="Arial" w:hAnsi="Arial" w:cs="Arial"/>
          <w:lang w:val="bg-BG"/>
        </w:rPr>
      </w:pPr>
    </w:p>
    <w:p w:rsidR="00713B15" w:rsidRPr="006F6472" w:rsidRDefault="00713B15" w:rsidP="00EB6859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:rsidR="008759A0" w:rsidRPr="006F6472" w:rsidRDefault="0094154B" w:rsidP="00EB6859">
      <w:pPr>
        <w:pStyle w:val="ListParagraph"/>
        <w:spacing w:after="0" w:line="240" w:lineRule="auto"/>
        <w:ind w:left="709" w:hanging="709"/>
        <w:rPr>
          <w:b/>
          <w:bCs/>
        </w:rPr>
      </w:pPr>
      <w:r w:rsidRPr="00887ED3">
        <w:rPr>
          <w:b/>
          <w:bCs/>
        </w:rPr>
        <w:t>6</w:t>
      </w:r>
      <w:r w:rsidR="008759A0" w:rsidRPr="006F6472">
        <w:rPr>
          <w:b/>
          <w:bCs/>
        </w:rPr>
        <w:t>.</w:t>
      </w:r>
      <w:r w:rsidR="008759A0" w:rsidRPr="006F6472">
        <w:rPr>
          <w:b/>
          <w:bCs/>
        </w:rPr>
        <w:tab/>
      </w:r>
      <w:r w:rsidRPr="006F6472">
        <w:rPr>
          <w:b/>
          <w:bCs/>
        </w:rPr>
        <w:t>ПОЗОВАВАНИЯ И СВЪЗАНИ ДОКУМЕНТИ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Бюджет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RDU 03-01    План на капацитета и Приложение 1 към него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RDU 03-02    Искане за нов капацитет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RD 12-02      Заявка за доставка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>BAT approval sheet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Протокол </w:t>
      </w:r>
      <w:r w:rsidR="007D56E9">
        <w:rPr>
          <w:rFonts w:ascii="Arial" w:hAnsi="Arial" w:cs="Arial"/>
          <w:lang w:val="bg-BG"/>
        </w:rPr>
        <w:t>от СУ по</w:t>
      </w:r>
      <w:r w:rsidRPr="006F6472">
        <w:rPr>
          <w:rFonts w:ascii="Arial" w:hAnsi="Arial" w:cs="Arial"/>
          <w:lang w:val="bg-BG"/>
        </w:rPr>
        <w:t xml:space="preserve"> УУ</w:t>
      </w:r>
    </w:p>
    <w:p w:rsidR="008759A0" w:rsidRPr="006F6472" w:rsidRDefault="008759A0" w:rsidP="00EB6859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6F6472">
        <w:rPr>
          <w:rFonts w:ascii="Arial" w:hAnsi="Arial" w:cs="Arial"/>
          <w:lang w:val="bg-BG"/>
        </w:rPr>
        <w:t xml:space="preserve">PU 12 </w:t>
      </w:r>
      <w:r w:rsidR="006F6472" w:rsidRPr="00CF1C7D">
        <w:rPr>
          <w:rFonts w:ascii="Arial" w:hAnsi="Arial" w:cs="Arial"/>
          <w:lang w:val="ru-RU"/>
        </w:rPr>
        <w:t xml:space="preserve">           </w:t>
      </w:r>
      <w:r w:rsidRPr="006F6472">
        <w:rPr>
          <w:rFonts w:ascii="Arial" w:hAnsi="Arial" w:cs="Arial"/>
          <w:lang w:val="bg-BG"/>
        </w:rPr>
        <w:t>Закупуване и проверка на продукти и услуги</w:t>
      </w:r>
    </w:p>
    <w:p w:rsidR="001A4F24" w:rsidRPr="00CF1C7D" w:rsidRDefault="008759A0" w:rsidP="006F6472">
      <w:pPr>
        <w:spacing w:after="0" w:line="240" w:lineRule="auto"/>
        <w:ind w:left="1418"/>
        <w:rPr>
          <w:rFonts w:ascii="Arial" w:hAnsi="Arial" w:cs="Arial"/>
          <w:lang w:val="ru-RU"/>
        </w:rPr>
      </w:pPr>
      <w:r w:rsidRPr="006F6472">
        <w:rPr>
          <w:rFonts w:ascii="Arial" w:hAnsi="Arial" w:cs="Arial"/>
          <w:lang w:val="bg-BG"/>
        </w:rPr>
        <w:t xml:space="preserve">PUU 02 </w:t>
      </w:r>
      <w:r w:rsidR="006F6472" w:rsidRPr="00CF1C7D">
        <w:rPr>
          <w:rFonts w:ascii="Arial" w:hAnsi="Arial" w:cs="Arial"/>
          <w:lang w:val="ru-RU"/>
        </w:rPr>
        <w:t xml:space="preserve">        </w:t>
      </w:r>
      <w:r w:rsidRPr="006F6472">
        <w:rPr>
          <w:rFonts w:ascii="Arial" w:hAnsi="Arial" w:cs="Arial"/>
          <w:lang w:val="bg-BG"/>
        </w:rPr>
        <w:t>Политика за бюджетиране и счетоводна отчетност</w:t>
      </w:r>
    </w:p>
    <w:sectPr w:rsidR="001A4F24" w:rsidRPr="00CF1C7D" w:rsidSect="00EB68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B4B" w:rsidRDefault="00E41B4B" w:rsidP="00B26FC3">
      <w:pPr>
        <w:spacing w:after="0" w:line="240" w:lineRule="auto"/>
      </w:pPr>
      <w:r>
        <w:separator/>
      </w:r>
    </w:p>
  </w:endnote>
  <w:endnote w:type="continuationSeparator" w:id="0">
    <w:p w:rsidR="00E41B4B" w:rsidRDefault="00E41B4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71CE" w:rsidRDefault="002F71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CFEE50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283B4C" w:rsidRDefault="00283B4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F1C7D" w:rsidRPr="00336218" w:rsidTr="00D247DA">
      <w:trPr>
        <w:jc w:val="center"/>
      </w:trPr>
      <w:tc>
        <w:tcPr>
          <w:tcW w:w="2970" w:type="dxa"/>
        </w:tcPr>
        <w:p w:rsidR="00CF1C7D" w:rsidRPr="00FD423E" w:rsidRDefault="00CF1C7D" w:rsidP="00CF1C7D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CF1C7D" w:rsidRPr="002F71CE" w:rsidRDefault="002F71CE" w:rsidP="002F71C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0" w:name="_GoBack"/>
          <w:bookmarkEnd w:id="0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B9A803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8D17B5C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B4B" w:rsidRDefault="00E41B4B" w:rsidP="00B26FC3">
      <w:pPr>
        <w:spacing w:after="0" w:line="240" w:lineRule="auto"/>
      </w:pPr>
      <w:r>
        <w:separator/>
      </w:r>
    </w:p>
  </w:footnote>
  <w:footnote w:type="continuationSeparator" w:id="0">
    <w:p w:rsidR="00E41B4B" w:rsidRDefault="00E41B4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71CE" w:rsidRDefault="002F71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CF1C7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F1C7D">
      <w:rPr>
        <w:noProof/>
        <w:lang w:val="bg-BG" w:eastAsia="bg-BG"/>
      </w:rPr>
      <w:drawing>
        <wp:inline distT="0" distB="0" distL="0" distR="0" wp14:anchorId="31F03839" wp14:editId="67A9B92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F1C7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F1C7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CF1C7D" w:rsidRDefault="002F71C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CF1C7D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PUU 03</w:t>
          </w:r>
        </w:p>
        <w:p w:rsidR="00FD423E" w:rsidRPr="00CF1C7D" w:rsidRDefault="00CF1C7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Вътр</w:t>
          </w:r>
          <w:r>
            <w:rPr>
              <w:rFonts w:ascii="Arial" w:hAnsi="Arial" w:cs="Arial"/>
              <w:lang w:val="bg-BG"/>
            </w:rPr>
            <w:t>е</w:t>
          </w:r>
          <w:r w:rsidRPr="00CF1C7D">
            <w:rPr>
              <w:rFonts w:ascii="Arial" w:hAnsi="Arial" w:cs="Arial"/>
              <w:lang w:val="bg-BG"/>
            </w:rPr>
            <w:t>ш</w:t>
          </w:r>
          <w:r w:rsidR="00FD423E" w:rsidRPr="00CF1C7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F1C7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F1C7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1C7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КАПАЦИТЕТА</w:t>
          </w:r>
        </w:p>
      </w:tc>
      <w:tc>
        <w:tcPr>
          <w:tcW w:w="1191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 xml:space="preserve">Стр.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PAGE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2F71CE">
            <w:rPr>
              <w:rFonts w:ascii="Arial" w:hAnsi="Arial" w:cs="Arial"/>
              <w:noProof/>
              <w:lang w:val="bg-BG"/>
            </w:rPr>
            <w:t>4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  <w:r w:rsidRPr="00CF1C7D">
            <w:rPr>
              <w:rFonts w:ascii="Arial" w:hAnsi="Arial" w:cs="Arial"/>
              <w:lang w:val="bg-BG"/>
            </w:rPr>
            <w:t xml:space="preserve"> от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NUMPAGES 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2F71CE">
            <w:rPr>
              <w:rFonts w:ascii="Arial" w:hAnsi="Arial" w:cs="Arial"/>
              <w:noProof/>
              <w:lang w:val="bg-BG"/>
            </w:rPr>
            <w:t>4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F1C7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CF1C7D" w:rsidRDefault="008910C7" w:rsidP="00FD423E">
    <w:pPr>
      <w:pStyle w:val="Header"/>
      <w:ind w:left="-720" w:right="-432"/>
      <w:rPr>
        <w:noProof/>
        <w:lang w:val="bg-BG"/>
      </w:rPr>
    </w:pPr>
    <w:r w:rsidRPr="00CF1C7D">
      <w:rPr>
        <w:noProof/>
        <w:lang w:val="bg-BG" w:eastAsia="bg-BG"/>
      </w:rPr>
      <w:drawing>
        <wp:inline distT="0" distB="0" distL="0" distR="0" wp14:anchorId="20C11FDB" wp14:editId="2BEFEAC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F1C7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F1C7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F1C7D" w:rsidRDefault="002F71C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PU</w:t>
          </w:r>
          <w:r w:rsidR="008759A0" w:rsidRPr="00CF1C7D">
            <w:rPr>
              <w:rFonts w:ascii="Arial" w:hAnsi="Arial" w:cs="Arial"/>
              <w:lang w:val="bg-BG"/>
            </w:rPr>
            <w:t>U 03</w:t>
          </w:r>
        </w:p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F1C7D" w:rsidRDefault="002F71C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CF1C7D" w:rsidTr="007E3727">
      <w:tc>
        <w:tcPr>
          <w:tcW w:w="1037" w:type="pct"/>
          <w:vMerge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F1C7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CF1C7D" w:rsidRDefault="00CF1C7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>Вътреш</w:t>
          </w:r>
          <w:r w:rsidR="00FD423E" w:rsidRPr="00CF1C7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F1C7D" w:rsidTr="007E3727">
      <w:tc>
        <w:tcPr>
          <w:tcW w:w="1037" w:type="pct"/>
          <w:vMerge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F1C7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1C7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КАПАЦИТЕТА</w:t>
          </w:r>
        </w:p>
      </w:tc>
      <w:tc>
        <w:tcPr>
          <w:tcW w:w="1191" w:type="pct"/>
          <w:vAlign w:val="center"/>
        </w:tcPr>
        <w:p w:rsidR="00FD423E" w:rsidRPr="00CF1C7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1C7D">
            <w:rPr>
              <w:rFonts w:ascii="Arial" w:hAnsi="Arial" w:cs="Arial"/>
              <w:lang w:val="bg-BG"/>
            </w:rPr>
            <w:t xml:space="preserve">Стр.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PAGE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2F71CE">
            <w:rPr>
              <w:rFonts w:ascii="Arial" w:hAnsi="Arial" w:cs="Arial"/>
              <w:noProof/>
              <w:lang w:val="bg-BG"/>
            </w:rPr>
            <w:t>1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  <w:r w:rsidRPr="00CF1C7D">
            <w:rPr>
              <w:rFonts w:ascii="Arial" w:hAnsi="Arial" w:cs="Arial"/>
              <w:lang w:val="bg-BG"/>
            </w:rPr>
            <w:t xml:space="preserve"> от </w:t>
          </w:r>
          <w:r w:rsidRPr="00CF1C7D">
            <w:rPr>
              <w:rFonts w:ascii="Arial" w:hAnsi="Arial" w:cs="Arial"/>
              <w:lang w:val="bg-BG"/>
            </w:rPr>
            <w:fldChar w:fldCharType="begin"/>
          </w:r>
          <w:r w:rsidRPr="00CF1C7D">
            <w:rPr>
              <w:rFonts w:ascii="Arial" w:hAnsi="Arial" w:cs="Arial"/>
              <w:lang w:val="bg-BG"/>
            </w:rPr>
            <w:instrText xml:space="preserve"> NUMPAGES  </w:instrText>
          </w:r>
          <w:r w:rsidRPr="00CF1C7D">
            <w:rPr>
              <w:rFonts w:ascii="Arial" w:hAnsi="Arial" w:cs="Arial"/>
              <w:lang w:val="bg-BG"/>
            </w:rPr>
            <w:fldChar w:fldCharType="separate"/>
          </w:r>
          <w:r w:rsidR="002F71CE">
            <w:rPr>
              <w:rFonts w:ascii="Arial" w:hAnsi="Arial" w:cs="Arial"/>
              <w:noProof/>
              <w:lang w:val="bg-BG"/>
            </w:rPr>
            <w:t>4</w:t>
          </w:r>
          <w:r w:rsidRPr="00CF1C7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F1C7D" w:rsidRDefault="00FD423E" w:rsidP="00FD423E">
    <w:pPr>
      <w:pStyle w:val="Header"/>
      <w:ind w:left="-720" w:right="-432"/>
      <w:rPr>
        <w:lang w:val="bg-BG"/>
      </w:rPr>
    </w:pPr>
  </w:p>
  <w:p w:rsidR="00283B4C" w:rsidRPr="00CF1C7D" w:rsidRDefault="00283B4C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6138BB"/>
    <w:multiLevelType w:val="hybridMultilevel"/>
    <w:tmpl w:val="959853EA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17E447C0"/>
    <w:multiLevelType w:val="hybridMultilevel"/>
    <w:tmpl w:val="CAD4E49E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1C15A5"/>
    <w:multiLevelType w:val="hybridMultilevel"/>
    <w:tmpl w:val="3BBAA67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6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7CA04D9"/>
    <w:multiLevelType w:val="hybridMultilevel"/>
    <w:tmpl w:val="2290375E"/>
    <w:lvl w:ilvl="0" w:tplc="204A0B06">
      <w:numFmt w:val="bullet"/>
      <w:lvlText w:val="•"/>
      <w:lvlJc w:val="left"/>
      <w:pPr>
        <w:ind w:left="2883" w:hanging="75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9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>
    <w:nsid w:val="75451968"/>
    <w:multiLevelType w:val="hybridMultilevel"/>
    <w:tmpl w:val="ACF0022A"/>
    <w:lvl w:ilvl="0" w:tplc="EDA435DC">
      <w:start w:val="1"/>
      <w:numFmt w:val="lowerLetter"/>
      <w:lvlText w:val="%1)"/>
      <w:lvlJc w:val="left"/>
      <w:pPr>
        <w:ind w:left="3580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>
    <w:nsid w:val="76A84A4E"/>
    <w:multiLevelType w:val="hybridMultilevel"/>
    <w:tmpl w:val="73422BB0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>
    <w:nsid w:val="7E222B3A"/>
    <w:multiLevelType w:val="hybridMultilevel"/>
    <w:tmpl w:val="F864D29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>
    <w:nsid w:val="7ECF1435"/>
    <w:multiLevelType w:val="hybridMultilevel"/>
    <w:tmpl w:val="C050702A"/>
    <w:lvl w:ilvl="0" w:tplc="34367854">
      <w:start w:val="4"/>
      <w:numFmt w:val="bullet"/>
      <w:lvlText w:val="-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6"/>
  </w:num>
  <w:num w:numId="13">
    <w:abstractNumId w:val="8"/>
  </w:num>
  <w:num w:numId="14">
    <w:abstractNumId w:val="8"/>
  </w:num>
  <w:num w:numId="15">
    <w:abstractNumId w:val="5"/>
  </w:num>
  <w:num w:numId="16">
    <w:abstractNumId w:val="19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14"/>
  </w:num>
  <w:num w:numId="35">
    <w:abstractNumId w:val="18"/>
  </w:num>
  <w:num w:numId="36">
    <w:abstractNumId w:val="4"/>
  </w:num>
  <w:num w:numId="37">
    <w:abstractNumId w:val="3"/>
  </w:num>
  <w:num w:numId="38">
    <w:abstractNumId w:val="21"/>
  </w:num>
  <w:num w:numId="39">
    <w:abstractNumId w:val="22"/>
  </w:num>
  <w:num w:numId="40">
    <w:abstractNumId w:val="2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67C14"/>
    <w:rsid w:val="0007215F"/>
    <w:rsid w:val="00076AF8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6DBD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F71CE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64D0F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23C68"/>
    <w:rsid w:val="0073596E"/>
    <w:rsid w:val="0074262D"/>
    <w:rsid w:val="00746968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6E9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46C5"/>
    <w:rsid w:val="0096574E"/>
    <w:rsid w:val="009732F2"/>
    <w:rsid w:val="00977135"/>
    <w:rsid w:val="00987E42"/>
    <w:rsid w:val="009B3188"/>
    <w:rsid w:val="009C023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02D2"/>
    <w:rsid w:val="00CD1984"/>
    <w:rsid w:val="00CF1C7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41B4B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A335C5E-878D-4283-BA14-1A1CF678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капацитета</vt:lpstr>
    </vt:vector>
  </TitlesOfParts>
  <Company>suis</Company>
  <LinksUpToDate>false</LinksUpToDate>
  <CharactersWithSpaces>7741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капацитета</dc:title>
  <dc:subject/>
  <dc:creator>HEIC Alexander Atanassov</dc:creator>
  <cp:keywords/>
  <dc:description/>
  <cp:lastModifiedBy>Microsoft account</cp:lastModifiedBy>
  <cp:revision>7</cp:revision>
  <cp:lastPrinted>2015-08-14T13:05:00Z</cp:lastPrinted>
  <dcterms:created xsi:type="dcterms:W3CDTF">2020-09-22T08:37:00Z</dcterms:created>
  <dcterms:modified xsi:type="dcterms:W3CDTF">2022-06-06T14:19:00Z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