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F59" w:rsidRPr="005452C0" w:rsidRDefault="001D3F59" w:rsidP="005B7C4C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ЦЕЛ </w:t>
      </w:r>
    </w:p>
    <w:p w:rsidR="001D3F59" w:rsidRPr="005452C0" w:rsidRDefault="001D3F59" w:rsidP="005B7C4C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lang w:val="bg-BG"/>
        </w:rPr>
        <w:t>Планът на капацитета е разработен в съответствие с политиката за управление на капацитета на “C&amp;T Б</w:t>
      </w:r>
      <w:r w:rsidR="005B7C4C">
        <w:rPr>
          <w:rFonts w:ascii="Arial" w:hAnsi="Arial" w:cs="Arial"/>
          <w:lang w:val="bg-BG"/>
        </w:rPr>
        <w:t>ългария” ООД. Планът подпомага</w:t>
      </w:r>
      <w:r w:rsidRPr="005452C0">
        <w:rPr>
          <w:rFonts w:ascii="Arial" w:hAnsi="Arial" w:cs="Arial"/>
          <w:lang w:val="bg-BG"/>
        </w:rPr>
        <w:t xml:space="preserve"> ръководството на Дружеството да гарантира, че всички инфраструктурни компоненти са в състояние да изпълняват всички необходими функции и че ресурсите се използват ефективно. Планът включва информация за: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Настоящо и прогнозно търсене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Настоящи и прогнозни ресурси, необходими за изпълнение на договорите;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Влиянието на капацитета върху наличността, непрекъснатостта и целите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Времеви рамки, прагове и разходи за подобряване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Планирани промени в дейността;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Описание на метода, процедурите и информацията, използвани за анализ и планиране на капацитета;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Потенциално въздействие на нови технологии върху капацитета и изпълнението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Потенциалното въздействие на законови, регулаторни, договорни и организационни изисквания към капацитета;</w:t>
      </w:r>
    </w:p>
    <w:p w:rsidR="001D3F59" w:rsidRPr="005452C0" w:rsidRDefault="001D3F59" w:rsidP="005B7C4C">
      <w:pPr>
        <w:tabs>
          <w:tab w:val="num" w:pos="720"/>
        </w:tabs>
        <w:ind w:firstLine="540"/>
        <w:jc w:val="both"/>
        <w:rPr>
          <w:rFonts w:ascii="Arial" w:hAnsi="Arial" w:cs="Arial"/>
          <w:b/>
          <w:lang w:val="bg-BG"/>
        </w:rPr>
      </w:pP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5452C0">
        <w:rPr>
          <w:b/>
        </w:rPr>
        <w:t>ТЕРМИНИ, ОПРЕДЕЛЕНИЯ, ОЗНАЧЕНИЯ И СЪКРАЩЕНИЯ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  <w:spacing w:before="120"/>
      </w:pPr>
      <w:r w:rsidRPr="005452C0">
        <w:rPr>
          <w:b/>
        </w:rPr>
        <w:t>Наличност  -</w:t>
      </w:r>
      <w:r w:rsidRPr="005452C0">
        <w:t>Способността на услуга или компонент на услуга да изпълнява изискваната функция незабавно, както е договорено, или за един съгласуван период от време=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  <w:spacing w:before="120"/>
      </w:pPr>
      <w:r w:rsidRPr="005452C0">
        <w:rPr>
          <w:b/>
        </w:rPr>
        <w:t xml:space="preserve">Елемент от конфигурацията /Configuration Item - CI/  - </w:t>
      </w:r>
      <w:r w:rsidRPr="005452C0">
        <w:t>Елемент, който трябва да се контролира, за да може да се предостави услуга или услуги.</w:t>
      </w: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Елемент (компонент) на услуга - </w:t>
      </w:r>
      <w:r w:rsidRPr="005452C0">
        <w:rPr>
          <w:rFonts w:ascii="Arial" w:hAnsi="Arial" w:cs="Arial"/>
          <w:lang w:val="bg-BG"/>
        </w:rPr>
        <w:t>Отделна единица на услуга, която комбинирана с други единици ще достави пълната услуга.</w:t>
      </w:r>
    </w:p>
    <w:p w:rsidR="001D3F59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Непрекъснатост на услуга - </w:t>
      </w:r>
      <w:r w:rsidRPr="005452C0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5B7C4C" w:rsidRPr="00D05409" w:rsidRDefault="005B7C4C" w:rsidP="005B7C4C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5B7C4C" w:rsidRPr="00D05409" w:rsidRDefault="005B7C4C" w:rsidP="005B7C4C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5B7C4C" w:rsidRDefault="005B7C4C" w:rsidP="005B7C4C">
      <w:pPr>
        <w:jc w:val="both"/>
        <w:rPr>
          <w:rFonts w:ascii="Arial" w:hAnsi="Arial" w:cs="Arial"/>
          <w:lang w:val="bg-BG"/>
        </w:rPr>
      </w:pP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lang w:val="bg-BG"/>
        </w:rPr>
        <w:t>Специфичните термини за дейността на “C&amp;T България” ООД са описани в „General definitions“ и в договора с клиента (ако е необходимо).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5452C0">
        <w:rPr>
          <w:b/>
        </w:rPr>
        <w:t>АНАЛИЗ НА КАПАЦИТЕТА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В годишният бюджет за дейността на “C&amp;T България” ООД се залага информация за настоящо и прогнозно търсене на услугите и планираните на тази база разходи за ресурсите, необходими за изпълнение на договорите.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Планирането и осигуряването на финансови ресурси се извършва съгласно политиката за бюджетиране и отчетност.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Анализ на капацитета се извършва годишно от Финансовия мениджър, подпомаган от ОУУ по звена, и се документира в Анализ на капацитета -  Приложение 1 към настоящия план (RDU 03-01). Ресурсите се планират и осигуряват на база анализ на влиянието на капацитета върху наличността, непрекъснатостта и целите на услугите, като се отчитат планирани промени в дейността, очаквани промени в технологията и законови, регулаторни и договорни изисквания към услугите 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lastRenderedPageBreak/>
        <w:t>Анализът се актуализира веднъж годишно (паралелно с бюджета) с информация за наличния и изискванията към капацитета на база сключени договори за услуги и прогноза за търговски сделки за следващ финансов период.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За всеки договор необходимите ресурси се определят и документират в BAT Approval sheet, който се одобрява от ръководителя на звеното и Финансовия мениджър и се утвърждава от Управителя. Изключение правят тези ресурси, за които се попълва RD 12-02 Заявка за закупуване.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Преди сключване на договор, за изпълнението, на който е необходим капацитет, с който “S&amp;T България” ООД не разполага, се извършва анализ на възможността за осигуряването му и се водят записи в RDU 03-02 Искане за нов капацитет. Процедурата и необходимата информация за анализ и планиране на капацитета е представена на схема 1.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1213B" wp14:editId="7624BE14">
                <wp:simplePos x="0" y="0"/>
                <wp:positionH relativeFrom="column">
                  <wp:posOffset>4886960</wp:posOffset>
                </wp:positionH>
                <wp:positionV relativeFrom="paragraph">
                  <wp:posOffset>146050</wp:posOffset>
                </wp:positionV>
                <wp:extent cx="1685925" cy="2485390"/>
                <wp:effectExtent l="10160" t="8890" r="8890" b="107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24853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Изходни</w:t>
                            </w:r>
                            <w:r w:rsidRPr="00FE4B93">
                              <w:rPr>
                                <w:b/>
                              </w:rPr>
                              <w:t xml:space="preserve"> данни: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Необходимост от допълнителни ресурси;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Мероприятия за осигуряване на допълнителните ресурси</w:t>
                            </w:r>
                            <w:r w:rsidRPr="00FE4B93">
                              <w:rPr>
                                <w:sz w:val="20"/>
                              </w:rPr>
                              <w:t>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84"/>
                              </w:tabs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1213B" id="Rectangle 8" o:spid="_x0000_s1026" style="position:absolute;left:0;text-align:left;margin-left:384.8pt;margin-top:11.5pt;width:132.75pt;height:19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" fillcolor="#fde9d9 [665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Изходни</w:t>
                      </w:r>
                      <w:r w:rsidRPr="00FE4B93">
                        <w:rPr>
                          <w:b/>
                        </w:rPr>
                        <w:t xml:space="preserve"> данни: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Необходимост от допълнителни ресурси;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Мероприятия за осигуряване на допълнителните ресурси</w:t>
                      </w:r>
                      <w:r w:rsidRPr="00FE4B93">
                        <w:rPr>
                          <w:sz w:val="20"/>
                        </w:rPr>
                        <w:t>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tabs>
                          <w:tab w:val="left" w:pos="284"/>
                        </w:tabs>
                        <w:rPr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D09F6" wp14:editId="75941694">
                <wp:simplePos x="0" y="0"/>
                <wp:positionH relativeFrom="column">
                  <wp:posOffset>2320925</wp:posOffset>
                </wp:positionH>
                <wp:positionV relativeFrom="paragraph">
                  <wp:posOffset>133985</wp:posOffset>
                </wp:positionV>
                <wp:extent cx="1972310" cy="2497455"/>
                <wp:effectExtent l="6350" t="6350" r="1206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2310" cy="24974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>АНАЛИЗ НА КАПАЦИТЕТА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84"/>
                              </w:tabs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>За всяка услуга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/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>компонент на услуга се определят ресурсите, необходими за доставянето в договореното с клиентите ниво.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 xml:space="preserve">Съпоставят се необходимите ресурси 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(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>по т.1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)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 xml:space="preserve"> с наличните, за да се определи необходимостта от допълнителни ресурси.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D09F6" id="Rectangle 4" o:spid="_x0000_s1027" style="position:absolute;left:0;text-align:left;margin-left:182.75pt;margin-top:10.55pt;width:155.3pt;height:19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" fillcolor="#dbe5f1 [660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>АНАЛИЗ НА КАПАЦИТЕТА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tabs>
                          <w:tab w:val="left" w:pos="284"/>
                        </w:tabs>
                        <w:rPr>
                          <w:b/>
                          <w:sz w:val="20"/>
                        </w:rPr>
                      </w:pP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8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>За всяка услуга</w:t>
                      </w:r>
                      <w:r w:rsidRPr="00FE4B93">
                        <w:rPr>
                          <w:b/>
                          <w:sz w:val="20"/>
                          <w:lang w:val="en-US"/>
                        </w:rPr>
                        <w:t>/</w:t>
                      </w:r>
                      <w:r w:rsidRPr="00FE4B93">
                        <w:rPr>
                          <w:b/>
                          <w:sz w:val="20"/>
                        </w:rPr>
                        <w:t>компонент на услуга се определят ресурсите, необходими за доставянето в договореното с клиентите ниво.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8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 xml:space="preserve">Съпоставят се необходимите ресурси </w:t>
                      </w:r>
                      <w:r w:rsidRPr="00FE4B93">
                        <w:rPr>
                          <w:b/>
                          <w:sz w:val="20"/>
                          <w:lang w:val="en-US"/>
                        </w:rPr>
                        <w:t>(</w:t>
                      </w:r>
                      <w:r w:rsidRPr="00FE4B93">
                        <w:rPr>
                          <w:b/>
                          <w:sz w:val="20"/>
                        </w:rPr>
                        <w:t>по т.1</w:t>
                      </w:r>
                      <w:r w:rsidRPr="00FE4B93">
                        <w:rPr>
                          <w:b/>
                          <w:sz w:val="20"/>
                          <w:lang w:val="en-US"/>
                        </w:rPr>
                        <w:t>)</w:t>
                      </w:r>
                      <w:r w:rsidRPr="00FE4B93">
                        <w:rPr>
                          <w:b/>
                          <w:sz w:val="20"/>
                        </w:rPr>
                        <w:t xml:space="preserve"> с наличните, за да се определи необходимостта от допълнителни ресурси. </w:t>
                      </w:r>
                    </w:p>
                  </w:txbxContent>
                </v:textbox>
              </v:rect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3217A" wp14:editId="3D982CF2">
                <wp:simplePos x="0" y="0"/>
                <wp:positionH relativeFrom="column">
                  <wp:posOffset>29845</wp:posOffset>
                </wp:positionH>
                <wp:positionV relativeFrom="paragraph">
                  <wp:posOffset>146050</wp:posOffset>
                </wp:positionV>
                <wp:extent cx="1697990" cy="2485390"/>
                <wp:effectExtent l="10795" t="8890" r="5715" b="107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7990" cy="24853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</w:rPr>
                            </w:pPr>
                            <w:r w:rsidRPr="00FE4B93">
                              <w:rPr>
                                <w:b/>
                              </w:rPr>
                              <w:t>Входни данни: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Сключени договори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/SLA</w:t>
                            </w:r>
                            <w:r w:rsidRPr="00FE4B93">
                              <w:rPr>
                                <w:sz w:val="20"/>
                              </w:rPr>
                              <w:t>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Бюджет;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Финансови отчети;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Прогноза за търговски сделки за следващ финансов период;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Конфигурация на услуга;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Изисквания към ресурсите;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Продуктивност на всеки ресурс;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Наличен ресурс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3217A" id="Rectangle 3" o:spid="_x0000_s1028" style="position:absolute;left:0;text-align:left;margin-left:2.35pt;margin-top:11.5pt;width:133.7pt;height:19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" fillcolor="#fde9d9 [665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</w:rPr>
                      </w:pPr>
                      <w:r w:rsidRPr="00FE4B93">
                        <w:rPr>
                          <w:b/>
                        </w:rPr>
                        <w:t>Входни данни: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Сключени договори</w:t>
                      </w:r>
                      <w:r>
                        <w:rPr>
                          <w:sz w:val="20"/>
                          <w:lang w:val="en-US"/>
                        </w:rPr>
                        <w:t>/SLA</w:t>
                      </w:r>
                      <w:r w:rsidRPr="00FE4B93">
                        <w:rPr>
                          <w:sz w:val="20"/>
                        </w:rPr>
                        <w:t>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Бюджет;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Финансови отчети;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Прогноза за търговски сделки за следващ финансов период;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Конфигурация на услуга;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Изисквания към ресурсите;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Продуктивност на всеки ресурс;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Наличен ресурс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0121C6" wp14:editId="507964F2">
                <wp:simplePos x="0" y="0"/>
                <wp:positionH relativeFrom="column">
                  <wp:posOffset>4293235</wp:posOffset>
                </wp:positionH>
                <wp:positionV relativeFrom="paragraph">
                  <wp:posOffset>31115</wp:posOffset>
                </wp:positionV>
                <wp:extent cx="629285" cy="249555"/>
                <wp:effectExtent l="6985" t="18415" r="20955" b="8255"/>
                <wp:wrapNone/>
                <wp:docPr id="2" name="Right Arrow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285" cy="249555"/>
                        </a:xfrm>
                        <a:prstGeom prst="rightArrow">
                          <a:avLst>
                            <a:gd name="adj1" fmla="val 50000"/>
                            <a:gd name="adj2" fmla="val 630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0C3D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338.05pt;margin-top:2.45pt;width:49.55pt;height:19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"/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284B5" wp14:editId="334A0A11">
                <wp:simplePos x="0" y="0"/>
                <wp:positionH relativeFrom="column">
                  <wp:posOffset>1691640</wp:posOffset>
                </wp:positionH>
                <wp:positionV relativeFrom="paragraph">
                  <wp:posOffset>31115</wp:posOffset>
                </wp:positionV>
                <wp:extent cx="629285" cy="249555"/>
                <wp:effectExtent l="5715" t="18415" r="12700" b="17780"/>
                <wp:wrapNone/>
                <wp:docPr id="1" name="Right Arrow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285" cy="249555"/>
                        </a:xfrm>
                        <a:prstGeom prst="rightArrow">
                          <a:avLst>
                            <a:gd name="adj1" fmla="val 50000"/>
                            <a:gd name="adj2" fmla="val 630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1EC" id="Right Arrow 1" o:spid="_x0000_s1026" type="#_x0000_t13" style="position:absolute;margin-left:133.2pt;margin-top:2.45pt;width:49.55pt;height:1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"/>
            </w:pict>
          </mc:Fallback>
        </mc:AlternateConten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t>Схема 1 – Процедура за анализ на капацитета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5452C0">
        <w:rPr>
          <w:b/>
        </w:rPr>
        <w:t>УПРАВЛЕНИЕ НА ПЛАНА НА КАПАЦИТЕТА</w:t>
      </w: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color w:val="000000"/>
          <w:spacing w:val="-6"/>
          <w:lang w:val="bg-BG"/>
        </w:rPr>
        <w:t>Настоящият план се одобрява от Групата по управление на услугите, съгласува се с Финансовия мениджър и се утв</w:t>
      </w:r>
      <w:r w:rsidR="005B7C4C">
        <w:rPr>
          <w:rFonts w:ascii="Arial" w:hAnsi="Arial" w:cs="Arial"/>
          <w:color w:val="000000"/>
          <w:spacing w:val="-6"/>
          <w:lang w:val="bg-BG"/>
        </w:rPr>
        <w:t>ъ</w:t>
      </w:r>
      <w:r w:rsidRPr="005452C0">
        <w:rPr>
          <w:rFonts w:ascii="Arial" w:hAnsi="Arial" w:cs="Arial"/>
          <w:color w:val="000000"/>
          <w:spacing w:val="-6"/>
          <w:lang w:val="bg-BG"/>
        </w:rPr>
        <w:t xml:space="preserve">рждава от Управителя на </w:t>
      </w:r>
      <w:r w:rsidRPr="005452C0">
        <w:rPr>
          <w:rFonts w:ascii="Arial" w:hAnsi="Arial" w:cs="Arial"/>
          <w:lang w:val="bg-BG"/>
        </w:rPr>
        <w:t>“C&amp;T България”. Планът подлежи на периодичен преглед за оценка на актуалността му (веднъж годишно, паралелно с бюджета). Промени в плана се внасят при оценена необходимост, вследствие на промяна в процесите, отговорно</w:t>
      </w:r>
      <w:r w:rsidR="005B7C4C">
        <w:rPr>
          <w:rFonts w:ascii="Arial" w:hAnsi="Arial" w:cs="Arial"/>
          <w:lang w:val="bg-BG"/>
        </w:rPr>
        <w:t>стите, вида и характеристиките</w:t>
      </w:r>
      <w:r w:rsidRPr="005452C0">
        <w:rPr>
          <w:rFonts w:ascii="Arial" w:hAnsi="Arial" w:cs="Arial"/>
          <w:lang w:val="bg-BG"/>
        </w:rPr>
        <w:t xml:space="preserve"> на предоставяните услуги, при постъпили заявки за нови или променени услуги и вследствие на инциденти с услугите. Промените се внасят за обсъждане и одобрение н</w:t>
      </w:r>
      <w:r w:rsidR="005B7C4C">
        <w:rPr>
          <w:rFonts w:ascii="Arial" w:hAnsi="Arial" w:cs="Arial"/>
          <w:lang w:val="bg-BG"/>
        </w:rPr>
        <w:t>а заседание на</w:t>
      </w:r>
      <w:r w:rsidRPr="005452C0">
        <w:rPr>
          <w:rFonts w:ascii="Arial" w:hAnsi="Arial" w:cs="Arial"/>
          <w:lang w:val="bg-BG"/>
        </w:rPr>
        <w:t xml:space="preserve"> СУ.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bookmarkStart w:id="0" w:name="_GoBack"/>
      <w:bookmarkEnd w:id="0"/>
      <w:r w:rsidRPr="005452C0">
        <w:rPr>
          <w:b/>
        </w:rPr>
        <w:t>ПРИЛОЖЕНИЯ/ СВЪРЗАНИ ДОКУМЕНТИ</w:t>
      </w:r>
    </w:p>
    <w:p w:rsidR="001A4F24" w:rsidRPr="005452C0" w:rsidRDefault="001D3F59" w:rsidP="005B7C4C">
      <w:pPr>
        <w:tabs>
          <w:tab w:val="num" w:pos="720"/>
        </w:tabs>
        <w:ind w:left="720"/>
        <w:jc w:val="both"/>
        <w:rPr>
          <w:lang w:val="bg-BG"/>
        </w:rPr>
      </w:pPr>
      <w:r w:rsidRPr="005452C0">
        <w:rPr>
          <w:rFonts w:ascii="Arial" w:hAnsi="Arial" w:cs="Arial"/>
          <w:lang w:val="bg-BG"/>
        </w:rPr>
        <w:t>Приложение 1    Анализ на капацитета</w:t>
      </w:r>
    </w:p>
    <w:sectPr w:rsidR="001A4F24" w:rsidRPr="005452C0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643" w:rsidRDefault="00BE7643" w:rsidP="00B26FC3">
      <w:pPr>
        <w:spacing w:after="0" w:line="240" w:lineRule="auto"/>
      </w:pPr>
      <w:r>
        <w:separator/>
      </w:r>
    </w:p>
  </w:endnote>
  <w:endnote w:type="continuationSeparator" w:id="0">
    <w:p w:rsidR="00BE7643" w:rsidRDefault="00BE764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7E4C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B7C4C" w:rsidRPr="00336218" w:rsidTr="003A612A">
      <w:trPr>
        <w:jc w:val="center"/>
      </w:trPr>
      <w:tc>
        <w:tcPr>
          <w:tcW w:w="2970" w:type="dxa"/>
        </w:tcPr>
        <w:p w:rsidR="005B7C4C" w:rsidRPr="00FD423E" w:rsidRDefault="005B7C4C" w:rsidP="005B7C4C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5B7C4C" w:rsidRPr="00D05409" w:rsidRDefault="005B7C4C" w:rsidP="005B7C4C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6442B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BCC82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643" w:rsidRDefault="00BE7643" w:rsidP="00B26FC3">
      <w:pPr>
        <w:spacing w:after="0" w:line="240" w:lineRule="auto"/>
      </w:pPr>
      <w:r>
        <w:separator/>
      </w:r>
    </w:p>
  </w:footnote>
  <w:footnote w:type="continuationSeparator" w:id="0">
    <w:p w:rsidR="00BE7643" w:rsidRDefault="00BE764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B7C4C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B7C4C">
      <w:rPr>
        <w:noProof/>
        <w:lang w:val="bg-BG" w:eastAsia="bg-BG"/>
      </w:rPr>
      <w:drawing>
        <wp:inline distT="0" distB="0" distL="0" distR="0" wp14:anchorId="3C94163D" wp14:editId="182600B9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B7C4C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B7C4C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5B7C4C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noProof/>
              <w:lang w:val="bg-BG" w:eastAsia="bg-BG"/>
            </w:rPr>
            <w:drawing>
              <wp:inline distT="0" distB="0" distL="0" distR="0" wp14:anchorId="04F67587" wp14:editId="7E0777F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RD</w:t>
          </w:r>
          <w:r w:rsidR="00FD423E" w:rsidRPr="005B7C4C">
            <w:rPr>
              <w:rFonts w:ascii="Arial" w:hAnsi="Arial" w:cs="Arial"/>
              <w:lang w:val="bg-BG"/>
            </w:rPr>
            <w:t xml:space="preserve">U </w:t>
          </w:r>
          <w:r w:rsidR="001D3F59" w:rsidRPr="005B7C4C">
            <w:rPr>
              <w:rFonts w:ascii="Arial" w:hAnsi="Arial" w:cs="Arial"/>
              <w:lang w:val="bg-BG"/>
            </w:rPr>
            <w:t>03</w:t>
          </w:r>
          <w:r w:rsidRPr="005B7C4C">
            <w:rPr>
              <w:rFonts w:ascii="Arial" w:hAnsi="Arial" w:cs="Arial"/>
              <w:lang w:val="bg-BG"/>
            </w:rPr>
            <w:t>-</w:t>
          </w:r>
          <w:r w:rsidR="00FD423E" w:rsidRPr="005B7C4C">
            <w:rPr>
              <w:rFonts w:ascii="Arial" w:hAnsi="Arial" w:cs="Arial"/>
              <w:lang w:val="bg-BG"/>
            </w:rPr>
            <w:t>01</w:t>
          </w:r>
        </w:p>
        <w:p w:rsidR="00FD423E" w:rsidRPr="005B7C4C" w:rsidRDefault="005B7C4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Вътрешн</w:t>
          </w:r>
          <w:r w:rsidR="00FD423E" w:rsidRPr="005B7C4C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5B7C4C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B7C4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НА КАПАЦИТЕТА</w:t>
          </w:r>
        </w:p>
      </w:tc>
      <w:tc>
        <w:tcPr>
          <w:tcW w:w="1191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 xml:space="preserve">Стр.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PAGE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5B7C4C">
            <w:rPr>
              <w:rFonts w:ascii="Arial" w:hAnsi="Arial" w:cs="Arial"/>
              <w:noProof/>
              <w:lang w:val="bg-BG"/>
            </w:rPr>
            <w:t>2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  <w:r w:rsidRPr="005B7C4C">
            <w:rPr>
              <w:rFonts w:ascii="Arial" w:hAnsi="Arial" w:cs="Arial"/>
              <w:lang w:val="bg-BG"/>
            </w:rPr>
            <w:t xml:space="preserve"> от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NUMPAGES 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5B7C4C">
            <w:rPr>
              <w:rFonts w:ascii="Arial" w:hAnsi="Arial" w:cs="Arial"/>
              <w:noProof/>
              <w:lang w:val="bg-BG"/>
            </w:rPr>
            <w:t>2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B7C4C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B7C4C" w:rsidRDefault="008910C7" w:rsidP="00FD423E">
    <w:pPr>
      <w:pStyle w:val="Header"/>
      <w:ind w:left="-720" w:right="-432"/>
      <w:rPr>
        <w:noProof/>
        <w:lang w:val="bg-BG"/>
      </w:rPr>
    </w:pPr>
    <w:r w:rsidRPr="005B7C4C">
      <w:rPr>
        <w:noProof/>
        <w:lang w:val="bg-BG" w:eastAsia="bg-BG"/>
      </w:rPr>
      <w:drawing>
        <wp:inline distT="0" distB="0" distL="0" distR="0" wp14:anchorId="04D24E40" wp14:editId="1310990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B7C4C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B7C4C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B7C4C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noProof/>
              <w:lang w:val="bg-BG" w:eastAsia="bg-BG"/>
            </w:rPr>
            <w:drawing>
              <wp:inline distT="0" distB="0" distL="0" distR="0" wp14:anchorId="7ECC0081" wp14:editId="733C448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RD</w:t>
          </w:r>
          <w:r w:rsidR="00FD423E" w:rsidRPr="005B7C4C">
            <w:rPr>
              <w:rFonts w:ascii="Arial" w:hAnsi="Arial" w:cs="Arial"/>
              <w:lang w:val="bg-BG"/>
            </w:rPr>
            <w:t xml:space="preserve">U </w:t>
          </w:r>
          <w:r w:rsidR="001D3F59" w:rsidRPr="005B7C4C">
            <w:rPr>
              <w:rFonts w:ascii="Arial" w:hAnsi="Arial" w:cs="Arial"/>
              <w:lang w:val="bg-BG"/>
            </w:rPr>
            <w:t>03</w:t>
          </w:r>
          <w:r w:rsidRPr="005B7C4C">
            <w:rPr>
              <w:rFonts w:ascii="Arial" w:hAnsi="Arial" w:cs="Arial"/>
              <w:lang w:val="bg-BG"/>
            </w:rPr>
            <w:t>-</w:t>
          </w:r>
          <w:r w:rsidR="00FD423E" w:rsidRPr="005B7C4C">
            <w:rPr>
              <w:rFonts w:ascii="Arial" w:hAnsi="Arial" w:cs="Arial"/>
              <w:lang w:val="bg-BG"/>
            </w:rPr>
            <w:t>01</w:t>
          </w:r>
        </w:p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B7C4C" w:rsidRDefault="005B7C4C" w:rsidP="005B7C4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24.08</w:t>
          </w:r>
          <w:r w:rsidR="006C0AED" w:rsidRPr="005B7C4C">
            <w:rPr>
              <w:rFonts w:ascii="Arial" w:hAnsi="Arial" w:cs="Arial"/>
              <w:lang w:val="bg-BG"/>
            </w:rPr>
            <w:t>.20</w:t>
          </w:r>
          <w:r w:rsidRPr="005B7C4C">
            <w:rPr>
              <w:rFonts w:ascii="Arial" w:hAnsi="Arial" w:cs="Arial"/>
              <w:lang w:val="bg-BG"/>
            </w:rPr>
            <w:t>20</w:t>
          </w:r>
        </w:p>
      </w:tc>
    </w:tr>
    <w:tr w:rsidR="006C0AED" w:rsidRPr="005B7C4C" w:rsidTr="007E3727">
      <w:tc>
        <w:tcPr>
          <w:tcW w:w="1037" w:type="pct"/>
          <w:vMerge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6C0AED" w:rsidRPr="005B7C4C" w:rsidRDefault="005B7C4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Вътреш</w:t>
          </w:r>
          <w:r w:rsidR="006C0AED" w:rsidRPr="005B7C4C">
            <w:rPr>
              <w:rFonts w:ascii="Arial" w:hAnsi="Arial" w:cs="Arial"/>
              <w:lang w:val="bg-BG"/>
            </w:rPr>
            <w:t>но ползване</w:t>
          </w:r>
        </w:p>
      </w:tc>
    </w:tr>
    <w:tr w:rsidR="006C0AED" w:rsidRPr="005B7C4C" w:rsidTr="007E3727">
      <w:tc>
        <w:tcPr>
          <w:tcW w:w="1037" w:type="pct"/>
          <w:vMerge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B7C4C">
            <w:rPr>
              <w:rFonts w:ascii="Arial" w:hAnsi="Arial" w:cs="Arial"/>
              <w:color w:val="548DD4" w:themeColor="text2" w:themeTint="99"/>
              <w:lang w:val="bg-BG"/>
            </w:rPr>
            <w:t>ПЛАН НА КАПАЦИТЕТА</w:t>
          </w:r>
        </w:p>
      </w:tc>
      <w:tc>
        <w:tcPr>
          <w:tcW w:w="1191" w:type="pct"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 xml:space="preserve">Стр.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PAGE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BE7643">
            <w:rPr>
              <w:rFonts w:ascii="Arial" w:hAnsi="Arial" w:cs="Arial"/>
              <w:noProof/>
              <w:lang w:val="bg-BG"/>
            </w:rPr>
            <w:t>1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  <w:r w:rsidRPr="005B7C4C">
            <w:rPr>
              <w:rFonts w:ascii="Arial" w:hAnsi="Arial" w:cs="Arial"/>
              <w:lang w:val="bg-BG"/>
            </w:rPr>
            <w:t xml:space="preserve"> от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NUMPAGES 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BE7643">
            <w:rPr>
              <w:rFonts w:ascii="Arial" w:hAnsi="Arial" w:cs="Arial"/>
              <w:noProof/>
              <w:lang w:val="bg-BG"/>
            </w:rPr>
            <w:t>1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B7C4C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4015A"/>
    <w:multiLevelType w:val="hybridMultilevel"/>
    <w:tmpl w:val="DC146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72F0031"/>
    <w:multiLevelType w:val="hybridMultilevel"/>
    <w:tmpl w:val="A1EC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4E27AD"/>
    <w:multiLevelType w:val="hybridMultilevel"/>
    <w:tmpl w:val="BA56EA4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16"/>
  </w:num>
  <w:num w:numId="6">
    <w:abstractNumId w:val="22"/>
  </w:num>
  <w:num w:numId="7">
    <w:abstractNumId w:val="8"/>
  </w:num>
  <w:num w:numId="8">
    <w:abstractNumId w:val="10"/>
  </w:num>
  <w:num w:numId="9">
    <w:abstractNumId w:val="20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1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5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19"/>
  </w:num>
  <w:num w:numId="36">
    <w:abstractNumId w:val="7"/>
  </w:num>
  <w:num w:numId="37">
    <w:abstractNumId w:val="18"/>
  </w:num>
  <w:num w:numId="38">
    <w:abstractNumId w:val="2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3F59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12AE9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52C0"/>
    <w:rsid w:val="005715D9"/>
    <w:rsid w:val="0057736F"/>
    <w:rsid w:val="00582253"/>
    <w:rsid w:val="00595864"/>
    <w:rsid w:val="005A5BA8"/>
    <w:rsid w:val="005A608F"/>
    <w:rsid w:val="005B3E93"/>
    <w:rsid w:val="005B5984"/>
    <w:rsid w:val="005B7C4C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1C3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3F8C"/>
    <w:rsid w:val="00BE60D7"/>
    <w:rsid w:val="00BE764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4A27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E08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437710"/>
  <w15:docId w15:val="{E5DBE36A-CB60-488B-98F2-9A6D146B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на капацитета</vt:lpstr>
    </vt:vector>
  </TitlesOfParts>
  <Company>suis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на капацитета</dc:title>
  <dc:subject/>
  <dc:creator>Georgy Verbachev</dc:creator>
  <cp:keywords/>
  <dc:description/>
  <cp:lastModifiedBy>Alexander Atanassov</cp:lastModifiedBy>
  <cp:revision>3</cp:revision>
  <cp:lastPrinted>2015-08-14T13:06:00Z</cp:lastPrinted>
  <dcterms:created xsi:type="dcterms:W3CDTF">2020-09-22T09:27:00Z</dcterms:created>
  <dcterms:modified xsi:type="dcterms:W3CDTF">2020-09-22T09:31:00Z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