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8C56" w14:textId="77777777" w:rsidR="00924AFB" w:rsidRDefault="00000000" w:rsidP="004E1ECD">
      <w:pPr>
        <w:pStyle w:val="Ttulo1"/>
        <w:jc w:val="center"/>
      </w:pPr>
      <w:bookmarkStart w:id="0" w:name="X97d25268d5f20b5b63df57c3749a94e6f9fb98f"/>
      <w:r>
        <w:t>Especificación de Requisitos de Software (ERS)</w:t>
      </w:r>
    </w:p>
    <w:p w14:paraId="7A60AB9E" w14:textId="77777777" w:rsidR="004E1ECD" w:rsidRPr="004E1ECD" w:rsidRDefault="004E1ECD" w:rsidP="004E1ECD">
      <w:pPr>
        <w:pStyle w:val="Textoindependiente"/>
      </w:pPr>
    </w:p>
    <w:p w14:paraId="33048C57" w14:textId="77777777" w:rsidR="00924AFB" w:rsidRDefault="00000000" w:rsidP="004E1ECD">
      <w:pPr>
        <w:pStyle w:val="FirstParagraph"/>
        <w:jc w:val="center"/>
      </w:pPr>
      <w:r>
        <w:rPr>
          <w:b/>
          <w:bCs/>
        </w:rPr>
        <w:t>Proyecto:</w:t>
      </w:r>
      <w:r>
        <w:t xml:space="preserve"> Clínica SaludPlus</w:t>
      </w:r>
      <w:r>
        <w:br/>
      </w:r>
      <w:r>
        <w:rPr>
          <w:b/>
          <w:bCs/>
        </w:rPr>
        <w:t>Consultora:</w:t>
      </w:r>
      <w:r>
        <w:t xml:space="preserve"> MedTech Solutions SpA</w:t>
      </w:r>
      <w:r>
        <w:br/>
      </w:r>
      <w:r>
        <w:rPr>
          <w:b/>
          <w:bCs/>
        </w:rPr>
        <w:t>Fecha de entrega:</w:t>
      </w:r>
      <w:r>
        <w:t xml:space="preserve"> Junio 30, 2026</w:t>
      </w:r>
      <w:r>
        <w:br/>
      </w:r>
      <w:r>
        <w:rPr>
          <w:b/>
          <w:bCs/>
        </w:rPr>
        <w:t>Integrantes:</w:t>
      </w:r>
      <w:r>
        <w:t xml:space="preserve"> Barbara Oyarzun, Roberto Gonzalez, Daniel Navarro</w:t>
      </w:r>
    </w:p>
    <w:p w14:paraId="33048C58" w14:textId="77777777" w:rsidR="00924AFB" w:rsidRDefault="00000000">
      <w:r>
        <w:pict w14:anchorId="33048C96">
          <v:rect id="_x0000_i1025" style="width:0;height:1.5pt" o:hralign="center" o:hrstd="t" o:hr="t"/>
        </w:pict>
      </w:r>
    </w:p>
    <w:p w14:paraId="33048C59" w14:textId="77777777" w:rsidR="00924AFB" w:rsidRDefault="00000000">
      <w:pPr>
        <w:pStyle w:val="Ttulo2"/>
      </w:pPr>
      <w:bookmarkStart w:id="1" w:name="documentación-del-sistema-y-arquitectura"/>
      <w:r>
        <w:t>1. Documentación del Sistema y Arquitectura</w:t>
      </w:r>
    </w:p>
    <w:p w14:paraId="33048C5A" w14:textId="77777777" w:rsidR="00924AFB" w:rsidRDefault="00000000">
      <w:pPr>
        <w:pStyle w:val="FirstParagraph"/>
      </w:pPr>
      <w:r>
        <w:t>SaludPlus funciona como un ecosistema distribuido mediante microservicios, eliminando completamente el cuello de botella de los monolitos. La plataforma ha evolucionado para incluir enrutamiento dinámico y descubrimiento de servicios, desglosándose en los siguientes componentes independientes:</w:t>
      </w:r>
    </w:p>
    <w:p w14:paraId="33048C5B" w14:textId="77777777" w:rsidR="00924AFB" w:rsidRDefault="00000000">
      <w:pPr>
        <w:pStyle w:val="Compact"/>
        <w:numPr>
          <w:ilvl w:val="0"/>
          <w:numId w:val="2"/>
        </w:numPr>
      </w:pPr>
      <w:r>
        <w:rPr>
          <w:b/>
          <w:bCs/>
        </w:rPr>
        <w:t>Servidor de Descubrimiento (Puerto 8761):</w:t>
      </w:r>
      <w:r>
        <w:t xml:space="preserve"> Servidor Eureka de Spring Cloud (Netflix OSS). Actúa como registro central donde todos los servicios reportan su ubicación.</w:t>
      </w:r>
    </w:p>
    <w:p w14:paraId="33048C5C" w14:textId="40312250" w:rsidR="00924AFB" w:rsidRDefault="00000000">
      <w:pPr>
        <w:pStyle w:val="Compact"/>
        <w:numPr>
          <w:ilvl w:val="0"/>
          <w:numId w:val="2"/>
        </w:numPr>
      </w:pPr>
      <w:r>
        <w:rPr>
          <w:b/>
          <w:bCs/>
        </w:rPr>
        <w:t>API Gateway (Puerto 8080):</w:t>
      </w:r>
      <w:r>
        <w:t xml:space="preserve"> Enrutador central construido con Spring Cloud Gateway. Centraliza el tráfico y redirige peticiones </w:t>
      </w:r>
      <w:proofErr w:type="spellStart"/>
      <w:r>
        <w:t>mediante</w:t>
      </w:r>
      <w:proofErr w:type="spellEnd"/>
      <w:r>
        <w:t xml:space="preserve"> </w:t>
      </w:r>
      <w:proofErr w:type="spellStart"/>
      <w:r>
        <w:t>balanceo</w:t>
      </w:r>
      <w:proofErr w:type="spellEnd"/>
      <w:r>
        <w:t xml:space="preserve"> de carga </w:t>
      </w:r>
      <w:proofErr w:type="spellStart"/>
      <w:r>
        <w:t>aislando</w:t>
      </w:r>
      <w:proofErr w:type="spellEnd"/>
      <w:r>
        <w:t xml:space="preserve"> la red interna de los clientes.</w:t>
      </w:r>
    </w:p>
    <w:p w14:paraId="33048C5D" w14:textId="77777777" w:rsidR="00924AFB" w:rsidRDefault="00000000">
      <w:pPr>
        <w:pStyle w:val="Compact"/>
        <w:numPr>
          <w:ilvl w:val="0"/>
          <w:numId w:val="2"/>
        </w:numPr>
      </w:pPr>
      <w:r>
        <w:rPr>
          <w:b/>
          <w:bCs/>
        </w:rPr>
        <w:t>Microservicio Pacientes (Puerto 8081):</w:t>
      </w:r>
      <w:r>
        <w:t xml:space="preserve"> Núcleo de seguridad (Spring Security + JWT), gestión de pacientes (CRUD) y orquestación de accesos.</w:t>
      </w:r>
    </w:p>
    <w:p w14:paraId="33048C5E" w14:textId="77777777" w:rsidR="00924AFB" w:rsidRDefault="00000000">
      <w:pPr>
        <w:pStyle w:val="Compact"/>
        <w:numPr>
          <w:ilvl w:val="0"/>
          <w:numId w:val="2"/>
        </w:numPr>
      </w:pPr>
      <w:r>
        <w:rPr>
          <w:b/>
          <w:bCs/>
        </w:rPr>
        <w:t>Microservicio Médicos (Puerto 8082):</w:t>
      </w:r>
      <w:r>
        <w:t xml:space="preserve"> Catálogo específico de facultativos y especialidades médicas.</w:t>
      </w:r>
    </w:p>
    <w:p w14:paraId="33048C5F" w14:textId="77777777" w:rsidR="00924AFB" w:rsidRDefault="00000000">
      <w:pPr>
        <w:pStyle w:val="Compact"/>
        <w:numPr>
          <w:ilvl w:val="0"/>
          <w:numId w:val="2"/>
        </w:numPr>
      </w:pPr>
      <w:r>
        <w:rPr>
          <w:b/>
          <w:bCs/>
        </w:rPr>
        <w:t>Microservicio Citas (Puerto 8083):</w:t>
      </w:r>
      <w:r>
        <w:t xml:space="preserve"> Gestión de la agenda y validación de la relación médico-paciente.</w:t>
      </w:r>
    </w:p>
    <w:p w14:paraId="6AD914DD" w14:textId="77777777" w:rsidR="00B107DD" w:rsidRDefault="00000000">
      <w:pPr>
        <w:pStyle w:val="FirstParagraph"/>
      </w:pPr>
      <w:r>
        <w:rPr>
          <w:b/>
          <w:bCs/>
        </w:rPr>
        <w:t>Arquitectura y Flujo de Datos:</w:t>
      </w:r>
      <w:r>
        <w:t xml:space="preserve"> La comunicación externa se dirige únicamente al </w:t>
      </w:r>
      <w:r>
        <w:rPr>
          <w:b/>
          <w:bCs/>
        </w:rPr>
        <w:t>API Gateway</w:t>
      </w:r>
      <w:r>
        <w:t xml:space="preserve">, el cual distribuye la carga de manera síncrona hacia los servicios (REST API). El servicio de Pacientes intercepta y valida las credenciales (JWT) cuando se </w:t>
      </w:r>
    </w:p>
    <w:p w14:paraId="33048C60" w14:textId="47177B11" w:rsidR="00924AFB" w:rsidRDefault="00000000">
      <w:pPr>
        <w:pStyle w:val="FirstParagraph"/>
      </w:pPr>
      <w:proofErr w:type="spellStart"/>
      <w:r>
        <w:t>requiere</w:t>
      </w:r>
      <w:proofErr w:type="spellEnd"/>
      <w:r>
        <w:t xml:space="preserve"> </w:t>
      </w:r>
      <w:proofErr w:type="spellStart"/>
      <w:r>
        <w:t>seguridad</w:t>
      </w:r>
      <w:proofErr w:type="spellEnd"/>
      <w:r>
        <w:t xml:space="preserve">. La comunicación interna entre servicios se maneja mediante </w:t>
      </w:r>
      <w:r>
        <w:rPr>
          <w:rStyle w:val="VerbatimChar"/>
        </w:rPr>
        <w:t>RestTemplate</w:t>
      </w:r>
      <w:r>
        <w:t xml:space="preserve"> o </w:t>
      </w:r>
      <w:r>
        <w:rPr>
          <w:rStyle w:val="VerbatimChar"/>
        </w:rPr>
        <w:t>OpenFeign</w:t>
      </w:r>
      <w:r>
        <w:t>. Cada servicio posee aislamiento total de datos con su propia base de datos MySQL independiente.</w:t>
      </w:r>
    </w:p>
    <w:p w14:paraId="35C65206" w14:textId="77777777" w:rsidR="007C03B5" w:rsidRDefault="00000000">
      <w:pPr>
        <w:pStyle w:val="Textoindependiente"/>
      </w:pPr>
      <w:r>
        <w:rPr>
          <w:b/>
          <w:bCs/>
        </w:rPr>
        <w:t>Documentación con OpenAPI (Swagger):</w:t>
      </w:r>
      <w:r>
        <w:t xml:space="preserve"> Se ha integrado </w:t>
      </w:r>
      <w:r>
        <w:rPr>
          <w:rStyle w:val="VerbatimChar"/>
        </w:rPr>
        <w:t>springdoc-openapi</w:t>
      </w:r>
      <w:r>
        <w:t xml:space="preserve"> para documentar la API en cada microservicio. </w:t>
      </w:r>
    </w:p>
    <w:p w14:paraId="792B69E3" w14:textId="77777777" w:rsidR="00CE3F26" w:rsidRDefault="00000000">
      <w:pPr>
        <w:pStyle w:val="Textoindependiente"/>
      </w:pPr>
      <w:r>
        <w:t xml:space="preserve">* </w:t>
      </w:r>
      <w:proofErr w:type="spellStart"/>
      <w:r>
        <w:rPr>
          <w:b/>
          <w:bCs/>
        </w:rPr>
        <w:t>Anotaciones</w:t>
      </w:r>
      <w:proofErr w:type="spellEnd"/>
      <w:r>
        <w:rPr>
          <w:b/>
          <w:bCs/>
        </w:rPr>
        <w:t xml:space="preserve"> clave </w:t>
      </w:r>
      <w:proofErr w:type="spellStart"/>
      <w:r>
        <w:rPr>
          <w:b/>
          <w:bCs/>
        </w:rPr>
        <w:t>utilizadas</w:t>
      </w:r>
      <w:proofErr w:type="spellEnd"/>
      <w:proofErr w:type="gramStart"/>
      <w:r>
        <w:rPr>
          <w:b/>
          <w:bCs/>
        </w:rPr>
        <w:t>:</w:t>
      </w:r>
      <w:r>
        <w:t xml:space="preserve">  Para</w:t>
      </w:r>
      <w:proofErr w:type="gramEnd"/>
      <w:r>
        <w:t xml:space="preserve"> agrupar los endpoints (ej. “Pacientes V2”). </w:t>
      </w:r>
    </w:p>
    <w:p w14:paraId="7C8FD550" w14:textId="77777777" w:rsidR="00CE3F26" w:rsidRDefault="00000000">
      <w:pPr>
        <w:pStyle w:val="Textoindependiente"/>
      </w:pPr>
      <w:r>
        <w:t xml:space="preserve">* </w:t>
      </w:r>
      <w:r>
        <w:rPr>
          <w:rStyle w:val="VerbatimChar"/>
        </w:rPr>
        <w:t>@Operation</w:t>
      </w:r>
      <w:r>
        <w:t xml:space="preserve">: Para </w:t>
      </w:r>
      <w:proofErr w:type="spellStart"/>
      <w:r>
        <w:t>describir</w:t>
      </w:r>
      <w:proofErr w:type="spellEnd"/>
      <w:r>
        <w:t xml:space="preserve"> la funcionalidad de cada método. *</w:t>
      </w:r>
    </w:p>
    <w:p w14:paraId="1038D06B" w14:textId="77777777" w:rsidR="00CE3F26" w:rsidRDefault="00000000">
      <w:pPr>
        <w:pStyle w:val="Textoindependiente"/>
      </w:pPr>
      <w:r>
        <w:lastRenderedPageBreak/>
        <w:t xml:space="preserve"> </w:t>
      </w:r>
      <w:r>
        <w:rPr>
          <w:rStyle w:val="VerbatimChar"/>
        </w:rPr>
        <w:t>@ApiResponse</w:t>
      </w:r>
      <w:r>
        <w:t xml:space="preserve">: Para documentar los códigos de estado HTTP esperados (200, 201, 401, 404). </w:t>
      </w:r>
    </w:p>
    <w:p w14:paraId="33048C61" w14:textId="34F759B2" w:rsidR="00924AFB" w:rsidRDefault="00000000">
      <w:pPr>
        <w:pStyle w:val="Textoindependiente"/>
      </w:pPr>
      <w:r>
        <w:t xml:space="preserve">* </w:t>
      </w:r>
      <w:r>
        <w:rPr>
          <w:rStyle w:val="VerbatimChar"/>
        </w:rPr>
        <w:t>@SecurityRequirement</w:t>
      </w:r>
      <w:r>
        <w:t xml:space="preserve">: Para </w:t>
      </w:r>
      <w:proofErr w:type="spellStart"/>
      <w:r>
        <w:t>indicar</w:t>
      </w:r>
      <w:proofErr w:type="spellEnd"/>
      <w:r>
        <w:t xml:space="preserve"> </w:t>
      </w:r>
      <w:proofErr w:type="spellStart"/>
      <w:r>
        <w:t>que</w:t>
      </w:r>
      <w:proofErr w:type="spellEnd"/>
      <w:r>
        <w:t xml:space="preserve"> la ruta requiere autenticación (</w:t>
      </w:r>
      <w:r>
        <w:rPr>
          <w:rStyle w:val="VerbatimChar"/>
        </w:rPr>
        <w:t>bearerAuth</w:t>
      </w:r>
      <w:r>
        <w:t>).</w:t>
      </w:r>
    </w:p>
    <w:p w14:paraId="33048C62" w14:textId="77777777" w:rsidR="00924AFB" w:rsidRDefault="00000000">
      <w:r>
        <w:pict w14:anchorId="33048C97">
          <v:rect id="_x0000_i1026" style="width:0;height:1.5pt" o:hralign="center" o:hrstd="t" o:hr="t"/>
        </w:pict>
      </w:r>
    </w:p>
    <w:p w14:paraId="33048C63" w14:textId="77777777" w:rsidR="00924AFB" w:rsidRDefault="00000000">
      <w:pPr>
        <w:pStyle w:val="Ttulo2"/>
      </w:pPr>
      <w:bookmarkStart w:id="2" w:name="plan-de-pruebas-básico"/>
      <w:bookmarkEnd w:id="1"/>
      <w:r>
        <w:t>2. Plan de Pruebas (Básico)</w:t>
      </w:r>
    </w:p>
    <w:p w14:paraId="18EA0101" w14:textId="77777777" w:rsidR="00BE2383" w:rsidRDefault="00000000">
      <w:pPr>
        <w:pStyle w:val="FirstParagraph"/>
      </w:pPr>
      <w:r>
        <w:t xml:space="preserve">Se implementó una estrategia de pruebas sólida en dos capas para garantizar la resiliencia clínica: </w:t>
      </w:r>
    </w:p>
    <w:p w14:paraId="6BB0434E" w14:textId="77777777" w:rsidR="00BE2383" w:rsidRDefault="00000000">
      <w:pPr>
        <w:pStyle w:val="FirstParagraph"/>
      </w:pPr>
      <w:r>
        <w:t xml:space="preserve">1. </w:t>
      </w:r>
      <w:proofErr w:type="spellStart"/>
      <w:r>
        <w:rPr>
          <w:b/>
          <w:bCs/>
        </w:rPr>
        <w:t>Pruebas</w:t>
      </w:r>
      <w:proofErr w:type="spellEnd"/>
      <w:r>
        <w:rPr>
          <w:b/>
          <w:bCs/>
        </w:rPr>
        <w:t xml:space="preserve"> </w:t>
      </w:r>
      <w:proofErr w:type="spellStart"/>
      <w:r>
        <w:rPr>
          <w:b/>
          <w:bCs/>
        </w:rPr>
        <w:t>Unitarias</w:t>
      </w:r>
      <w:proofErr w:type="spellEnd"/>
      <w:r>
        <w:rPr>
          <w:b/>
          <w:bCs/>
        </w:rPr>
        <w:t xml:space="preserve"> (JUnit + Mockito):</w:t>
      </w:r>
      <w:r>
        <w:t xml:space="preserve"> Validación de lógica de controladores y servicios aislando las dependencias mediante mocks. </w:t>
      </w:r>
    </w:p>
    <w:p w14:paraId="33048C64" w14:textId="64354BF8" w:rsidR="00924AFB" w:rsidRDefault="00000000">
      <w:pPr>
        <w:pStyle w:val="FirstParagraph"/>
      </w:pPr>
      <w:r>
        <w:t xml:space="preserve">2. </w:t>
      </w:r>
      <w:proofErr w:type="spellStart"/>
      <w:r>
        <w:rPr>
          <w:b/>
          <w:bCs/>
        </w:rPr>
        <w:t>Pruebas</w:t>
      </w:r>
      <w:proofErr w:type="spellEnd"/>
      <w:r>
        <w:rPr>
          <w:b/>
          <w:bCs/>
        </w:rPr>
        <w:t xml:space="preserve"> de </w:t>
      </w:r>
      <w:proofErr w:type="spellStart"/>
      <w:r>
        <w:rPr>
          <w:b/>
          <w:bCs/>
        </w:rPr>
        <w:t>Integración</w:t>
      </w:r>
      <w:proofErr w:type="spellEnd"/>
      <w:r>
        <w:rPr>
          <w:b/>
          <w:bCs/>
        </w:rPr>
        <w:t>:</w:t>
      </w:r>
      <w:r>
        <w:t xml:space="preserve"> </w:t>
      </w:r>
      <w:proofErr w:type="spellStart"/>
      <w:r>
        <w:t>Validación</w:t>
      </w:r>
      <w:proofErr w:type="spellEnd"/>
      <w:r>
        <w:t xml:space="preserve"> del flujo completo de comunicación entre los servicios para asegurar que el </w:t>
      </w:r>
      <w:r>
        <w:rPr>
          <w:rStyle w:val="VerbatimChar"/>
        </w:rPr>
        <w:t>RestTemplate</w:t>
      </w:r>
      <w:r>
        <w:t xml:space="preserve"> consuma correctamente los endpoints del microservicio de citas.</w:t>
      </w:r>
    </w:p>
    <w:tbl>
      <w:tblPr>
        <w:tblStyle w:val="Table"/>
        <w:tblW w:w="5000" w:type="pct"/>
        <w:tblLayout w:type="fixed"/>
        <w:tblLook w:val="0020" w:firstRow="1" w:lastRow="0" w:firstColumn="0" w:lastColumn="0" w:noHBand="0" w:noVBand="0"/>
      </w:tblPr>
      <w:tblGrid>
        <w:gridCol w:w="2263"/>
        <w:gridCol w:w="2263"/>
        <w:gridCol w:w="2264"/>
        <w:gridCol w:w="2264"/>
      </w:tblGrid>
      <w:tr w:rsidR="00924AFB" w14:paraId="33048C69" w14:textId="77777777" w:rsidTr="00924AFB">
        <w:trPr>
          <w:cnfStyle w:val="100000000000" w:firstRow="1" w:lastRow="0" w:firstColumn="0" w:lastColumn="0" w:oddVBand="0" w:evenVBand="0" w:oddHBand="0" w:evenHBand="0" w:firstRowFirstColumn="0" w:firstRowLastColumn="0" w:lastRowFirstColumn="0" w:lastRowLastColumn="0"/>
          <w:tblHeader/>
        </w:trPr>
        <w:tc>
          <w:tcPr>
            <w:tcW w:w="1980" w:type="dxa"/>
          </w:tcPr>
          <w:p w14:paraId="33048C65" w14:textId="77777777" w:rsidR="00924AFB" w:rsidRDefault="00000000">
            <w:pPr>
              <w:pStyle w:val="Compact"/>
            </w:pPr>
            <w:r>
              <w:t>Nombre del test</w:t>
            </w:r>
          </w:p>
        </w:tc>
        <w:tc>
          <w:tcPr>
            <w:tcW w:w="1980" w:type="dxa"/>
          </w:tcPr>
          <w:p w14:paraId="33048C66" w14:textId="77777777" w:rsidR="00924AFB" w:rsidRDefault="00000000">
            <w:pPr>
              <w:pStyle w:val="Compact"/>
            </w:pPr>
            <w:r>
              <w:t>Clase testeada</w:t>
            </w:r>
          </w:p>
        </w:tc>
        <w:tc>
          <w:tcPr>
            <w:tcW w:w="1980" w:type="dxa"/>
          </w:tcPr>
          <w:p w14:paraId="33048C67" w14:textId="77777777" w:rsidR="00924AFB" w:rsidRDefault="00000000">
            <w:pPr>
              <w:pStyle w:val="Compact"/>
            </w:pPr>
            <w:r>
              <w:t>Objetivo del test</w:t>
            </w:r>
          </w:p>
        </w:tc>
        <w:tc>
          <w:tcPr>
            <w:tcW w:w="1980" w:type="dxa"/>
          </w:tcPr>
          <w:p w14:paraId="33048C68" w14:textId="77777777" w:rsidR="00924AFB" w:rsidRDefault="00000000">
            <w:pPr>
              <w:pStyle w:val="Compact"/>
            </w:pPr>
            <w:r>
              <w:t>Resultado</w:t>
            </w:r>
          </w:p>
        </w:tc>
      </w:tr>
      <w:tr w:rsidR="00924AFB" w14:paraId="33048C6E" w14:textId="77777777">
        <w:tc>
          <w:tcPr>
            <w:tcW w:w="1980" w:type="dxa"/>
          </w:tcPr>
          <w:p w14:paraId="33048C6A" w14:textId="77777777" w:rsidR="00924AFB" w:rsidRDefault="00000000">
            <w:pPr>
              <w:pStyle w:val="Compact"/>
            </w:pPr>
            <w:r>
              <w:rPr>
                <w:rStyle w:val="VerbatimChar"/>
              </w:rPr>
              <w:t>listar_sinDatos_return</w:t>
            </w:r>
          </w:p>
        </w:tc>
        <w:tc>
          <w:tcPr>
            <w:tcW w:w="1980" w:type="dxa"/>
          </w:tcPr>
          <w:p w14:paraId="33048C6B" w14:textId="77777777" w:rsidR="00924AFB" w:rsidRDefault="00000000">
            <w:pPr>
              <w:pStyle w:val="Compact"/>
            </w:pPr>
            <w:r>
              <w:rPr>
                <w:rStyle w:val="VerbatimChar"/>
              </w:rPr>
              <w:t>PacienteController</w:t>
            </w:r>
          </w:p>
        </w:tc>
        <w:tc>
          <w:tcPr>
            <w:tcW w:w="1980" w:type="dxa"/>
          </w:tcPr>
          <w:p w14:paraId="33048C6C" w14:textId="77777777" w:rsidR="00924AFB" w:rsidRDefault="00000000">
            <w:pPr>
              <w:pStyle w:val="Compact"/>
            </w:pPr>
            <w:r>
              <w:t>Verificar estado 200 con lista vacía</w:t>
            </w:r>
          </w:p>
        </w:tc>
        <w:tc>
          <w:tcPr>
            <w:tcW w:w="1980" w:type="dxa"/>
          </w:tcPr>
          <w:p w14:paraId="33048C6D" w14:textId="77777777" w:rsidR="00924AFB" w:rsidRDefault="00000000">
            <w:pPr>
              <w:pStyle w:val="Compact"/>
            </w:pPr>
            <w:r>
              <w:rPr>
                <w:b/>
                <w:bCs/>
              </w:rPr>
              <w:t>PASSED</w:t>
            </w:r>
          </w:p>
        </w:tc>
      </w:tr>
      <w:tr w:rsidR="00924AFB" w14:paraId="33048C73" w14:textId="77777777">
        <w:tc>
          <w:tcPr>
            <w:tcW w:w="1980" w:type="dxa"/>
          </w:tcPr>
          <w:p w14:paraId="33048C6F" w14:textId="77777777" w:rsidR="00924AFB" w:rsidRDefault="00000000">
            <w:pPr>
              <w:pStyle w:val="Compact"/>
            </w:pPr>
            <w:r>
              <w:rPr>
                <w:rStyle w:val="VerbatimChar"/>
              </w:rPr>
              <w:t>guardar_retorna201</w:t>
            </w:r>
          </w:p>
        </w:tc>
        <w:tc>
          <w:tcPr>
            <w:tcW w:w="1980" w:type="dxa"/>
          </w:tcPr>
          <w:p w14:paraId="33048C70" w14:textId="77777777" w:rsidR="00924AFB" w:rsidRDefault="00000000">
            <w:pPr>
              <w:pStyle w:val="Compact"/>
            </w:pPr>
            <w:r>
              <w:rPr>
                <w:rStyle w:val="VerbatimChar"/>
              </w:rPr>
              <w:t>PacienteController</w:t>
            </w:r>
          </w:p>
        </w:tc>
        <w:tc>
          <w:tcPr>
            <w:tcW w:w="1980" w:type="dxa"/>
          </w:tcPr>
          <w:p w14:paraId="33048C71" w14:textId="77777777" w:rsidR="00924AFB" w:rsidRDefault="00000000">
            <w:pPr>
              <w:pStyle w:val="Compact"/>
            </w:pPr>
            <w:r>
              <w:t>Validar creación exitosa</w:t>
            </w:r>
          </w:p>
        </w:tc>
        <w:tc>
          <w:tcPr>
            <w:tcW w:w="1980" w:type="dxa"/>
          </w:tcPr>
          <w:p w14:paraId="33048C72" w14:textId="77777777" w:rsidR="00924AFB" w:rsidRDefault="00000000">
            <w:pPr>
              <w:pStyle w:val="Compact"/>
            </w:pPr>
            <w:r>
              <w:rPr>
                <w:b/>
                <w:bCs/>
              </w:rPr>
              <w:t>PASSED</w:t>
            </w:r>
          </w:p>
        </w:tc>
      </w:tr>
      <w:tr w:rsidR="00924AFB" w14:paraId="33048C78" w14:textId="77777777">
        <w:tc>
          <w:tcPr>
            <w:tcW w:w="1980" w:type="dxa"/>
          </w:tcPr>
          <w:p w14:paraId="33048C74" w14:textId="77777777" w:rsidR="00924AFB" w:rsidRDefault="00000000">
            <w:pPr>
              <w:pStyle w:val="Compact"/>
            </w:pPr>
            <w:r>
              <w:rPr>
                <w:rStyle w:val="VerbatimChar"/>
              </w:rPr>
              <w:t>listar_citas_medico</w:t>
            </w:r>
          </w:p>
        </w:tc>
        <w:tc>
          <w:tcPr>
            <w:tcW w:w="1980" w:type="dxa"/>
          </w:tcPr>
          <w:p w14:paraId="33048C75" w14:textId="77777777" w:rsidR="00924AFB" w:rsidRDefault="00000000">
            <w:pPr>
              <w:pStyle w:val="Compact"/>
            </w:pPr>
            <w:r>
              <w:rPr>
                <w:rStyle w:val="VerbatimChar"/>
              </w:rPr>
              <w:t>CitaController</w:t>
            </w:r>
          </w:p>
        </w:tc>
        <w:tc>
          <w:tcPr>
            <w:tcW w:w="1980" w:type="dxa"/>
          </w:tcPr>
          <w:p w14:paraId="33048C76" w14:textId="77777777" w:rsidR="00924AFB" w:rsidRDefault="00000000">
            <w:pPr>
              <w:pStyle w:val="Compact"/>
            </w:pPr>
            <w:r>
              <w:t>Validar consulta por ID de médico</w:t>
            </w:r>
          </w:p>
        </w:tc>
        <w:tc>
          <w:tcPr>
            <w:tcW w:w="1980" w:type="dxa"/>
          </w:tcPr>
          <w:p w14:paraId="33048C77" w14:textId="77777777" w:rsidR="00924AFB" w:rsidRDefault="00000000">
            <w:pPr>
              <w:pStyle w:val="Compact"/>
            </w:pPr>
            <w:r>
              <w:rPr>
                <w:b/>
                <w:bCs/>
              </w:rPr>
              <w:t>PASSED</w:t>
            </w:r>
          </w:p>
        </w:tc>
      </w:tr>
      <w:tr w:rsidR="00924AFB" w14:paraId="33048C7D" w14:textId="77777777">
        <w:tc>
          <w:tcPr>
            <w:tcW w:w="1980" w:type="dxa"/>
          </w:tcPr>
          <w:p w14:paraId="33048C79" w14:textId="77777777" w:rsidR="00924AFB" w:rsidRDefault="00000000">
            <w:pPr>
              <w:pStyle w:val="Compact"/>
            </w:pPr>
            <w:r>
              <w:rPr>
                <w:rStyle w:val="VerbatimChar"/>
              </w:rPr>
              <w:t>acceso_no_autorizado</w:t>
            </w:r>
          </w:p>
        </w:tc>
        <w:tc>
          <w:tcPr>
            <w:tcW w:w="1980" w:type="dxa"/>
          </w:tcPr>
          <w:p w14:paraId="33048C7A" w14:textId="77777777" w:rsidR="00924AFB" w:rsidRDefault="00000000">
            <w:pPr>
              <w:pStyle w:val="Compact"/>
            </w:pPr>
            <w:r>
              <w:rPr>
                <w:rStyle w:val="VerbatimChar"/>
              </w:rPr>
              <w:t>SecurityConfig</w:t>
            </w:r>
          </w:p>
        </w:tc>
        <w:tc>
          <w:tcPr>
            <w:tcW w:w="1980" w:type="dxa"/>
          </w:tcPr>
          <w:p w14:paraId="33048C7B" w14:textId="77777777" w:rsidR="00924AFB" w:rsidRDefault="00000000">
            <w:pPr>
              <w:pStyle w:val="Compact"/>
            </w:pPr>
            <w:r>
              <w:t>Validar bloqueo sin JWT</w:t>
            </w:r>
          </w:p>
        </w:tc>
        <w:tc>
          <w:tcPr>
            <w:tcW w:w="1980" w:type="dxa"/>
          </w:tcPr>
          <w:p w14:paraId="33048C7C" w14:textId="77777777" w:rsidR="00924AFB" w:rsidRDefault="00000000">
            <w:pPr>
              <w:pStyle w:val="Compact"/>
            </w:pPr>
            <w:r>
              <w:rPr>
                <w:b/>
                <w:bCs/>
              </w:rPr>
              <w:t>PASSED</w:t>
            </w:r>
          </w:p>
        </w:tc>
      </w:tr>
    </w:tbl>
    <w:p w14:paraId="33048C7E" w14:textId="77777777" w:rsidR="00924AFB" w:rsidRDefault="00000000">
      <w:r>
        <w:pict w14:anchorId="33048C98">
          <v:rect id="_x0000_i1027" style="width:0;height:1.5pt" o:hralign="center" o:hrstd="t" o:hr="t"/>
        </w:pict>
      </w:r>
    </w:p>
    <w:p w14:paraId="33048C7F" w14:textId="77777777" w:rsidR="00924AFB" w:rsidRDefault="00000000">
      <w:pPr>
        <w:pStyle w:val="Ttulo2"/>
      </w:pPr>
      <w:bookmarkStart w:id="3" w:name="documentación-con-hateoas"/>
      <w:bookmarkEnd w:id="2"/>
      <w:r>
        <w:t>3. Documentación con HATEOAS</w:t>
      </w:r>
    </w:p>
    <w:p w14:paraId="33048C80" w14:textId="77777777" w:rsidR="00924AFB" w:rsidRDefault="00000000">
      <w:pPr>
        <w:pStyle w:val="FirstParagraph"/>
      </w:pPr>
      <w:r>
        <w:t>HATEOAS (</w:t>
      </w:r>
      <w:r>
        <w:rPr>
          <w:i/>
          <w:iCs/>
        </w:rPr>
        <w:t>Hypermedia as the Engine of Application State</w:t>
      </w:r>
      <w:r>
        <w:t>) permite que nuestra API sea autodescriptiva. Se utilizó para que cada respuesta JSON incluya metadatos (</w:t>
      </w:r>
      <w:r>
        <w:rPr>
          <w:rStyle w:val="VerbatimChar"/>
        </w:rPr>
        <w:t>_links</w:t>
      </w:r>
      <w:r>
        <w:t>), indicando al cliente qué acciones puede realizar a continuación (navegabilidad).</w:t>
      </w:r>
    </w:p>
    <w:p w14:paraId="47549F0E" w14:textId="77777777" w:rsidR="00BE2383" w:rsidRDefault="00000000">
      <w:pPr>
        <w:pStyle w:val="Textoindependiente"/>
      </w:pPr>
      <w:r>
        <w:rPr>
          <w:b/>
          <w:bCs/>
        </w:rPr>
        <w:t>Implementación:</w:t>
      </w:r>
      <w:r>
        <w:t xml:space="preserve"> </w:t>
      </w:r>
    </w:p>
    <w:p w14:paraId="42F3BB8E" w14:textId="77777777" w:rsidR="00BE2383" w:rsidRDefault="00000000">
      <w:pPr>
        <w:pStyle w:val="Textoindependiente"/>
      </w:pPr>
      <w:r>
        <w:t xml:space="preserve">* </w:t>
      </w:r>
      <w:r>
        <w:rPr>
          <w:b/>
          <w:bCs/>
        </w:rPr>
        <w:t>Framework:</w:t>
      </w:r>
      <w:r>
        <w:t xml:space="preserve"> Spring HATEOAS. </w:t>
      </w:r>
    </w:p>
    <w:p w14:paraId="64392D3B" w14:textId="77777777" w:rsidR="00B107DD" w:rsidRDefault="00000000">
      <w:pPr>
        <w:pStyle w:val="Textoindependiente"/>
      </w:pPr>
      <w:r>
        <w:t xml:space="preserve">* </w:t>
      </w:r>
      <w:proofErr w:type="spellStart"/>
      <w:r>
        <w:rPr>
          <w:b/>
          <w:bCs/>
        </w:rPr>
        <w:t>Ensambladores</w:t>
      </w:r>
      <w:proofErr w:type="spellEnd"/>
      <w:r>
        <w:rPr>
          <w:b/>
          <w:bCs/>
        </w:rPr>
        <w:t>:</w:t>
      </w:r>
      <w:r>
        <w:t xml:space="preserve"> Se </w:t>
      </w:r>
      <w:proofErr w:type="spellStart"/>
      <w:r>
        <w:t>implementaron</w:t>
      </w:r>
      <w:proofErr w:type="spellEnd"/>
      <w:r>
        <w:t xml:space="preserve"> </w:t>
      </w:r>
      <w:proofErr w:type="spellStart"/>
      <w:r>
        <w:t>clases</w:t>
      </w:r>
      <w:proofErr w:type="spellEnd"/>
      <w:r>
        <w:t xml:space="preserve"> </w:t>
      </w:r>
      <w:r>
        <w:rPr>
          <w:rStyle w:val="VerbatimChar"/>
        </w:rPr>
        <w:t>ModelAssembler</w:t>
      </w:r>
      <w:r>
        <w:t xml:space="preserve"> (</w:t>
      </w:r>
      <w:proofErr w:type="gramStart"/>
      <w:r>
        <w:t>ej</w:t>
      </w:r>
      <w:proofErr w:type="gramEnd"/>
      <w:r>
        <w:t xml:space="preserve">. </w:t>
      </w:r>
      <w:r>
        <w:rPr>
          <w:rStyle w:val="VerbatimChar"/>
        </w:rPr>
        <w:t>PacienteModelAssembler</w:t>
      </w:r>
      <w:r>
        <w:t>) que convierten objetos de dominio (</w:t>
      </w:r>
      <w:r>
        <w:rPr>
          <w:rStyle w:val="VerbatimChar"/>
        </w:rPr>
        <w:t>Paciente</w:t>
      </w:r>
      <w:r>
        <w:t xml:space="preserve">) a </w:t>
      </w:r>
      <w:r>
        <w:rPr>
          <w:rStyle w:val="VerbatimChar"/>
        </w:rPr>
        <w:t>EntityModel</w:t>
      </w:r>
      <w:r>
        <w:t xml:space="preserve">, inyectando enlaces dinámicos hacia </w:t>
      </w:r>
      <w:proofErr w:type="spellStart"/>
      <w:r>
        <w:t>los</w:t>
      </w:r>
      <w:proofErr w:type="spellEnd"/>
      <w:r>
        <w:t xml:space="preserve"> </w:t>
      </w:r>
      <w:proofErr w:type="spellStart"/>
      <w:r>
        <w:t>métodos</w:t>
      </w:r>
      <w:proofErr w:type="spellEnd"/>
      <w:r>
        <w:t xml:space="preserve"> del </w:t>
      </w:r>
      <w:proofErr w:type="spellStart"/>
      <w:r>
        <w:t>controlador</w:t>
      </w:r>
      <w:proofErr w:type="spellEnd"/>
      <w:r>
        <w:t>.</w:t>
      </w:r>
    </w:p>
    <w:p w14:paraId="0E9F59BB" w14:textId="25024C63" w:rsidR="00BE2383" w:rsidRDefault="00000000">
      <w:pPr>
        <w:pStyle w:val="Textoindependiente"/>
      </w:pPr>
      <w:r>
        <w:lastRenderedPageBreak/>
        <w:t xml:space="preserve"> * </w:t>
      </w:r>
      <w:r>
        <w:rPr>
          <w:b/>
          <w:bCs/>
        </w:rPr>
        <w:t>Respuesta JSON:</w:t>
      </w:r>
      <w:r>
        <w:t xml:space="preserve"> Cada entidad incluye una sección </w:t>
      </w:r>
      <w:r>
        <w:rPr>
          <w:rStyle w:val="VerbatimChar"/>
        </w:rPr>
        <w:t>_links</w:t>
      </w:r>
      <w:r>
        <w:t xml:space="preserve"> con los atributos </w:t>
      </w:r>
      <w:r>
        <w:rPr>
          <w:rStyle w:val="VerbatimChar"/>
        </w:rPr>
        <w:t>self</w:t>
      </w:r>
      <w:r>
        <w:t xml:space="preserve"> (detalle del recurso) y </w:t>
      </w:r>
      <w:r>
        <w:rPr>
          <w:rStyle w:val="VerbatimChar"/>
        </w:rPr>
        <w:t>reservas</w:t>
      </w:r>
      <w:r>
        <w:t xml:space="preserve"> (relaciones de navegación). </w:t>
      </w:r>
    </w:p>
    <w:p w14:paraId="33048C81" w14:textId="1B6F0F01" w:rsidR="00924AFB" w:rsidRDefault="00000000">
      <w:pPr>
        <w:pStyle w:val="Textoindependiente"/>
      </w:pPr>
      <w:r>
        <w:t xml:space="preserve">* </w:t>
      </w:r>
      <w:proofErr w:type="spellStart"/>
      <w:r>
        <w:rPr>
          <w:b/>
          <w:bCs/>
        </w:rPr>
        <w:t>Navegabilidad</w:t>
      </w:r>
      <w:proofErr w:type="spellEnd"/>
      <w:r>
        <w:rPr>
          <w:b/>
          <w:bCs/>
        </w:rPr>
        <w:t>:</w:t>
      </w:r>
      <w:r>
        <w:t xml:space="preserve"> El </w:t>
      </w:r>
      <w:proofErr w:type="spellStart"/>
      <w:r>
        <w:t>cliente</w:t>
      </w:r>
      <w:proofErr w:type="spellEnd"/>
      <w:r>
        <w:t xml:space="preserve"> no necesita construir URLs manualmente; sigue los enlaces proporcionados por la API, mejorando el acoplamiento y facilitando la evolución del sistema.</w:t>
      </w:r>
    </w:p>
    <w:p w14:paraId="33048C82" w14:textId="77777777" w:rsidR="00924AFB" w:rsidRDefault="00000000">
      <w:r>
        <w:pict w14:anchorId="33048C99">
          <v:rect id="_x0000_i1028" style="width:0;height:1.5pt" o:hralign="center" o:hrstd="t" o:hr="t"/>
        </w:pict>
      </w:r>
    </w:p>
    <w:p w14:paraId="33048C83" w14:textId="77777777" w:rsidR="00924AFB" w:rsidRDefault="00000000">
      <w:pPr>
        <w:pStyle w:val="Ttulo2"/>
      </w:pPr>
      <w:bookmarkStart w:id="4" w:name="X547a1d0bac5b6f5e893b3f14777b4a6bf5341b2"/>
      <w:bookmarkEnd w:id="3"/>
      <w:r>
        <w:t>4. Población de Datos Automatizada (Datafaker)</w:t>
      </w:r>
    </w:p>
    <w:p w14:paraId="33048C84" w14:textId="77777777" w:rsidR="00924AFB" w:rsidRDefault="00000000">
      <w:pPr>
        <w:pStyle w:val="FirstParagraph"/>
      </w:pPr>
      <w:r>
        <w:t>Para dotar al sistema de datos realistas durante las fases de testeo y demostración, se integró un sistema distribuido de inyección de datos (Dummy Data).</w:t>
      </w:r>
    </w:p>
    <w:p w14:paraId="33048C85" w14:textId="77777777" w:rsidR="00924AFB" w:rsidRDefault="00000000">
      <w:pPr>
        <w:pStyle w:val="Compact"/>
        <w:numPr>
          <w:ilvl w:val="0"/>
          <w:numId w:val="3"/>
        </w:numPr>
      </w:pPr>
      <w:r>
        <w:rPr>
          <w:b/>
          <w:bCs/>
        </w:rPr>
        <w:t>Librería:</w:t>
      </w:r>
      <w:r>
        <w:t xml:space="preserve"> </w:t>
      </w:r>
      <w:r>
        <w:rPr>
          <w:rStyle w:val="VerbatimChar"/>
        </w:rPr>
        <w:t>net.datafaker:datafaker:2.3.0</w:t>
      </w:r>
    </w:p>
    <w:p w14:paraId="33048C86" w14:textId="77777777" w:rsidR="00924AFB" w:rsidRDefault="00000000">
      <w:pPr>
        <w:pStyle w:val="Compact"/>
        <w:numPr>
          <w:ilvl w:val="0"/>
          <w:numId w:val="3"/>
        </w:numPr>
      </w:pPr>
      <w:r>
        <w:rPr>
          <w:b/>
          <w:bCs/>
        </w:rPr>
        <w:t>Mecanismo:</w:t>
      </w:r>
      <w:r>
        <w:t xml:space="preserve"> Componentes </w:t>
      </w:r>
      <w:r>
        <w:rPr>
          <w:rStyle w:val="VerbatimChar"/>
        </w:rPr>
        <w:t>DataLoader</w:t>
      </w:r>
      <w:r>
        <w:t xml:space="preserve"> que implementan </w:t>
      </w:r>
      <w:r>
        <w:rPr>
          <w:rStyle w:val="VerbatimChar"/>
        </w:rPr>
        <w:t>CommandLineRunner</w:t>
      </w:r>
      <w:r>
        <w:t xml:space="preserve"> bajo el perfil </w:t>
      </w:r>
      <w:r>
        <w:rPr>
          <w:rStyle w:val="VerbatimChar"/>
        </w:rPr>
        <w:t>@Profile("dev")</w:t>
      </w:r>
      <w:r>
        <w:t>.</w:t>
      </w:r>
    </w:p>
    <w:p w14:paraId="33048C87" w14:textId="77777777" w:rsidR="00924AFB" w:rsidRDefault="00000000">
      <w:pPr>
        <w:pStyle w:val="Compact"/>
        <w:numPr>
          <w:ilvl w:val="0"/>
          <w:numId w:val="3"/>
        </w:numPr>
      </w:pPr>
      <w:r>
        <w:rPr>
          <w:b/>
          <w:bCs/>
        </w:rPr>
        <w:t>Volumen de inyección:</w:t>
      </w:r>
      <w:r>
        <w:t xml:space="preserve"> 50 Pacientes, 10 Médicos y 30 Citas aleatorias creadas de forma autónoma al inicializar los contenedores, previniendo duplicados validando la inexistencia previa de datos (</w:t>
      </w:r>
      <w:r>
        <w:rPr>
          <w:rStyle w:val="VerbatimChar"/>
        </w:rPr>
        <w:t>count() &gt; 0</w:t>
      </w:r>
      <w:r>
        <w:t>).</w:t>
      </w:r>
    </w:p>
    <w:p w14:paraId="33048C88" w14:textId="77777777" w:rsidR="00924AFB" w:rsidRDefault="00000000">
      <w:r>
        <w:pict w14:anchorId="33048C9A">
          <v:rect id="_x0000_i1029" style="width:0;height:1.5pt" o:hralign="center" o:hrstd="t" o:hr="t"/>
        </w:pict>
      </w:r>
    </w:p>
    <w:p w14:paraId="33048C89" w14:textId="77777777" w:rsidR="00924AFB" w:rsidRDefault="00000000">
      <w:pPr>
        <w:pStyle w:val="Ttulo2"/>
      </w:pPr>
      <w:bookmarkStart w:id="5" w:name="despliegue-en-la-nube-hipotético"/>
      <w:bookmarkEnd w:id="4"/>
      <w:r>
        <w:t>5. Despliegue en la Nube (Hipotético)</w:t>
      </w:r>
    </w:p>
    <w:p w14:paraId="33048C8A" w14:textId="77777777" w:rsidR="00924AFB" w:rsidRDefault="00000000">
      <w:pPr>
        <w:pStyle w:val="FirstParagraph"/>
      </w:pPr>
      <w:r>
        <w:t>Se selecciona Render por su soporte nativo para aplicaciones Java y despliegue directo desde GitHub.</w:t>
      </w:r>
    </w:p>
    <w:p w14:paraId="2841643A" w14:textId="77777777" w:rsidR="00B107DD" w:rsidRDefault="00000000">
      <w:pPr>
        <w:pStyle w:val="Textoindependiente"/>
      </w:pPr>
      <w:r>
        <w:rPr>
          <w:b/>
          <w:bCs/>
        </w:rPr>
        <w:t>Pasos Teóricos de Despliegue:</w:t>
      </w:r>
      <w:r>
        <w:t xml:space="preserve"> </w:t>
      </w:r>
    </w:p>
    <w:p w14:paraId="2103E0D5" w14:textId="77777777" w:rsidR="00B107DD" w:rsidRDefault="00000000">
      <w:pPr>
        <w:pStyle w:val="Textoindependiente"/>
      </w:pPr>
      <w:r>
        <w:t xml:space="preserve">1. </w:t>
      </w:r>
      <w:proofErr w:type="spellStart"/>
      <w:r>
        <w:rPr>
          <w:b/>
          <w:bCs/>
        </w:rPr>
        <w:t>Configuración</w:t>
      </w:r>
      <w:proofErr w:type="spellEnd"/>
      <w:r>
        <w:rPr>
          <w:b/>
          <w:bCs/>
        </w:rPr>
        <w:t xml:space="preserve"> de </w:t>
      </w:r>
      <w:proofErr w:type="spellStart"/>
      <w:r>
        <w:rPr>
          <w:b/>
          <w:bCs/>
        </w:rPr>
        <w:t>Entorno</w:t>
      </w:r>
      <w:proofErr w:type="spellEnd"/>
      <w:r>
        <w:rPr>
          <w:b/>
          <w:bCs/>
        </w:rPr>
        <w:t>:</w:t>
      </w:r>
      <w:r>
        <w:t xml:space="preserve"> </w:t>
      </w:r>
      <w:proofErr w:type="spellStart"/>
      <w:r>
        <w:t>Ajuste</w:t>
      </w:r>
      <w:proofErr w:type="spellEnd"/>
      <w:r>
        <w:t xml:space="preserve"> de variables de entorno para puerto (Render inyecta </w:t>
      </w:r>
      <w:r>
        <w:rPr>
          <w:rStyle w:val="VerbatimChar"/>
        </w:rPr>
        <w:t>PORT</w:t>
      </w:r>
      <w:r>
        <w:t>) y credenciales de base de datos (</w:t>
      </w:r>
      <w:proofErr w:type="spellStart"/>
      <w:r>
        <w:t>evitando</w:t>
      </w:r>
      <w:proofErr w:type="spellEnd"/>
      <w:r>
        <w:t xml:space="preserve"> </w:t>
      </w:r>
      <w:r>
        <w:rPr>
          <w:i/>
          <w:iCs/>
        </w:rPr>
        <w:t>hardcoding</w:t>
      </w:r>
      <w:r>
        <w:t xml:space="preserve"> de </w:t>
      </w:r>
      <w:proofErr w:type="spellStart"/>
      <w:r>
        <w:t>contraseñas</w:t>
      </w:r>
      <w:proofErr w:type="spellEnd"/>
      <w:r>
        <w:t>).</w:t>
      </w:r>
    </w:p>
    <w:p w14:paraId="03335E5F" w14:textId="77777777" w:rsidR="00B107DD" w:rsidRDefault="00000000">
      <w:pPr>
        <w:pStyle w:val="Textoindependiente"/>
      </w:pPr>
      <w:r>
        <w:t xml:space="preserve"> 2. </w:t>
      </w:r>
      <w:r>
        <w:rPr>
          <w:b/>
          <w:bCs/>
        </w:rPr>
        <w:t>Deploy desde GitHub:</w:t>
      </w:r>
      <w:r>
        <w:t xml:space="preserve"> Conexión del repositorio. Render detecta el </w:t>
      </w:r>
      <w:r>
        <w:rPr>
          <w:rStyle w:val="VerbatimChar"/>
        </w:rPr>
        <w:t>pom.xml</w:t>
      </w:r>
      <w:r>
        <w:t xml:space="preserve">, </w:t>
      </w:r>
      <w:proofErr w:type="gramStart"/>
      <w:r>
        <w:t xml:space="preserve">ejecuta </w:t>
      </w:r>
      <w:r>
        <w:rPr>
          <w:rStyle w:val="VerbatimChar"/>
        </w:rPr>
        <w:t>.</w:t>
      </w:r>
      <w:proofErr w:type="gramEnd"/>
      <w:r>
        <w:rPr>
          <w:rStyle w:val="VerbatimChar"/>
        </w:rPr>
        <w:t>/mvnw clean package</w:t>
      </w:r>
      <w:r>
        <w:t xml:space="preserve"> y levanta el </w:t>
      </w:r>
      <w:r>
        <w:rPr>
          <w:rStyle w:val="VerbatimChar"/>
        </w:rPr>
        <w:t>.jar</w:t>
      </w:r>
      <w:r>
        <w:t xml:space="preserve">. </w:t>
      </w:r>
    </w:p>
    <w:p w14:paraId="04FC9EEB" w14:textId="77777777" w:rsidR="00B107DD" w:rsidRDefault="00000000">
      <w:pPr>
        <w:pStyle w:val="Textoindependiente"/>
      </w:pPr>
      <w:r>
        <w:t xml:space="preserve">3. </w:t>
      </w:r>
      <w:proofErr w:type="spellStart"/>
      <w:r>
        <w:rPr>
          <w:b/>
          <w:bCs/>
        </w:rPr>
        <w:t>Supervisión</w:t>
      </w:r>
      <w:proofErr w:type="spellEnd"/>
      <w:r>
        <w:rPr>
          <w:b/>
          <w:bCs/>
        </w:rPr>
        <w:t>:</w:t>
      </w:r>
      <w:r>
        <w:t xml:space="preserve"> Uso de </w:t>
      </w:r>
      <w:proofErr w:type="spellStart"/>
      <w:r>
        <w:t>los</w:t>
      </w:r>
      <w:proofErr w:type="spellEnd"/>
      <w:r>
        <w:t xml:space="preserve"> Logs nativos de Render para monitorear el arranque de Spring Boot. </w:t>
      </w:r>
    </w:p>
    <w:p w14:paraId="33048C8B" w14:textId="64B814A3" w:rsidR="00924AFB" w:rsidRDefault="00000000">
      <w:pPr>
        <w:pStyle w:val="Textoindependiente"/>
      </w:pPr>
      <w:r>
        <w:t xml:space="preserve">4. </w:t>
      </w:r>
      <w:proofErr w:type="spellStart"/>
      <w:r>
        <w:rPr>
          <w:b/>
          <w:bCs/>
        </w:rPr>
        <w:t>Monitoreo</w:t>
      </w:r>
      <w:proofErr w:type="spellEnd"/>
      <w:r>
        <w:rPr>
          <w:b/>
          <w:bCs/>
        </w:rPr>
        <w:t>:</w:t>
      </w:r>
      <w:r>
        <w:t xml:space="preserve"> </w:t>
      </w:r>
      <w:proofErr w:type="spellStart"/>
      <w:r>
        <w:t>Implementación</w:t>
      </w:r>
      <w:proofErr w:type="spellEnd"/>
      <w:r>
        <w:t xml:space="preserve"> de </w:t>
      </w:r>
      <w:r>
        <w:rPr>
          <w:rStyle w:val="VerbatimChar"/>
        </w:rPr>
        <w:t>Spring Boot Actuator</w:t>
      </w:r>
      <w:r>
        <w:t xml:space="preserve"> en el endpoint </w:t>
      </w:r>
      <w:r>
        <w:rPr>
          <w:rStyle w:val="VerbatimChar"/>
        </w:rPr>
        <w:t>/actuator/health</w:t>
      </w:r>
      <w:r>
        <w:t xml:space="preserve"> para que el servicio de monitoreo verifique la disponibilidad del servicio automáticamente.</w:t>
      </w:r>
    </w:p>
    <w:p w14:paraId="33048C8C" w14:textId="77777777" w:rsidR="00924AFB" w:rsidRDefault="00000000">
      <w:r>
        <w:pict w14:anchorId="33048C9B">
          <v:rect id="_x0000_i1030" style="width:0;height:1.5pt" o:hralign="center" o:hrstd="t" o:hr="t"/>
        </w:pict>
      </w:r>
    </w:p>
    <w:p w14:paraId="33048C8D" w14:textId="77777777" w:rsidR="00924AFB" w:rsidRDefault="00000000">
      <w:pPr>
        <w:pStyle w:val="Ttulo2"/>
      </w:pPr>
      <w:bookmarkStart w:id="6" w:name="conclusiones-y-reflexión"/>
      <w:bookmarkEnd w:id="5"/>
      <w:r>
        <w:lastRenderedPageBreak/>
        <w:t>6. Conclusiones y Reflexión</w:t>
      </w:r>
    </w:p>
    <w:p w14:paraId="33048C8E" w14:textId="77777777" w:rsidR="00924AFB" w:rsidRDefault="00000000">
      <w:pPr>
        <w:pStyle w:val="Compact"/>
        <w:numPr>
          <w:ilvl w:val="0"/>
          <w:numId w:val="4"/>
        </w:numPr>
      </w:pPr>
      <w:r>
        <w:rPr>
          <w:b/>
          <w:bCs/>
        </w:rPr>
        <w:t>Lecciones:</w:t>
      </w:r>
      <w:r>
        <w:t xml:space="preserve"> La mayor enseñanza fue comprender la importancia del aislamiento. Un cambio en la base de datos del servicio de citas no afecta al de médicos, lo cual es vital para la estabilidad clínica.</w:t>
      </w:r>
    </w:p>
    <w:p w14:paraId="33048C8F" w14:textId="77777777" w:rsidR="00924AFB" w:rsidRDefault="00000000">
      <w:pPr>
        <w:pStyle w:val="Compact"/>
        <w:numPr>
          <w:ilvl w:val="0"/>
          <w:numId w:val="4"/>
        </w:numPr>
      </w:pPr>
      <w:r>
        <w:rPr>
          <w:b/>
          <w:bCs/>
        </w:rPr>
        <w:t>Calidad:</w:t>
      </w:r>
      <w:r>
        <w:t xml:space="preserve"> La calidad mejoró drásticamente al separar responsabilidades. Las anotaciones de Swagger y la implementación de HATEOAS hicieron que nuestra API sea profesional y fácil de consumir para terceros.</w:t>
      </w:r>
    </w:p>
    <w:p w14:paraId="33048C90" w14:textId="77777777" w:rsidR="00924AFB" w:rsidRDefault="00000000">
      <w:pPr>
        <w:pStyle w:val="Compact"/>
        <w:numPr>
          <w:ilvl w:val="0"/>
          <w:numId w:val="4"/>
        </w:numPr>
      </w:pPr>
      <w:r>
        <w:rPr>
          <w:b/>
          <w:bCs/>
        </w:rPr>
        <w:t>Escalabilidad y Evolución Arquitectónica:</w:t>
      </w:r>
      <w:r>
        <w:t xml:space="preserve"> Logramos materializar la visión inicial del proyecto incorporando un </w:t>
      </w:r>
      <w:r>
        <w:rPr>
          <w:b/>
          <w:bCs/>
        </w:rPr>
        <w:t>API Gateway</w:t>
      </w:r>
      <w:r>
        <w:t xml:space="preserve"> centralizado, acompañado de un registro </w:t>
      </w:r>
      <w:r>
        <w:rPr>
          <w:b/>
          <w:bCs/>
        </w:rPr>
        <w:t>Eureka Server</w:t>
      </w:r>
      <w:r>
        <w:t>. Esto nos ha permitido unificar el punto de entrada y balancear cargas eficientemente. El uso de Docker a futuro permitirá desplegar todos estos microservicios en cualquier entorno sin configurar los puertos o el servidor manualmente.</w:t>
      </w:r>
    </w:p>
    <w:p w14:paraId="33048C91" w14:textId="77777777" w:rsidR="00924AFB" w:rsidRDefault="00000000">
      <w:r>
        <w:pict w14:anchorId="33048C9C">
          <v:rect id="_x0000_i1031" style="width:0;height:1.5pt" o:hralign="center" o:hrstd="t" o:hr="t"/>
        </w:pict>
      </w:r>
    </w:p>
    <w:p w14:paraId="33048C92" w14:textId="77777777" w:rsidR="00924AFB" w:rsidRDefault="00000000">
      <w:pPr>
        <w:pStyle w:val="Ttulo2"/>
      </w:pPr>
      <w:bookmarkStart w:id="7" w:name="anexos"/>
      <w:bookmarkEnd w:id="6"/>
      <w:r>
        <w:t>7. Anexos</w:t>
      </w:r>
    </w:p>
    <w:p w14:paraId="33048C93" w14:textId="77777777" w:rsidR="00924AFB" w:rsidRDefault="00000000">
      <w:pPr>
        <w:pStyle w:val="Compact"/>
        <w:numPr>
          <w:ilvl w:val="0"/>
          <w:numId w:val="5"/>
        </w:numPr>
      </w:pPr>
      <w:r>
        <w:rPr>
          <w:b/>
          <w:bCs/>
        </w:rPr>
        <w:t>Repositorio GitHub:</w:t>
      </w:r>
      <w:r>
        <w:t xml:space="preserve"> [Enlace pendiente del repositorio]</w:t>
      </w:r>
    </w:p>
    <w:p w14:paraId="33048C94" w14:textId="77777777" w:rsidR="00924AFB" w:rsidRDefault="00000000">
      <w:pPr>
        <w:pStyle w:val="Compact"/>
        <w:numPr>
          <w:ilvl w:val="0"/>
          <w:numId w:val="5"/>
        </w:numPr>
      </w:pPr>
      <w:r>
        <w:rPr>
          <w:b/>
          <w:bCs/>
        </w:rPr>
        <w:t>Local host Gateway:</w:t>
      </w:r>
      <w:r>
        <w:t xml:space="preserve"> </w:t>
      </w:r>
      <w:r>
        <w:rPr>
          <w:rStyle w:val="VerbatimChar"/>
        </w:rPr>
        <w:t>http://localhost:8080/</w:t>
      </w:r>
    </w:p>
    <w:p w14:paraId="33048C95" w14:textId="77777777" w:rsidR="00924AFB" w:rsidRDefault="00000000">
      <w:pPr>
        <w:pStyle w:val="Compact"/>
        <w:numPr>
          <w:ilvl w:val="0"/>
          <w:numId w:val="5"/>
        </w:numPr>
      </w:pPr>
      <w:r>
        <w:rPr>
          <w:b/>
          <w:bCs/>
        </w:rPr>
        <w:t>Local host Swagger Gateway:</w:t>
      </w:r>
      <w:r>
        <w:t xml:space="preserve"> </w:t>
      </w:r>
      <w:r>
        <w:rPr>
          <w:rStyle w:val="VerbatimChar"/>
        </w:rPr>
        <w:t>http://localhost:8080/webjars/swagger-ui/index.html</w:t>
      </w:r>
      <w:r>
        <w:t xml:space="preserve"> (Ruta configurada para consultar las interfaces en base a las reglas del gateway).</w:t>
      </w:r>
      <w:bookmarkEnd w:id="0"/>
      <w:bookmarkEnd w:id="7"/>
    </w:p>
    <w:sectPr w:rsidR="00924AF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5670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44419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63936835">
    <w:abstractNumId w:val="0"/>
  </w:num>
  <w:num w:numId="2" w16cid:durableId="357630853">
    <w:abstractNumId w:val="1"/>
  </w:num>
  <w:num w:numId="3" w16cid:durableId="1051460199">
    <w:abstractNumId w:val="1"/>
  </w:num>
  <w:num w:numId="4" w16cid:durableId="183174630">
    <w:abstractNumId w:val="1"/>
  </w:num>
  <w:num w:numId="5" w16cid:durableId="1824152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24AFB"/>
    <w:rsid w:val="004E1ECD"/>
    <w:rsid w:val="00700244"/>
    <w:rsid w:val="007C03B5"/>
    <w:rsid w:val="008E2313"/>
    <w:rsid w:val="00924AFB"/>
    <w:rsid w:val="00B107DD"/>
    <w:rsid w:val="00BE2383"/>
    <w:rsid w:val="00CE3F26"/>
    <w:rsid w:val="00FE2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48C56"/>
  <w15:docId w15:val="{8114C735-D615-4B8F-B4F0-ED29A50AB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957</Words>
  <Characters>5267</Characters>
  <Application>Microsoft Office Word</Application>
  <DocSecurity>0</DocSecurity>
  <Lines>43</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Niko Nukigara</cp:lastModifiedBy>
  <cp:revision>8</cp:revision>
  <dcterms:created xsi:type="dcterms:W3CDTF">2026-06-30T20:36:00Z</dcterms:created>
  <dcterms:modified xsi:type="dcterms:W3CDTF">2026-06-30T20:49:00Z</dcterms:modified>
</cp:coreProperties>
</file>