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C3" w:rsidRDefault="00A61556" w:rsidP="001A0131">
      <w:pPr>
        <w:pStyle w:val="1"/>
      </w:pPr>
      <w:bookmarkStart w:id="0" w:name="_Toc12799667"/>
      <w:r>
        <w:t>Введение</w:t>
      </w:r>
      <w:bookmarkEnd w:id="0"/>
    </w:p>
    <w:p w:rsidR="00A61556" w:rsidRDefault="00A61556" w:rsidP="00A61556">
      <w:r>
        <w:t>В современности  даже человеку никак не связанному с техническими науками, приходится  иметь дело с вычислениями.  Для этих целей было создано огромное количество программ, например, таких как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Windows</w:t>
      </w:r>
      <w:r w:rsidRPr="00A61556">
        <w:t>-</w:t>
      </w:r>
      <w:r>
        <w:t xml:space="preserve">калькулятор, </w:t>
      </w:r>
      <w:proofErr w:type="spellStart"/>
      <w:proofErr w:type="gramStart"/>
      <w:r w:rsidR="00D473FC">
        <w:rPr>
          <w:lang w:val="en-US"/>
        </w:rPr>
        <w:t>SmathStudio</w:t>
      </w:r>
      <w:proofErr w:type="spellEnd"/>
      <w:r w:rsidR="00D473FC">
        <w:t xml:space="preserve"> </w:t>
      </w:r>
      <w:r w:rsidR="00D473FC" w:rsidRPr="00D473FC">
        <w:t>,</w:t>
      </w:r>
      <w:proofErr w:type="gramEnd"/>
      <w:r w:rsidR="00D473FC">
        <w:t xml:space="preserve"> </w:t>
      </w:r>
      <w:proofErr w:type="spellStart"/>
      <w:r w:rsidR="00D473FC">
        <w:rPr>
          <w:lang w:val="en-US"/>
        </w:rPr>
        <w:t>WolframAlpha</w:t>
      </w:r>
      <w:proofErr w:type="spellEnd"/>
      <w:r w:rsidR="00D473FC" w:rsidRPr="00D473FC">
        <w:t xml:space="preserve"> , </w:t>
      </w:r>
      <w:r w:rsidR="00D473FC">
        <w:t xml:space="preserve">различные </w:t>
      </w:r>
      <w:proofErr w:type="spellStart"/>
      <w:r w:rsidR="00D473FC">
        <w:t>веб-приложения</w:t>
      </w:r>
      <w:proofErr w:type="spellEnd"/>
      <w:r w:rsidR="00D473FC">
        <w:t xml:space="preserve"> для самых разнообразных расчетов. Однако многие из них либо требуют наличие подключения к </w:t>
      </w:r>
      <w:r w:rsidR="00D473FC">
        <w:rPr>
          <w:lang w:val="en-US"/>
        </w:rPr>
        <w:t>Internet</w:t>
      </w:r>
      <w:r w:rsidR="00BA625B">
        <w:t xml:space="preserve">, либо не умеют интегрировать или решать простые уравнения, либо громоздки и имеют сложный или неудобный интерфейс. В связи с этим возникает необходимость </w:t>
      </w:r>
      <w:r w:rsidR="00D473FC" w:rsidRPr="00D473FC">
        <w:t xml:space="preserve"> </w:t>
      </w:r>
      <w:r w:rsidR="00BA625B">
        <w:t xml:space="preserve">в  компактном  калькуляторе способном помимо прочего выполнять простые аналитические функции и  не требующем доступа в </w:t>
      </w:r>
      <w:r w:rsidR="00BA625B">
        <w:rPr>
          <w:lang w:val="en-US"/>
        </w:rPr>
        <w:t>Internet</w:t>
      </w:r>
      <w:r w:rsidR="00BA625B">
        <w:t>.</w:t>
      </w:r>
    </w:p>
    <w:p w:rsidR="00BA625B" w:rsidRDefault="00BA625B" w:rsidP="00BA625B">
      <w:pPr>
        <w:pStyle w:val="2"/>
      </w:pPr>
      <w:bookmarkStart w:id="1" w:name="_Toc12799668"/>
      <w:r>
        <w:t>Выбор решения</w:t>
      </w:r>
      <w:bookmarkEnd w:id="1"/>
    </w:p>
    <w:p w:rsidR="00922095" w:rsidRDefault="00BA625B" w:rsidP="00BA625B">
      <w:r>
        <w:t xml:space="preserve">Было решено создать приложение с графическим </w:t>
      </w:r>
      <w:r w:rsidR="00927651">
        <w:t>интерфейсом, имеющее помимо алгебраических функций (</w:t>
      </w:r>
      <w:r w:rsidR="00927651">
        <w:rPr>
          <w:lang w:val="en-US"/>
        </w:rPr>
        <w:t>sin</w:t>
      </w:r>
      <w:r w:rsidR="00927651" w:rsidRPr="00927651">
        <w:t xml:space="preserve">, </w:t>
      </w:r>
      <w:proofErr w:type="spellStart"/>
      <w:r w:rsidR="00927651">
        <w:rPr>
          <w:lang w:val="en-US"/>
        </w:rPr>
        <w:t>arctg</w:t>
      </w:r>
      <w:proofErr w:type="spellEnd"/>
      <w:r w:rsidR="00927651" w:rsidRPr="00927651">
        <w:t xml:space="preserve">, </w:t>
      </w:r>
      <w:r w:rsidR="00927651">
        <w:rPr>
          <w:lang w:val="en-US"/>
        </w:rPr>
        <w:t>sign</w:t>
      </w:r>
      <w:r w:rsidR="00927651" w:rsidRPr="00927651">
        <w:t xml:space="preserve"> </w:t>
      </w:r>
      <w:r w:rsidR="00927651">
        <w:t xml:space="preserve">и т.д.), функцию нахождения определённого интеграла, функцию вычисления длины дуги, функцию решения уравнения. Для более удобного пользования и более </w:t>
      </w:r>
      <w:proofErr w:type="spellStart"/>
      <w:r w:rsidR="00927651">
        <w:t>бстрого</w:t>
      </w:r>
      <w:proofErr w:type="spellEnd"/>
      <w:r w:rsidR="00927651">
        <w:t xml:space="preserve"> введения выражений в приложении было решено использовать горячие клавиши для вызова самых </w:t>
      </w:r>
      <w:proofErr w:type="spellStart"/>
      <w:r w:rsidR="00927651">
        <w:t>частоиспользуемых</w:t>
      </w:r>
      <w:proofErr w:type="spellEnd"/>
      <w:r w:rsidR="00927651">
        <w:t xml:space="preserve"> функций. Было принято решение использовать для написания интерфейса – </w:t>
      </w:r>
      <w:proofErr w:type="spellStart"/>
      <w:r w:rsidR="00927651">
        <w:rPr>
          <w:lang w:val="en-US"/>
        </w:rPr>
        <w:t>WinApi</w:t>
      </w:r>
      <w:proofErr w:type="spellEnd"/>
      <w:r w:rsidR="00927651" w:rsidRPr="00927651">
        <w:t xml:space="preserve">, </w:t>
      </w:r>
      <w:proofErr w:type="gramStart"/>
      <w:r w:rsidR="00927651">
        <w:t>для</w:t>
      </w:r>
      <w:proofErr w:type="gramEnd"/>
      <w:r w:rsidR="00927651">
        <w:t xml:space="preserve"> </w:t>
      </w:r>
      <w:proofErr w:type="gramStart"/>
      <w:r w:rsidR="00927651">
        <w:t>написание</w:t>
      </w:r>
      <w:proofErr w:type="gramEnd"/>
      <w:r w:rsidR="00927651">
        <w:t xml:space="preserve"> программы</w:t>
      </w:r>
      <w:r w:rsidR="00922095">
        <w:t xml:space="preserve"> -</w:t>
      </w:r>
      <w:r w:rsidR="00927651">
        <w:t xml:space="preserve"> язык </w:t>
      </w:r>
      <w:r w:rsidR="00927651">
        <w:rPr>
          <w:lang w:val="en-US"/>
        </w:rPr>
        <w:t>C</w:t>
      </w:r>
      <w:r w:rsidR="00927651" w:rsidRPr="00927651">
        <w:t xml:space="preserve">++. </w:t>
      </w:r>
      <w:r w:rsidR="00927651">
        <w:t xml:space="preserve">Разработку </w:t>
      </w:r>
      <w:r w:rsidR="00922095">
        <w:t xml:space="preserve">приложения было удумано произвести в среде </w:t>
      </w:r>
      <w:proofErr w:type="spellStart"/>
      <w:r w:rsidR="00922095">
        <w:rPr>
          <w:lang w:val="en-US"/>
        </w:rPr>
        <w:t>CodeBlocks</w:t>
      </w:r>
      <w:proofErr w:type="spellEnd"/>
      <w:r w:rsidR="00922095" w:rsidRPr="00922095">
        <w:t>,</w:t>
      </w:r>
      <w:r w:rsidR="00922095">
        <w:t xml:space="preserve"> ввиду её большой функциональности вкупе с простым и удобным интерфейсом. </w:t>
      </w:r>
    </w:p>
    <w:p w:rsidR="00922095" w:rsidRDefault="00922095" w:rsidP="00922095">
      <w:r>
        <w:t>Программа состоит из 5 файлов:</w:t>
      </w:r>
    </w:p>
    <w:p w:rsidR="00922095" w:rsidRDefault="00922095" w:rsidP="00922095">
      <w:r>
        <w:rPr>
          <w:lang w:val="en-US"/>
        </w:rPr>
        <w:t>Main</w:t>
      </w:r>
      <w:r w:rsidRPr="00922095">
        <w:t>.</w:t>
      </w:r>
      <w:proofErr w:type="spellStart"/>
      <w:r>
        <w:rPr>
          <w:lang w:val="en-US"/>
        </w:rPr>
        <w:t>cpp</w:t>
      </w:r>
      <w:proofErr w:type="spellEnd"/>
      <w:r w:rsidRPr="00922095">
        <w:t xml:space="preserve"> – </w:t>
      </w:r>
      <w:r>
        <w:t>файл содержащий описание интерфейса приложения.</w:t>
      </w:r>
    </w:p>
    <w:p w:rsidR="00922095" w:rsidRDefault="00922095" w:rsidP="00922095">
      <w:r>
        <w:t>Калькулятор</w:t>
      </w:r>
      <w:r w:rsidRPr="00922095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</w:t>
      </w:r>
      <w:proofErr w:type="gramStart"/>
      <w:r>
        <w:t>файл</w:t>
      </w:r>
      <w:proofErr w:type="gramEnd"/>
      <w:r>
        <w:t xml:space="preserve"> содержащий функции вычислений.</w:t>
      </w:r>
    </w:p>
    <w:p w:rsidR="00922095" w:rsidRDefault="00922095" w:rsidP="00922095">
      <w:r>
        <w:t>Калькулятор</w:t>
      </w:r>
      <w:r w:rsidRPr="002B4949">
        <w:t>.</w:t>
      </w:r>
      <w:r>
        <w:rPr>
          <w:lang w:val="en-US"/>
        </w:rPr>
        <w:t>h</w:t>
      </w:r>
      <w:r>
        <w:t xml:space="preserve"> – заголовочный файл.</w:t>
      </w:r>
    </w:p>
    <w:p w:rsidR="00922095" w:rsidRDefault="00922095" w:rsidP="00922095">
      <w:r>
        <w:rPr>
          <w:lang w:val="en-US"/>
        </w:rPr>
        <w:t>Resources</w:t>
      </w:r>
      <w:r w:rsidRPr="00922095">
        <w:t>.</w:t>
      </w:r>
      <w:proofErr w:type="spellStart"/>
      <w:r>
        <w:rPr>
          <w:lang w:val="en-US"/>
        </w:rPr>
        <w:t>rc</w:t>
      </w:r>
      <w:proofErr w:type="spellEnd"/>
      <w:r w:rsidRPr="00922095">
        <w:t xml:space="preserve"> – </w:t>
      </w:r>
      <w:r>
        <w:t>файл содержащий описание диалоговых окон и иконок.</w:t>
      </w:r>
    </w:p>
    <w:p w:rsidR="00922095" w:rsidRDefault="00922095" w:rsidP="00922095">
      <w:r>
        <w:rPr>
          <w:lang w:val="en-US"/>
        </w:rPr>
        <w:t>Resources</w:t>
      </w:r>
      <w:r w:rsidRPr="00922095">
        <w:t>.</w:t>
      </w:r>
      <w:r>
        <w:rPr>
          <w:lang w:val="en-US"/>
        </w:rPr>
        <w:t>h</w:t>
      </w:r>
      <w:r>
        <w:t xml:space="preserve"> – заголовочный файл, для файла ресурсов.</w:t>
      </w:r>
    </w:p>
    <w:p w:rsidR="00922095" w:rsidRDefault="00922095" w:rsidP="00922095"/>
    <w:p w:rsidR="00922095" w:rsidRDefault="00922095" w:rsidP="00922095"/>
    <w:p w:rsidR="00922095" w:rsidRDefault="00922095" w:rsidP="00922095"/>
    <w:p w:rsidR="00922095" w:rsidRDefault="00922095" w:rsidP="00922095"/>
    <w:p w:rsidR="00922095" w:rsidRDefault="00922095" w:rsidP="00922095"/>
    <w:p w:rsidR="00922095" w:rsidRDefault="00922095" w:rsidP="00922095"/>
    <w:p w:rsidR="00922095" w:rsidRDefault="00922095" w:rsidP="00922095"/>
    <w:p w:rsidR="00922095" w:rsidRPr="002B4949" w:rsidRDefault="00922095" w:rsidP="001A0131">
      <w:pPr>
        <w:pStyle w:val="1"/>
      </w:pPr>
      <w:bookmarkStart w:id="2" w:name="_Toc12799669"/>
      <w:r>
        <w:lastRenderedPageBreak/>
        <w:t>Описание разработки интерфейса.</w:t>
      </w:r>
      <w:bookmarkEnd w:id="2"/>
    </w:p>
    <w:p w:rsidR="00BA625B" w:rsidRDefault="00663680" w:rsidP="00922095">
      <w:r>
        <w:t>Внешний вид интерфейса</w:t>
      </w:r>
      <w:r w:rsidR="00583234">
        <w:t xml:space="preserve"> (см. рис. №1)</w:t>
      </w:r>
      <w:r>
        <w:t xml:space="preserve"> приложения</w:t>
      </w:r>
      <w:r w:rsidR="00922095">
        <w:t xml:space="preserve"> </w:t>
      </w:r>
      <w:r>
        <w:t>состоит из 3 основных частей: окно вводы выражений и функций, набор кнопок для ввода или выполнения функций, окно вывода сообщений об ошибках</w:t>
      </w:r>
      <w:r w:rsidR="00583234">
        <w:t xml:space="preserve">. </w:t>
      </w:r>
      <w:r>
        <w:t>Отличительной чертой данного приложения является отсутствие кнопок с цифрами и арифметическими операциями, ввиду того что на деле намного удобней и быстрей производить ввод вышеперечисленного с клавиатуры. Благодаря этому внешний вид приложения стал более компактным и удобным. Кроме того вычисление осуществляется только по нажатию на кнопку посчитать</w:t>
      </w:r>
      <w:r w:rsidRPr="00663680">
        <w:t xml:space="preserve"> </w:t>
      </w:r>
      <w:r>
        <w:t>(</w:t>
      </w:r>
      <w:r>
        <w:rPr>
          <w:lang w:val="en-US"/>
        </w:rPr>
        <w:t>enter</w:t>
      </w:r>
      <w:r w:rsidRPr="00663680">
        <w:t>)</w:t>
      </w:r>
      <w:r>
        <w:t>, это позволяет ввести полной выражение перед вычи</w:t>
      </w:r>
      <w:r w:rsidR="004D668F">
        <w:t>с</w:t>
      </w:r>
      <w:r>
        <w:t xml:space="preserve">лением, что намного удобней нежели вычисление выполнялось бы </w:t>
      </w:r>
      <w:r w:rsidR="004D668F">
        <w:t xml:space="preserve">сразу </w:t>
      </w:r>
      <w:r>
        <w:t>при нажатии на кнопку какой либо алгебраической функции</w:t>
      </w:r>
      <w:r w:rsidRPr="00663680">
        <w:t>.</w:t>
      </w:r>
      <w:r w:rsidR="001A0131">
        <w:t xml:space="preserve"> Также добавлены кнопки переключения между режимами работы.</w:t>
      </w:r>
      <w:r w:rsidR="004D668F">
        <w:t xml:space="preserve"> </w:t>
      </w:r>
      <w:r w:rsidR="00583234">
        <w:t>Некоторые функции можно вызвать и</w:t>
      </w:r>
      <w:r w:rsidR="00583234" w:rsidRPr="00583234">
        <w:t xml:space="preserve"> </w:t>
      </w:r>
      <w:r w:rsidR="00583234">
        <w:t>используя горячие клавиши.</w:t>
      </w:r>
    </w:p>
    <w:p w:rsidR="00583234" w:rsidRDefault="00583234" w:rsidP="00583234">
      <w:pPr>
        <w:spacing w:before="0"/>
      </w:pPr>
      <w:r>
        <w:rPr>
          <w:lang w:val="en-US"/>
        </w:rPr>
        <w:t>Enter</w:t>
      </w:r>
      <w:r w:rsidRPr="00583234">
        <w:t xml:space="preserve"> – </w:t>
      </w:r>
      <w:r>
        <w:t>подсчитать</w:t>
      </w:r>
    </w:p>
    <w:p w:rsidR="00583234" w:rsidRDefault="00583234" w:rsidP="00583234">
      <w:pPr>
        <w:spacing w:before="0"/>
      </w:pPr>
      <w:r>
        <w:rPr>
          <w:lang w:val="en-US"/>
        </w:rPr>
        <w:t>Ctrl</w:t>
      </w:r>
      <w:r w:rsidRPr="00583234">
        <w:t>+</w:t>
      </w:r>
      <w:r>
        <w:rPr>
          <w:lang w:val="en-US"/>
        </w:rPr>
        <w:t>I</w:t>
      </w:r>
      <w:r w:rsidRPr="00583234">
        <w:t xml:space="preserve"> </w:t>
      </w:r>
      <w:r>
        <w:t>–</w:t>
      </w:r>
      <w:r w:rsidRPr="00583234">
        <w:t xml:space="preserve"> </w:t>
      </w:r>
      <w:r>
        <w:t>интегрировать</w:t>
      </w:r>
    </w:p>
    <w:p w:rsidR="00583234" w:rsidRDefault="00583234" w:rsidP="00583234">
      <w:pPr>
        <w:spacing w:before="0"/>
      </w:pPr>
      <w:r>
        <w:rPr>
          <w:lang w:val="en-US"/>
        </w:rPr>
        <w:t>Ctrl</w:t>
      </w:r>
      <w:r w:rsidRPr="00583234">
        <w:t>+</w:t>
      </w:r>
      <w:r>
        <w:rPr>
          <w:lang w:val="en-US"/>
        </w:rPr>
        <w:t>L</w:t>
      </w:r>
      <w:r w:rsidRPr="00583234">
        <w:t xml:space="preserve"> </w:t>
      </w:r>
      <w:r>
        <w:t>–</w:t>
      </w:r>
      <w:r w:rsidRPr="00583234">
        <w:t xml:space="preserve"> </w:t>
      </w:r>
      <w:r>
        <w:t>найти длину</w:t>
      </w:r>
    </w:p>
    <w:p w:rsidR="00583234" w:rsidRDefault="00583234" w:rsidP="00583234">
      <w:pPr>
        <w:spacing w:before="0"/>
      </w:pPr>
      <w:r>
        <w:rPr>
          <w:lang w:val="en-US"/>
        </w:rPr>
        <w:t>Ctrl</w:t>
      </w:r>
      <w:r w:rsidRPr="00583234">
        <w:t>+</w:t>
      </w:r>
      <w:r>
        <w:rPr>
          <w:lang w:val="en-US"/>
        </w:rPr>
        <w:t>R</w:t>
      </w:r>
      <w:r w:rsidRPr="00583234">
        <w:t xml:space="preserve"> </w:t>
      </w:r>
      <w:r>
        <w:t>–</w:t>
      </w:r>
      <w:r w:rsidRPr="00583234">
        <w:t xml:space="preserve"> </w:t>
      </w:r>
      <w:r>
        <w:t>решить уравнение</w:t>
      </w:r>
    </w:p>
    <w:p w:rsidR="00583234" w:rsidRPr="001A0131" w:rsidRDefault="00583234" w:rsidP="00583234">
      <w:pPr>
        <w:spacing w:before="0"/>
      </w:pPr>
      <w:r>
        <w:rPr>
          <w:lang w:val="en-US"/>
        </w:rPr>
        <w:t>Ctrl</w:t>
      </w:r>
      <w:r w:rsidRPr="001A0131">
        <w:t>+</w:t>
      </w:r>
      <w:r>
        <w:rPr>
          <w:lang w:val="en-US"/>
        </w:rPr>
        <w:t>Backspace</w:t>
      </w:r>
      <w:r w:rsidRPr="001A0131">
        <w:t xml:space="preserve"> – </w:t>
      </w:r>
      <w:r>
        <w:t>очистить</w:t>
      </w:r>
    </w:p>
    <w:p w:rsidR="00583234" w:rsidRPr="002B4949" w:rsidRDefault="00583234" w:rsidP="00583234">
      <w:pPr>
        <w:spacing w:before="0"/>
      </w:pPr>
      <w:r>
        <w:rPr>
          <w:lang w:val="en-US"/>
        </w:rPr>
        <w:t>Ctrl</w:t>
      </w:r>
      <w:r w:rsidRPr="001A0131">
        <w:t>+</w:t>
      </w:r>
      <w:r>
        <w:rPr>
          <w:lang w:val="en-US"/>
        </w:rPr>
        <w:t>S</w:t>
      </w:r>
      <w:r w:rsidRPr="001A0131">
        <w:t xml:space="preserve"> – </w:t>
      </w:r>
      <w:r>
        <w:t>сохранить</w:t>
      </w:r>
    </w:p>
    <w:p w:rsidR="00583234" w:rsidRDefault="00583234" w:rsidP="00583234">
      <w:pPr>
        <w:spacing w:before="0"/>
      </w:pPr>
      <w:r>
        <w:rPr>
          <w:lang w:val="en-US"/>
        </w:rPr>
        <w:t>Ctrl</w:t>
      </w:r>
      <w:r w:rsidRPr="00583234">
        <w:t>+</w:t>
      </w:r>
      <w:r>
        <w:rPr>
          <w:lang w:val="en-US"/>
        </w:rPr>
        <w:t>Number</w:t>
      </w:r>
      <w:r w:rsidRPr="00583234">
        <w:t xml:space="preserve"> – </w:t>
      </w:r>
      <w:r>
        <w:t xml:space="preserve">ввести сохраненноё под номером </w:t>
      </w:r>
      <w:r>
        <w:rPr>
          <w:lang w:val="en-US"/>
        </w:rPr>
        <w:t>Number</w:t>
      </w:r>
      <w:r>
        <w:t xml:space="preserve"> число</w:t>
      </w:r>
    </w:p>
    <w:p w:rsidR="00583234" w:rsidRDefault="00583234" w:rsidP="00583234">
      <w:pPr>
        <w:keepNext/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00475" cy="4667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4" w:rsidRDefault="00583234" w:rsidP="00583234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Внешний вид</w:t>
      </w:r>
    </w:p>
    <w:p w:rsidR="00583234" w:rsidRDefault="00583234" w:rsidP="00583234"/>
    <w:p w:rsidR="00583234" w:rsidRDefault="00097133" w:rsidP="002B4949">
      <w:pPr>
        <w:pStyle w:val="1"/>
      </w:pPr>
      <w:bookmarkStart w:id="3" w:name="_Toc12799670"/>
      <w:r>
        <w:t>Описание разработки</w:t>
      </w:r>
      <w:r w:rsidR="002B4949">
        <w:t xml:space="preserve"> </w:t>
      </w:r>
      <w:r w:rsidR="00A91980">
        <w:t>программы</w:t>
      </w:r>
      <w:bookmarkEnd w:id="3"/>
    </w:p>
    <w:p w:rsidR="005141D4" w:rsidRDefault="00A91980" w:rsidP="002B4949">
      <w:r>
        <w:t xml:space="preserve">Программа состоит из трёх основных частей: блок работы с интерфейсом, блок обработки выражения, блок описания математических функций. </w:t>
      </w:r>
    </w:p>
    <w:p w:rsidR="005141D4" w:rsidRDefault="005141D4" w:rsidP="005141D4">
      <w:pPr>
        <w:pStyle w:val="2"/>
      </w:pPr>
      <w:bookmarkStart w:id="4" w:name="_Toc12799671"/>
      <w:r>
        <w:t>Блок работы с интерфейсом</w:t>
      </w:r>
      <w:bookmarkEnd w:id="4"/>
    </w:p>
    <w:p w:rsidR="002B4949" w:rsidRPr="006B68AA" w:rsidRDefault="00A91980" w:rsidP="002B4949">
      <w:r>
        <w:t>Блок работы с интерфейсом, представляет собой функции для обработки горячих клавиш, отключения</w:t>
      </w:r>
      <w:r w:rsidRPr="00A91980">
        <w:t>/</w:t>
      </w:r>
      <w:r>
        <w:t>включения некоторых кнопок при смене режима работы, вывод информационных сообщени</w:t>
      </w:r>
      <w:proofErr w:type="gramStart"/>
      <w:r>
        <w:t>й(</w:t>
      </w:r>
      <w:proofErr w:type="gramEnd"/>
      <w:r>
        <w:t xml:space="preserve"> результат, сообщение об ошибке в синтаксисе). В режиме работы с выражениями</w:t>
      </w:r>
      <w:r w:rsidR="005141D4">
        <w:t>,</w:t>
      </w:r>
      <w:r>
        <w:t xml:space="preserve"> при нажатии на кнопку с алгебраической функцией, название её вставится в текст выражения. При нажатии кнопки </w:t>
      </w:r>
      <w:r w:rsidR="005141D4" w:rsidRPr="005141D4">
        <w:t>“</w:t>
      </w:r>
      <w:r w:rsidR="005141D4">
        <w:t>П</w:t>
      </w:r>
      <w:r>
        <w:t>осчитать</w:t>
      </w:r>
      <w:r w:rsidR="005141D4" w:rsidRPr="005141D4">
        <w:t>”</w:t>
      </w:r>
      <w:r w:rsidR="005141D4">
        <w:t>, выражение поступит на обработку с помощью других блоков, и после неё результат отобразится в окне ввода выражения или же ошибка отобразится в окне лога.</w:t>
      </w:r>
      <w:r w:rsidR="0028282E">
        <w:t xml:space="preserve"> При нажатие кнопки </w:t>
      </w:r>
      <w:r w:rsidR="0028282E" w:rsidRPr="0028282E">
        <w:t>“</w:t>
      </w:r>
      <w:r w:rsidR="0028282E">
        <w:t>Интегрировать</w:t>
      </w:r>
      <w:r w:rsidR="0028282E" w:rsidRPr="0028282E">
        <w:t>”</w:t>
      </w:r>
      <w:r w:rsidR="006B68AA">
        <w:t xml:space="preserve"> или </w:t>
      </w:r>
      <w:r w:rsidR="006B68AA" w:rsidRPr="006B68AA">
        <w:t>“</w:t>
      </w:r>
      <w:r w:rsidR="006B68AA">
        <w:t>Найти длину</w:t>
      </w:r>
      <w:r w:rsidR="006B68AA" w:rsidRPr="006B68AA">
        <w:t>”</w:t>
      </w:r>
      <w:r w:rsidR="0028282E">
        <w:t xml:space="preserve"> в режиме работы с функциями, появится всплывающее </w:t>
      </w:r>
      <w:proofErr w:type="gramStart"/>
      <w:r w:rsidR="0028282E">
        <w:t>окно</w:t>
      </w:r>
      <w:proofErr w:type="gramEnd"/>
      <w:r w:rsidR="0028282E">
        <w:t xml:space="preserve"> в котором необходимо указать границы интегрирования или нахождения длины.</w:t>
      </w:r>
      <w:r w:rsidR="006B68AA">
        <w:t xml:space="preserve"> При</w:t>
      </w:r>
      <w:r w:rsidR="0028282E">
        <w:t xml:space="preserve"> </w:t>
      </w:r>
      <w:r w:rsidR="005141D4">
        <w:t xml:space="preserve"> </w:t>
      </w:r>
      <w:r>
        <w:t xml:space="preserve"> </w:t>
      </w:r>
      <w:r w:rsidR="006B68AA">
        <w:t xml:space="preserve">нажатии кнопки </w:t>
      </w:r>
      <w:r w:rsidR="006B68AA" w:rsidRPr="006B68AA">
        <w:t>“</w:t>
      </w:r>
      <w:r w:rsidR="006B68AA">
        <w:t>Найти корень</w:t>
      </w:r>
      <w:r w:rsidR="006B68AA" w:rsidRPr="006B68AA">
        <w:t xml:space="preserve">”, </w:t>
      </w:r>
      <w:r w:rsidR="006B68AA">
        <w:t xml:space="preserve">появиться всплывающее </w:t>
      </w:r>
      <w:proofErr w:type="gramStart"/>
      <w:r w:rsidR="006B68AA">
        <w:t>окно</w:t>
      </w:r>
      <w:proofErr w:type="gramEnd"/>
      <w:r w:rsidR="006B68AA">
        <w:t xml:space="preserve"> в котором необходимо ввести начальное приближение.</w:t>
      </w:r>
    </w:p>
    <w:p w:rsidR="005141D4" w:rsidRDefault="005141D4" w:rsidP="005141D4">
      <w:pPr>
        <w:pStyle w:val="2"/>
      </w:pPr>
      <w:bookmarkStart w:id="5" w:name="_Toc12799672"/>
      <w:r>
        <w:t>Блок обработки выражения</w:t>
      </w:r>
      <w:bookmarkEnd w:id="5"/>
    </w:p>
    <w:p w:rsidR="00C12E93" w:rsidRDefault="005141D4" w:rsidP="005141D4">
      <w:r>
        <w:t xml:space="preserve">Блок обработки выражения состоит из 3 компонентов </w:t>
      </w:r>
      <w:r w:rsidR="00C12E93">
        <w:t>–</w:t>
      </w:r>
      <w:r>
        <w:t xml:space="preserve"> </w:t>
      </w:r>
      <w:r w:rsidR="00C12E93">
        <w:t xml:space="preserve">лексического анализатора, синтаксического анализатора и программы подсчёта выражения. Лексический анализатор считывает строку исходного выражения и разбивает его на лексемы, которые, </w:t>
      </w:r>
      <w:proofErr w:type="gramStart"/>
      <w:r w:rsidR="00C12E93">
        <w:t>вследствие</w:t>
      </w:r>
      <w:proofErr w:type="gramEnd"/>
      <w:r w:rsidR="00C12E93">
        <w:t xml:space="preserve"> классифицирует, и записывает </w:t>
      </w:r>
      <w:proofErr w:type="gramStart"/>
      <w:r w:rsidR="00C12E93">
        <w:t>в</w:t>
      </w:r>
      <w:proofErr w:type="gramEnd"/>
      <w:r w:rsidR="00C12E93">
        <w:t xml:space="preserve"> выходной файл построчно</w:t>
      </w:r>
      <w:r w:rsidR="00C12E93" w:rsidRPr="00C12E93">
        <w:t xml:space="preserve">: </w:t>
      </w:r>
      <w:r w:rsidR="00C12E93">
        <w:t>класс лексемы    лексема. Класс лексемы хранится в виде численной константы. Различаются следующие классы лексем: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CL_PLUS=200</w:t>
      </w:r>
      <w:r>
        <w:t xml:space="preserve">  -   «+»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CL_SUB=201</w:t>
      </w:r>
      <w:r>
        <w:t xml:space="preserve"> –   «</w:t>
      </w:r>
      <w:r>
        <w:rPr>
          <w:lang w:val="en-US"/>
        </w:rPr>
        <w:t>-</w:t>
      </w:r>
      <w:r>
        <w:t>«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CL_MUL=202</w:t>
      </w:r>
      <w:r>
        <w:t xml:space="preserve">  -   «*»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CL_DIVN=203</w:t>
      </w:r>
      <w:r>
        <w:t xml:space="preserve">  -   «/»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DIV</w:t>
      </w:r>
      <w:r w:rsidRPr="00F1083B">
        <w:t>=204</w:t>
      </w:r>
      <w:r>
        <w:t xml:space="preserve">  -   вещественное деление без остатка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MOD</w:t>
      </w:r>
      <w:r w:rsidRPr="00F1083B">
        <w:t>=205</w:t>
      </w:r>
      <w:r>
        <w:t xml:space="preserve">  -   вещественный остаток от деления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POW</w:t>
      </w:r>
      <w:r w:rsidRPr="00F1083B">
        <w:t>=206</w:t>
      </w:r>
      <w:r>
        <w:t xml:space="preserve">  -   возведение в степень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CL_SIN=207</w:t>
      </w:r>
      <w:r>
        <w:t xml:space="preserve">  -   взятие синуса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CL_COS=208</w:t>
      </w:r>
      <w:r>
        <w:t xml:space="preserve">  -   взятие косинуса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CL_TG=209</w:t>
      </w:r>
      <w:r>
        <w:t xml:space="preserve">  -   взятие тангенса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CL_CTG=210</w:t>
      </w:r>
      <w:r>
        <w:t xml:space="preserve">  -   взятие котангенса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CL_SQRT=211</w:t>
      </w:r>
      <w:r>
        <w:t xml:space="preserve">  -   взятие корня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EXP</w:t>
      </w:r>
      <w:r w:rsidRPr="00F1083B">
        <w:t>=212</w:t>
      </w:r>
      <w:r>
        <w:t xml:space="preserve">  -   возведение экспоненты в степень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LN</w:t>
      </w:r>
      <w:r w:rsidRPr="00F1083B">
        <w:t>=213</w:t>
      </w:r>
      <w:r>
        <w:t xml:space="preserve">  -   взятие натурального логарифма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LG</w:t>
      </w:r>
      <w:r w:rsidRPr="00F1083B">
        <w:t>=214</w:t>
      </w:r>
      <w:r>
        <w:t xml:space="preserve">  -   взятие десятичного логарифма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CL_AS=215</w:t>
      </w:r>
      <w:r>
        <w:t xml:space="preserve">  -   взятие арксинуса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CL_AC=216</w:t>
      </w:r>
      <w:r>
        <w:t xml:space="preserve">  -   взятие арккосинуса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lastRenderedPageBreak/>
        <w:t>CL_ATG=217</w:t>
      </w:r>
      <w:r>
        <w:t xml:space="preserve">  -   взятие арктангенса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CL_ACTG=218</w:t>
      </w:r>
      <w:r>
        <w:t xml:space="preserve">  -   взятие арккотангенса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CL_SIGN=219</w:t>
      </w:r>
      <w:r>
        <w:t xml:space="preserve">  -   взятие знака</w:t>
      </w:r>
    </w:p>
    <w:p w:rsidR="00F1083B" w:rsidRPr="00F1083B" w:rsidRDefault="00F1083B" w:rsidP="00F1083B">
      <w:pPr>
        <w:pStyle w:val="af"/>
        <w:numPr>
          <w:ilvl w:val="0"/>
          <w:numId w:val="1"/>
        </w:numPr>
      </w:pPr>
      <w:r w:rsidRPr="00F1083B">
        <w:rPr>
          <w:lang w:val="en-US"/>
        </w:rPr>
        <w:t>CL</w:t>
      </w:r>
      <w:r w:rsidRPr="00F1083B">
        <w:t>_</w:t>
      </w:r>
      <w:r w:rsidRPr="00F1083B">
        <w:rPr>
          <w:lang w:val="en-US"/>
        </w:rPr>
        <w:t>USUB</w:t>
      </w:r>
      <w:r w:rsidRPr="00F1083B">
        <w:t>=220</w:t>
      </w:r>
      <w:r>
        <w:t xml:space="preserve">  -   отрицание (унарный минус)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CL_NUM=221</w:t>
      </w:r>
      <w:r>
        <w:t xml:space="preserve">  -   вещественное число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CL_OBRK=222</w:t>
      </w:r>
      <w:r>
        <w:t xml:space="preserve">  -   открывающая скобка</w:t>
      </w:r>
    </w:p>
    <w:p w:rsidR="00F1083B" w:rsidRPr="00F1083B" w:rsidRDefault="00F1083B" w:rsidP="00F1083B">
      <w:pPr>
        <w:pStyle w:val="af"/>
        <w:numPr>
          <w:ilvl w:val="0"/>
          <w:numId w:val="1"/>
        </w:numPr>
        <w:rPr>
          <w:lang w:val="en-US"/>
        </w:rPr>
      </w:pPr>
      <w:r w:rsidRPr="00F1083B">
        <w:rPr>
          <w:lang w:val="en-US"/>
        </w:rPr>
        <w:t>CL_CBRK=223</w:t>
      </w:r>
      <w:r>
        <w:t xml:space="preserve">  -   закрывающая скобка</w:t>
      </w:r>
    </w:p>
    <w:p w:rsidR="00F1083B" w:rsidRDefault="00F1083B" w:rsidP="00F1083B">
      <w:pPr>
        <w:pStyle w:val="af"/>
        <w:numPr>
          <w:ilvl w:val="0"/>
          <w:numId w:val="1"/>
        </w:numPr>
      </w:pPr>
      <w:r>
        <w:t>CL_UKWN=224  -   неизвестная лексема</w:t>
      </w:r>
    </w:p>
    <w:p w:rsidR="00F1083B" w:rsidRDefault="00F1083B" w:rsidP="00F1083B">
      <w:pPr>
        <w:pStyle w:val="af"/>
        <w:numPr>
          <w:ilvl w:val="0"/>
          <w:numId w:val="1"/>
        </w:numPr>
      </w:pPr>
      <w:r>
        <w:t>CL_END=225  -   конец выражения</w:t>
      </w:r>
    </w:p>
    <w:p w:rsidR="005141D4" w:rsidRDefault="00F1083B" w:rsidP="00F1083B">
      <w:pPr>
        <w:pStyle w:val="af"/>
        <w:numPr>
          <w:ilvl w:val="0"/>
          <w:numId w:val="1"/>
        </w:numPr>
      </w:pPr>
      <w:r>
        <w:t>CL_VAR=226</w:t>
      </w:r>
      <w:r w:rsidR="00C12E93">
        <w:t xml:space="preserve"> </w:t>
      </w:r>
      <w:r>
        <w:t xml:space="preserve">  -   переменная</w:t>
      </w:r>
    </w:p>
    <w:p w:rsidR="00F1083B" w:rsidRDefault="00D84983" w:rsidP="00D84983">
      <w:r>
        <w:t xml:space="preserve">Синтаксический анализатор представляет собой программу проверяющую правильность выражения. При встрече ошибки он прекращает работу и высвечивает соответствующее сообщение в логе. Также он считает количество открытых и закрытых  скобок и при их неравенстве в конце обработки высвечивает соответствующее оповещение. В случае включения режима работы с функциями, в </w:t>
      </w:r>
      <w:r w:rsidR="002D43D2">
        <w:t xml:space="preserve">алгоритм проверки </w:t>
      </w:r>
      <w:r>
        <w:t xml:space="preserve"> добавляется </w:t>
      </w:r>
      <w:r w:rsidR="002D43D2">
        <w:t xml:space="preserve">проверка </w:t>
      </w:r>
      <w:r>
        <w:t>класс</w:t>
      </w:r>
      <w:r w:rsidR="002D43D2">
        <w:t>а</w:t>
      </w:r>
      <w:r>
        <w:t xml:space="preserve"> </w:t>
      </w:r>
      <w:r>
        <w:rPr>
          <w:lang w:val="en-US"/>
        </w:rPr>
        <w:t>CL</w:t>
      </w:r>
      <w:r w:rsidRPr="00D84983">
        <w:t>_</w:t>
      </w:r>
      <w:r>
        <w:rPr>
          <w:lang w:val="en-US"/>
        </w:rPr>
        <w:t>VAR</w:t>
      </w:r>
      <w:r>
        <w:t xml:space="preserve">. </w:t>
      </w:r>
      <w:r w:rsidR="002D43D2">
        <w:t xml:space="preserve">Если проверка прошла успешно вызывается </w:t>
      </w:r>
      <w:r w:rsidR="00477716">
        <w:t>программа</w:t>
      </w:r>
      <w:r w:rsidR="002D43D2">
        <w:t xml:space="preserve"> подсчёта.</w:t>
      </w:r>
    </w:p>
    <w:p w:rsidR="002D43D2" w:rsidRDefault="0028282E" w:rsidP="00D84983">
      <w:r>
        <w:t>Программа</w:t>
      </w:r>
      <w:r w:rsidR="002D43D2">
        <w:t xml:space="preserve"> подсчёта преобразует выражение в постфиксную запись и на ходу считает </w:t>
      </w:r>
      <w:proofErr w:type="gramStart"/>
      <w:r w:rsidR="002D43D2">
        <w:t>выражение</w:t>
      </w:r>
      <w:proofErr w:type="gramEnd"/>
      <w:r w:rsidR="002D43D2">
        <w:t xml:space="preserve"> вызывая функцию </w:t>
      </w:r>
      <w:proofErr w:type="spellStart"/>
      <w:r w:rsidR="002D43D2">
        <w:rPr>
          <w:lang w:val="en-US"/>
        </w:rPr>
        <w:t>Func</w:t>
      </w:r>
      <w:proofErr w:type="spellEnd"/>
      <w:r w:rsidR="002D43D2">
        <w:t xml:space="preserve"> с переданным ей классом лексемы (который является классом математической функции). Во время работы </w:t>
      </w:r>
      <w:r>
        <w:t>программа</w:t>
      </w:r>
      <w:r w:rsidR="002D43D2">
        <w:t xml:space="preserve"> подсчёта заполняет </w:t>
      </w:r>
      <w:r>
        <w:t xml:space="preserve">и опустошает (вызывая функцию </w:t>
      </w:r>
      <w:proofErr w:type="spellStart"/>
      <w:r>
        <w:rPr>
          <w:lang w:val="en-US"/>
        </w:rPr>
        <w:t>Func</w:t>
      </w:r>
      <w:proofErr w:type="spellEnd"/>
      <w:r>
        <w:t xml:space="preserve"> с элементом стека операторов) </w:t>
      </w:r>
      <w:r w:rsidR="002D43D2">
        <w:t xml:space="preserve">стеки </w:t>
      </w:r>
      <w:r>
        <w:t xml:space="preserve">операндов и операторов. Функция </w:t>
      </w:r>
      <w:proofErr w:type="spellStart"/>
      <w:r>
        <w:rPr>
          <w:lang w:val="en-US"/>
        </w:rPr>
        <w:t>Func</w:t>
      </w:r>
      <w:proofErr w:type="spellEnd"/>
      <w:r>
        <w:t xml:space="preserve"> в свою очередь в зависимости от переданного ей класса математической функции, считает, вызывая функции непосредственного подсчёта конкретной математической функции. В режиме работы с функциями лексема «</w:t>
      </w:r>
      <w:r>
        <w:rPr>
          <w:lang w:val="en-US"/>
        </w:rPr>
        <w:t>x</w:t>
      </w:r>
      <w:r>
        <w:t xml:space="preserve">» </w:t>
      </w:r>
      <w:proofErr w:type="gramStart"/>
      <w:r>
        <w:t>заменяется на текущее</w:t>
      </w:r>
      <w:proofErr w:type="gramEnd"/>
      <w:r>
        <w:t xml:space="preserve"> значение глобальной переменной «</w:t>
      </w:r>
      <w:r>
        <w:rPr>
          <w:lang w:val="en-US"/>
        </w:rPr>
        <w:t>x</w:t>
      </w:r>
      <w:r>
        <w:t>».</w:t>
      </w:r>
    </w:p>
    <w:p w:rsidR="0028282E" w:rsidRDefault="006B68AA" w:rsidP="006B68AA">
      <w:pPr>
        <w:pStyle w:val="2"/>
      </w:pPr>
      <w:bookmarkStart w:id="6" w:name="_Toc12799673"/>
      <w:r>
        <w:t>Блок описания математических функций.</w:t>
      </w:r>
      <w:bookmarkEnd w:id="6"/>
    </w:p>
    <w:p w:rsidR="006B68AA" w:rsidRDefault="006B68AA" w:rsidP="006B68AA">
      <w:r>
        <w:t xml:space="preserve">Состоит из базовых математических функций, а также функции нахождения длины, функции интегрирования, функции нахождения корня. Все функции принимают вещественные аргументы и возвращают вещественный результат. </w:t>
      </w:r>
    </w:p>
    <w:p w:rsidR="006B68AA" w:rsidRDefault="008E70B5" w:rsidP="00724B5F">
      <w:r>
        <w:t>Схема</w:t>
      </w:r>
      <w:r w:rsidR="00477716">
        <w:t xml:space="preserve"> работы</w:t>
      </w:r>
      <w:r>
        <w:t xml:space="preserve"> программы представлена на рисунке №2.</w:t>
      </w:r>
    </w:p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>
      <w:pPr>
        <w:ind w:firstLine="0"/>
        <w:jc w:val="center"/>
      </w:pPr>
      <w:r>
        <w:object w:dxaOrig="11395" w:dyaOrig="7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02.25pt" o:ole="">
            <v:imagedata r:id="rId9" o:title=""/>
          </v:shape>
          <o:OLEObject Type="Embed" ProgID="Visio.Drawing.11" ShapeID="_x0000_i1025" DrawAspect="Content" ObjectID="_1675086264" r:id="rId10"/>
        </w:object>
      </w:r>
    </w:p>
    <w:p w:rsidR="00724B5F" w:rsidRDefault="00724B5F" w:rsidP="00724B5F">
      <w:pPr>
        <w:ind w:firstLine="0"/>
        <w:jc w:val="center"/>
      </w:pPr>
      <w:r>
        <w:t>Рисунок №2 Схема</w:t>
      </w:r>
      <w:r w:rsidR="00477716">
        <w:t xml:space="preserve"> работы</w:t>
      </w:r>
      <w:r>
        <w:t xml:space="preserve"> программы</w:t>
      </w:r>
    </w:p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724B5F" w:rsidRDefault="00724B5F" w:rsidP="00724B5F"/>
    <w:p w:rsidR="006B68AA" w:rsidRDefault="00A12B23" w:rsidP="00724B5F">
      <w:pPr>
        <w:pStyle w:val="1"/>
      </w:pPr>
      <w:bookmarkStart w:id="7" w:name="_Toc12799674"/>
      <w:r>
        <w:lastRenderedPageBreak/>
        <w:t>Описание некоторых алгоритмов</w:t>
      </w:r>
      <w:bookmarkEnd w:id="7"/>
    </w:p>
    <w:p w:rsidR="00A12B23" w:rsidRPr="004C51C7" w:rsidRDefault="00A12B23" w:rsidP="00A12B23">
      <w:r>
        <w:t>Обычные математические функции вычисляются путём разложения в ряд Тейлора, или выражаются через другие функции, как например возведение</w:t>
      </w:r>
      <w:r w:rsidRPr="00A12B23">
        <w:t xml:space="preserve"> </w:t>
      </w:r>
      <w:r>
        <w:rPr>
          <w:lang w:val="en-US"/>
        </w:rPr>
        <w:t>a</w:t>
      </w:r>
      <w:r>
        <w:t xml:space="preserve"> в степень </w:t>
      </w:r>
      <w:r>
        <w:rPr>
          <w:lang w:val="en-US"/>
        </w:rPr>
        <w:t>b</w:t>
      </w:r>
      <w:r w:rsidRPr="00A12B23">
        <w:t xml:space="preserve"> </w:t>
      </w:r>
      <w:r>
        <w:t xml:space="preserve">представляется как </w:t>
      </w:r>
      <w:r>
        <w:rPr>
          <w:lang w:val="en-US"/>
        </w:rPr>
        <w:t>e</w:t>
      </w:r>
      <w:r w:rsidRPr="00A12B23">
        <w:t>^(</w:t>
      </w:r>
      <w:r>
        <w:rPr>
          <w:lang w:val="en-US"/>
        </w:rPr>
        <w:t>b</w:t>
      </w:r>
      <w:r w:rsidRPr="00A12B23">
        <w:t>*</w:t>
      </w:r>
      <w:proofErr w:type="spellStart"/>
      <w:r>
        <w:rPr>
          <w:lang w:val="en-US"/>
        </w:rPr>
        <w:t>ln</w:t>
      </w:r>
      <w:proofErr w:type="spellEnd"/>
      <w:r w:rsidRPr="00A12B23">
        <w:t>(</w:t>
      </w:r>
      <w:r>
        <w:rPr>
          <w:lang w:val="en-US"/>
        </w:rPr>
        <w:t>a</w:t>
      </w:r>
      <w:r w:rsidRPr="00A12B23">
        <w:t>))</w:t>
      </w:r>
      <w:r w:rsidR="00724B5F">
        <w:t>. На рисунке №3</w:t>
      </w:r>
      <w:r>
        <w:t xml:space="preserve"> в качестве примера приведён алгоритм вычисления </w:t>
      </w:r>
      <w:proofErr w:type="spellStart"/>
      <w:r>
        <w:rPr>
          <w:lang w:val="en-US"/>
        </w:rPr>
        <w:t>ln</w:t>
      </w:r>
      <w:proofErr w:type="spellEnd"/>
      <w:r w:rsidRPr="00A12B23">
        <w:t>(</w:t>
      </w:r>
      <w:r>
        <w:rPr>
          <w:lang w:val="en-US"/>
        </w:rPr>
        <w:t>x</w:t>
      </w:r>
      <w:r w:rsidRPr="00A12B23">
        <w:t>)</w:t>
      </w:r>
      <w:r>
        <w:t>.</w:t>
      </w:r>
      <w:r w:rsidR="00477716">
        <w:t xml:space="preserve"> В ряд Т</w:t>
      </w:r>
      <w:r w:rsidR="005775DB">
        <w:t>ейлора</w:t>
      </w:r>
      <w:r w:rsidR="004A1749" w:rsidRPr="004A1749">
        <w:t xml:space="preserve"> </w:t>
      </w:r>
      <w:r w:rsidR="005775DB">
        <w:t xml:space="preserve">функция </w:t>
      </w:r>
      <w:proofErr w:type="spellStart"/>
      <w:r w:rsidR="004A1749">
        <w:rPr>
          <w:lang w:val="en-US"/>
        </w:rPr>
        <w:t>ln</w:t>
      </w:r>
      <w:proofErr w:type="spellEnd"/>
      <w:r w:rsidR="004A1749" w:rsidRPr="004A1749">
        <w:t>(1+</w:t>
      </w:r>
      <w:r w:rsidR="004A1749">
        <w:rPr>
          <w:lang w:val="en-US"/>
        </w:rPr>
        <w:t>x</w:t>
      </w:r>
      <w:r w:rsidR="004A1749" w:rsidRPr="004A1749">
        <w:t xml:space="preserve">) </w:t>
      </w:r>
      <w:r w:rsidR="004A1749">
        <w:t xml:space="preserve">разлагается на промежутке </w:t>
      </w:r>
      <w:r w:rsidR="004A1749" w:rsidRPr="004A1749">
        <w:t>]-1;1].</w:t>
      </w:r>
      <w:r w:rsidR="004A1749">
        <w:t xml:space="preserve"> К ней сводится функция </w:t>
      </w:r>
      <w:proofErr w:type="spellStart"/>
      <w:r w:rsidR="005775DB">
        <w:rPr>
          <w:lang w:val="en-US"/>
        </w:rPr>
        <w:t>ln</w:t>
      </w:r>
      <w:proofErr w:type="spellEnd"/>
      <w:r w:rsidR="005775DB" w:rsidRPr="004A1749">
        <w:t>((1+</w:t>
      </w:r>
      <w:r w:rsidR="005775DB">
        <w:rPr>
          <w:lang w:val="en-US"/>
        </w:rPr>
        <w:t>x</w:t>
      </w:r>
      <w:r w:rsidR="005775DB" w:rsidRPr="004A1749">
        <w:t>)/(1-</w:t>
      </w:r>
      <w:r w:rsidR="005775DB">
        <w:rPr>
          <w:lang w:val="en-US"/>
        </w:rPr>
        <w:t>x</w:t>
      </w:r>
      <w:r w:rsidR="005775DB" w:rsidRPr="004A1749">
        <w:t>))</w:t>
      </w:r>
      <w:r w:rsidR="004A1749">
        <w:t xml:space="preserve"> равная удвоенному разложению </w:t>
      </w:r>
      <w:proofErr w:type="spellStart"/>
      <w:r w:rsidR="004A1749">
        <w:rPr>
          <w:lang w:val="en-US"/>
        </w:rPr>
        <w:t>ln</w:t>
      </w:r>
      <w:proofErr w:type="spellEnd"/>
      <w:r w:rsidR="004A1749" w:rsidRPr="004A1749">
        <w:t>(1+</w:t>
      </w:r>
      <w:r w:rsidR="004A1749">
        <w:rPr>
          <w:lang w:val="en-US"/>
        </w:rPr>
        <w:t>x</w:t>
      </w:r>
      <w:r w:rsidR="004A1749" w:rsidRPr="004A1749">
        <w:t xml:space="preserve">) </w:t>
      </w:r>
      <w:r w:rsidR="004A1749">
        <w:t>и</w:t>
      </w:r>
      <w:r w:rsidR="004A1749" w:rsidRPr="004A1749">
        <w:t xml:space="preserve"> </w:t>
      </w:r>
      <w:r w:rsidR="004A1749">
        <w:t xml:space="preserve">разлагающаяся во всех точках кроме </w:t>
      </w:r>
      <w:r w:rsidR="004A1749">
        <w:rPr>
          <w:lang w:val="en-US"/>
        </w:rPr>
        <w:t>x</w:t>
      </w:r>
      <w:r w:rsidR="004A1749" w:rsidRPr="004A1749">
        <w:t>=1</w:t>
      </w:r>
      <w:r w:rsidR="004A1749">
        <w:t>. Для вычисления логарифма для больших чисел с адекватной точностью требуется огром</w:t>
      </w:r>
      <w:r w:rsidR="00686F50">
        <w:t>ное число итераций. Во избежание этого использует</w:t>
      </w:r>
      <w:r w:rsidR="004A1749">
        <w:t xml:space="preserve">ся математическое свойство логарифма, а именно </w:t>
      </w:r>
      <w:proofErr w:type="spellStart"/>
      <w:r w:rsidR="004A1749">
        <w:rPr>
          <w:lang w:val="en-US"/>
        </w:rPr>
        <w:t>ln</w:t>
      </w:r>
      <w:proofErr w:type="spellEnd"/>
      <w:r w:rsidR="004A1749" w:rsidRPr="004A1749">
        <w:t>(</w:t>
      </w:r>
      <w:r w:rsidR="00686F50">
        <w:rPr>
          <w:lang w:val="en-US"/>
        </w:rPr>
        <w:t>x</w:t>
      </w:r>
      <w:r w:rsidR="00686F50" w:rsidRPr="00686F50">
        <w:t>^</w:t>
      </w:r>
      <w:r w:rsidR="00686F50">
        <w:rPr>
          <w:lang w:val="en-US"/>
        </w:rPr>
        <w:t>b</w:t>
      </w:r>
      <w:r w:rsidR="00686F50" w:rsidRPr="00686F50">
        <w:t>)=</w:t>
      </w:r>
      <w:r w:rsidR="00686F50">
        <w:rPr>
          <w:lang w:val="en-US"/>
        </w:rPr>
        <w:t>b</w:t>
      </w:r>
      <w:r w:rsidR="00686F50" w:rsidRPr="00686F50">
        <w:t>*</w:t>
      </w:r>
      <w:proofErr w:type="spellStart"/>
      <w:r w:rsidR="00686F50">
        <w:rPr>
          <w:lang w:val="en-US"/>
        </w:rPr>
        <w:t>ln</w:t>
      </w:r>
      <w:proofErr w:type="spellEnd"/>
      <w:r w:rsidR="00686F50" w:rsidRPr="00686F50">
        <w:t>(</w:t>
      </w:r>
      <w:r w:rsidR="00686F50">
        <w:rPr>
          <w:lang w:val="en-US"/>
        </w:rPr>
        <w:t>x</w:t>
      </w:r>
      <w:r w:rsidR="00686F50" w:rsidRPr="00686F50">
        <w:t>).</w:t>
      </w:r>
      <w:r w:rsidR="004C51C7" w:rsidRPr="004C51C7">
        <w:t>[1]</w:t>
      </w:r>
    </w:p>
    <w:p w:rsidR="00686F50" w:rsidRDefault="00686F50" w:rsidP="00A12B23">
      <w:r>
        <w:t>Вычисление определённого интеграла происходит методом Симпсона, то есть для каждой тройки точек вычисляется значение функции аппроксимирующей площадь на этом отрезке.</w:t>
      </w:r>
    </w:p>
    <w:p w:rsidR="00686F50" w:rsidRDefault="00686F50" w:rsidP="00A12B23">
      <w:r>
        <w:t xml:space="preserve">Вычисление длины дуги происходит путём вычисления </w:t>
      </w:r>
      <w:r w:rsidR="006911D2">
        <w:t xml:space="preserve">интеграла от функции </w:t>
      </w:r>
      <w:proofErr w:type="spellStart"/>
      <w:r w:rsidR="006911D2">
        <w:rPr>
          <w:lang w:val="en-US"/>
        </w:rPr>
        <w:t>sqrt</w:t>
      </w:r>
      <w:proofErr w:type="spellEnd"/>
      <w:r w:rsidR="006911D2" w:rsidRPr="006911D2">
        <w:t>(1+(</w:t>
      </w:r>
      <w:r w:rsidR="006911D2">
        <w:rPr>
          <w:lang w:val="en-US"/>
        </w:rPr>
        <w:t>f</w:t>
      </w:r>
      <w:r w:rsidR="006911D2" w:rsidRPr="006911D2">
        <w:t>’(</w:t>
      </w:r>
      <w:r w:rsidR="006911D2">
        <w:rPr>
          <w:lang w:val="en-US"/>
        </w:rPr>
        <w:t>x</w:t>
      </w:r>
      <w:r w:rsidR="006911D2" w:rsidRPr="006911D2">
        <w:t>))^2)</w:t>
      </w:r>
      <w:r w:rsidR="006911D2">
        <w:t xml:space="preserve">, где производная вычисляется как отношение приращения значения функции к приращению аргумента функции. Используется приращение аргумента равное </w:t>
      </w:r>
      <w:r w:rsidR="006911D2" w:rsidRPr="006911D2">
        <w:t>0.000002.</w:t>
      </w:r>
    </w:p>
    <w:p w:rsidR="006911D2" w:rsidRPr="004C51C7" w:rsidRDefault="006911D2" w:rsidP="00A12B23">
      <w:r>
        <w:t xml:space="preserve">Нахождение корня функции происходит методом касательных, то есть последовательным приближением по формуле </w:t>
      </w:r>
      <w:r>
        <w:rPr>
          <w:lang w:val="en-US"/>
        </w:rPr>
        <w:t>x</w:t>
      </w:r>
      <w:r w:rsidRPr="006911D2">
        <w:t>1=</w:t>
      </w:r>
      <w:r>
        <w:rPr>
          <w:lang w:val="en-US"/>
        </w:rPr>
        <w:t>f</w:t>
      </w:r>
      <w:r w:rsidRPr="006911D2">
        <w:t>(</w:t>
      </w:r>
      <w:r>
        <w:rPr>
          <w:lang w:val="en-US"/>
        </w:rPr>
        <w:t>x</w:t>
      </w:r>
      <w:r w:rsidRPr="006911D2">
        <w:t>0)/</w:t>
      </w:r>
      <w:r>
        <w:rPr>
          <w:lang w:val="en-US"/>
        </w:rPr>
        <w:t>f</w:t>
      </w:r>
      <w:r w:rsidRPr="006911D2">
        <w:t>’(</w:t>
      </w:r>
      <w:r>
        <w:rPr>
          <w:lang w:val="en-US"/>
        </w:rPr>
        <w:t>x</w:t>
      </w:r>
      <w:r w:rsidRPr="006911D2">
        <w:t>0).</w:t>
      </w:r>
      <w:r w:rsidR="00D52609" w:rsidRPr="00D52609">
        <w:t xml:space="preserve"> </w:t>
      </w:r>
      <w:r w:rsidR="00D52609">
        <w:t xml:space="preserve">Приближение продолжается до тех пор, пока </w:t>
      </w:r>
      <w:r w:rsidR="00D52609">
        <w:rPr>
          <w:lang w:val="en-US"/>
        </w:rPr>
        <w:t>f</w:t>
      </w:r>
      <w:r w:rsidR="00D52609" w:rsidRPr="00D52609">
        <w:t>(</w:t>
      </w:r>
      <w:r w:rsidR="00D52609">
        <w:rPr>
          <w:lang w:val="en-US"/>
        </w:rPr>
        <w:t>x</w:t>
      </w:r>
      <w:r w:rsidR="00D52609" w:rsidRPr="00D52609">
        <w:t>)</w:t>
      </w:r>
      <w:r w:rsidR="00D52609">
        <w:t xml:space="preserve"> не станет меньше </w:t>
      </w:r>
      <w:r w:rsidR="00D52609" w:rsidRPr="00D52609">
        <w:t>0.001</w:t>
      </w:r>
      <w:r w:rsidR="00D52609">
        <w:t>.</w:t>
      </w:r>
      <w:r w:rsidR="004C51C7" w:rsidRPr="004C51C7">
        <w:t>[2]</w:t>
      </w:r>
    </w:p>
    <w:p w:rsidR="005775DB" w:rsidRPr="005775DB" w:rsidRDefault="005775DB" w:rsidP="00A12B23"/>
    <w:p w:rsidR="005775DB" w:rsidRDefault="005775DB" w:rsidP="005775DB">
      <w:pPr>
        <w:ind w:firstLine="0"/>
        <w:jc w:val="center"/>
        <w:rPr>
          <w:lang w:val="en-US"/>
        </w:rPr>
      </w:pPr>
      <w:r>
        <w:object w:dxaOrig="7455" w:dyaOrig="17465">
          <v:shape id="_x0000_i1026" type="#_x0000_t75" style="width:351pt;height:684.75pt" o:ole="">
            <v:imagedata r:id="rId11" o:title=""/>
          </v:shape>
          <o:OLEObject Type="Embed" ProgID="Visio.Drawing.11" ShapeID="_x0000_i1026" DrawAspect="Content" ObjectID="_1675086265" r:id="rId12"/>
        </w:object>
      </w:r>
    </w:p>
    <w:p w:rsidR="005775DB" w:rsidRDefault="005775DB" w:rsidP="005775DB">
      <w:pPr>
        <w:pStyle w:val="a8"/>
      </w:pPr>
      <w:r>
        <w:t xml:space="preserve">Рисунок </w:t>
      </w:r>
      <w:r w:rsidR="00724B5F">
        <w:t>3</w:t>
      </w:r>
      <w:r>
        <w:t xml:space="preserve"> Алгоритм подсчёта </w:t>
      </w:r>
      <w:proofErr w:type="spellStart"/>
      <w:r>
        <w:rPr>
          <w:lang w:val="en-US"/>
        </w:rPr>
        <w:t>ln</w:t>
      </w:r>
      <w:proofErr w:type="spellEnd"/>
      <w:r w:rsidRPr="005775DB">
        <w:t>(</w:t>
      </w:r>
      <w:r>
        <w:rPr>
          <w:lang w:val="en-US"/>
        </w:rPr>
        <w:t>x</w:t>
      </w:r>
      <w:r w:rsidRPr="005775DB">
        <w:t>)</w:t>
      </w:r>
    </w:p>
    <w:p w:rsidR="00D52609" w:rsidRDefault="00D52609" w:rsidP="00D52609"/>
    <w:p w:rsidR="00D52609" w:rsidRDefault="00D52609" w:rsidP="00D52609">
      <w:pPr>
        <w:pStyle w:val="1"/>
      </w:pPr>
      <w:bookmarkStart w:id="8" w:name="_Toc12799675"/>
      <w:r>
        <w:lastRenderedPageBreak/>
        <w:t>Примеры работы программы</w:t>
      </w:r>
      <w:bookmarkEnd w:id="8"/>
    </w:p>
    <w:p w:rsidR="00DE7BAC" w:rsidRPr="00724B5F" w:rsidRDefault="00D52609" w:rsidP="00DE7BAC">
      <w:r>
        <w:t>Пример работы программы с вычислением сложного математического выр</w:t>
      </w:r>
      <w:r w:rsidR="00724B5F">
        <w:t>ажения представлен на рисунке №4</w:t>
      </w:r>
      <w:r>
        <w:t>.</w:t>
      </w:r>
      <w:r w:rsidR="00DE7BAC">
        <w:t xml:space="preserve"> Результат вычи</w:t>
      </w:r>
      <w:r w:rsidR="00724B5F">
        <w:t>слений представлен на рисунке №5</w:t>
      </w:r>
      <w:r w:rsidR="00DE7BAC" w:rsidRPr="00724B5F">
        <w:t>.</w:t>
      </w:r>
    </w:p>
    <w:p w:rsidR="00D52609" w:rsidRPr="00D52609" w:rsidRDefault="00D52609" w:rsidP="00D5260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24150" cy="328091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8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DB" w:rsidRDefault="00724B5F" w:rsidP="00D52609">
      <w:pPr>
        <w:ind w:firstLine="0"/>
        <w:jc w:val="center"/>
      </w:pPr>
      <w:r>
        <w:t>Рисунок 4</w:t>
      </w:r>
      <w:r w:rsidR="00D52609">
        <w:t xml:space="preserve"> Ввод выражения</w:t>
      </w:r>
    </w:p>
    <w:p w:rsidR="00D52609" w:rsidRDefault="00DE7BAC" w:rsidP="00D5260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025" cy="14668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AC" w:rsidRPr="00DE7BAC" w:rsidRDefault="00DE7BAC" w:rsidP="00DE7BAC">
      <w:pPr>
        <w:ind w:firstLine="0"/>
        <w:jc w:val="center"/>
      </w:pPr>
      <w:r>
        <w:t xml:space="preserve">Рисунок </w:t>
      </w:r>
      <w:r w:rsidR="00724B5F">
        <w:t>5</w:t>
      </w:r>
      <w:r>
        <w:t xml:space="preserve"> Результат вычислений</w:t>
      </w:r>
    </w:p>
    <w:p w:rsidR="00DE7BAC" w:rsidRPr="00724B5F" w:rsidRDefault="00DE7BAC" w:rsidP="00D52609">
      <w:pPr>
        <w:ind w:firstLine="0"/>
        <w:jc w:val="center"/>
      </w:pPr>
    </w:p>
    <w:p w:rsidR="00DE7BAC" w:rsidRPr="00724B5F" w:rsidRDefault="00DE7BAC" w:rsidP="00DE7BAC">
      <w:r>
        <w:t>Пример вычисления определённого интеграла калькул</w:t>
      </w:r>
      <w:r w:rsidR="00724B5F">
        <w:t>ятором представлен на рисунке №6</w:t>
      </w:r>
      <w:r>
        <w:t>.</w:t>
      </w:r>
      <w:r w:rsidRPr="00DE7BAC">
        <w:t xml:space="preserve"> </w:t>
      </w:r>
      <w:r w:rsidR="00724B5F">
        <w:t>Результат вычисления показан на рисунке №7</w:t>
      </w:r>
      <w:r w:rsidRPr="00724B5F">
        <w:t>.</w:t>
      </w:r>
    </w:p>
    <w:p w:rsidR="00DE7BAC" w:rsidRPr="00724B5F" w:rsidRDefault="00DE7BAC" w:rsidP="00DE7BAC"/>
    <w:p w:rsidR="00DE7BAC" w:rsidRPr="00724B5F" w:rsidRDefault="00DE7BAC" w:rsidP="00DE7BAC"/>
    <w:p w:rsidR="00DE7BAC" w:rsidRPr="00724B5F" w:rsidRDefault="00DE7BAC" w:rsidP="00DE7BAC"/>
    <w:p w:rsidR="00DE7BAC" w:rsidRPr="00724B5F" w:rsidRDefault="00DE7BAC" w:rsidP="00DE7BAC"/>
    <w:p w:rsidR="00DE7BAC" w:rsidRPr="00724B5F" w:rsidRDefault="00DE7BAC" w:rsidP="00DE7BAC"/>
    <w:p w:rsidR="00DE7BAC" w:rsidRPr="00724B5F" w:rsidRDefault="00DE7BAC" w:rsidP="00DE7BAC"/>
    <w:p w:rsidR="00DE7BAC" w:rsidRDefault="00DE7BAC" w:rsidP="00DE7BA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19575" cy="22574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BAC" w:rsidRDefault="00724B5F" w:rsidP="00DE7BAC">
      <w:pPr>
        <w:ind w:firstLine="0"/>
        <w:jc w:val="center"/>
      </w:pPr>
      <w:r>
        <w:t>Рисунок №6</w:t>
      </w:r>
      <w:r w:rsidR="00DE7BAC">
        <w:t xml:space="preserve"> Ввод пределов интегрирования</w:t>
      </w:r>
    </w:p>
    <w:p w:rsidR="00DE7BAC" w:rsidRDefault="00DE7BAC" w:rsidP="00DE7BAC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6375" cy="162877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EF" w:rsidRDefault="00724B5F" w:rsidP="00DE7BAC">
      <w:pPr>
        <w:ind w:firstLine="0"/>
        <w:jc w:val="center"/>
      </w:pPr>
      <w:r>
        <w:t>Рисунок №7</w:t>
      </w:r>
      <w:r w:rsidR="003A41EF">
        <w:t xml:space="preserve"> Результат интегрирования</w:t>
      </w:r>
    </w:p>
    <w:p w:rsidR="003A41EF" w:rsidRDefault="003A41EF" w:rsidP="003A41EF">
      <w:r>
        <w:t>Пример нахождения корня по начальному приближ</w:t>
      </w:r>
      <w:r w:rsidR="00724B5F">
        <w:t>ению представлен на рисунке №8. Результат на рисунке №9</w:t>
      </w:r>
      <w:r>
        <w:t>.</w:t>
      </w:r>
    </w:p>
    <w:p w:rsidR="003A41EF" w:rsidRDefault="003A41EF" w:rsidP="003A41E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14775" cy="14001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EF" w:rsidRDefault="00724B5F" w:rsidP="003A41EF">
      <w:pPr>
        <w:ind w:firstLine="0"/>
        <w:jc w:val="center"/>
      </w:pPr>
      <w:r>
        <w:t>Рисунок №8</w:t>
      </w:r>
      <w:r w:rsidR="003A41EF">
        <w:t xml:space="preserve"> Ввод начального приближения</w:t>
      </w:r>
    </w:p>
    <w:p w:rsidR="003A41EF" w:rsidRDefault="003A41EF" w:rsidP="003A41E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3475" cy="11906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2" w:rsidRDefault="00724B5F" w:rsidP="003109ED">
      <w:pPr>
        <w:ind w:firstLine="0"/>
        <w:jc w:val="center"/>
      </w:pPr>
      <w:r>
        <w:t>Рисунок №9</w:t>
      </w:r>
    </w:p>
    <w:p w:rsidR="001D2B02" w:rsidRDefault="001D2B02" w:rsidP="001D2B02"/>
    <w:p w:rsidR="001D2B02" w:rsidRDefault="001D2B02" w:rsidP="001D2B02"/>
    <w:p w:rsidR="001D2B02" w:rsidRDefault="001D2B02" w:rsidP="001D2B02"/>
    <w:sectPr w:rsidR="001D2B02" w:rsidSect="001E6809">
      <w:footerReference w:type="first" r:id="rId19"/>
      <w:pgSz w:w="11906" w:h="16838" w:code="9"/>
      <w:pgMar w:top="851" w:right="851" w:bottom="992" w:left="1418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AE3" w:rsidRDefault="00322AE3" w:rsidP="006C47A5">
      <w:pPr>
        <w:spacing w:before="0"/>
      </w:pPr>
      <w:r>
        <w:separator/>
      </w:r>
    </w:p>
  </w:endnote>
  <w:endnote w:type="continuationSeparator" w:id="0">
    <w:p w:rsidR="00322AE3" w:rsidRDefault="00322AE3" w:rsidP="006C47A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2293981"/>
      <w:docPartObj>
        <w:docPartGallery w:val="Page Numbers (Bottom of Page)"/>
        <w:docPartUnique/>
      </w:docPartObj>
    </w:sdtPr>
    <w:sdtContent>
      <w:p w:rsidR="003A41EF" w:rsidRDefault="00415553">
        <w:pPr>
          <w:pStyle w:val="ad"/>
          <w:jc w:val="right"/>
        </w:pPr>
        <w:fldSimple w:instr=" PAGE   \* MERGEFORMAT ">
          <w:r w:rsidR="003A41EF">
            <w:rPr>
              <w:noProof/>
            </w:rPr>
            <w:t>5</w:t>
          </w:r>
        </w:fldSimple>
      </w:p>
    </w:sdtContent>
  </w:sdt>
  <w:p w:rsidR="003A41EF" w:rsidRPr="001E6809" w:rsidRDefault="003A41EF" w:rsidP="001E6809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AE3" w:rsidRDefault="00322AE3" w:rsidP="006C47A5">
      <w:pPr>
        <w:spacing w:before="0"/>
      </w:pPr>
      <w:r>
        <w:separator/>
      </w:r>
    </w:p>
  </w:footnote>
  <w:footnote w:type="continuationSeparator" w:id="0">
    <w:p w:rsidR="00322AE3" w:rsidRDefault="00322AE3" w:rsidP="006C47A5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20809"/>
    <w:multiLevelType w:val="hybridMultilevel"/>
    <w:tmpl w:val="FFFC1674"/>
    <w:lvl w:ilvl="0" w:tplc="B73AB2A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3FD"/>
    <w:rsid w:val="0004571C"/>
    <w:rsid w:val="00060FB8"/>
    <w:rsid w:val="000669ED"/>
    <w:rsid w:val="0008263A"/>
    <w:rsid w:val="00097133"/>
    <w:rsid w:val="000C4DEA"/>
    <w:rsid w:val="000E4FD0"/>
    <w:rsid w:val="000F5EEB"/>
    <w:rsid w:val="001A0131"/>
    <w:rsid w:val="001D2B02"/>
    <w:rsid w:val="001E6809"/>
    <w:rsid w:val="002355F7"/>
    <w:rsid w:val="0026619F"/>
    <w:rsid w:val="0028207F"/>
    <w:rsid w:val="0028282E"/>
    <w:rsid w:val="002A1882"/>
    <w:rsid w:val="002B4949"/>
    <w:rsid w:val="002D43D2"/>
    <w:rsid w:val="003109ED"/>
    <w:rsid w:val="00322AE3"/>
    <w:rsid w:val="0037140D"/>
    <w:rsid w:val="003A41EF"/>
    <w:rsid w:val="003A6C8F"/>
    <w:rsid w:val="00415553"/>
    <w:rsid w:val="004231E1"/>
    <w:rsid w:val="00477716"/>
    <w:rsid w:val="004A1749"/>
    <w:rsid w:val="004C51C7"/>
    <w:rsid w:val="004D668F"/>
    <w:rsid w:val="00507150"/>
    <w:rsid w:val="005141D4"/>
    <w:rsid w:val="00565F9F"/>
    <w:rsid w:val="005775DB"/>
    <w:rsid w:val="00583234"/>
    <w:rsid w:val="00612EAA"/>
    <w:rsid w:val="00637DC9"/>
    <w:rsid w:val="00660910"/>
    <w:rsid w:val="00663680"/>
    <w:rsid w:val="00673A43"/>
    <w:rsid w:val="00686F50"/>
    <w:rsid w:val="006911D2"/>
    <w:rsid w:val="006B68AA"/>
    <w:rsid w:val="006C47A5"/>
    <w:rsid w:val="00724B5F"/>
    <w:rsid w:val="007C5227"/>
    <w:rsid w:val="007E2709"/>
    <w:rsid w:val="008E70B5"/>
    <w:rsid w:val="00922095"/>
    <w:rsid w:val="00927651"/>
    <w:rsid w:val="009405F1"/>
    <w:rsid w:val="00965DC3"/>
    <w:rsid w:val="00A12B23"/>
    <w:rsid w:val="00A61556"/>
    <w:rsid w:val="00A91980"/>
    <w:rsid w:val="00B73EE1"/>
    <w:rsid w:val="00BA625B"/>
    <w:rsid w:val="00C12E93"/>
    <w:rsid w:val="00C263FD"/>
    <w:rsid w:val="00D40037"/>
    <w:rsid w:val="00D473FC"/>
    <w:rsid w:val="00D52609"/>
    <w:rsid w:val="00D84983"/>
    <w:rsid w:val="00DA6D1F"/>
    <w:rsid w:val="00DE4A15"/>
    <w:rsid w:val="00DE7BAC"/>
    <w:rsid w:val="00E073D9"/>
    <w:rsid w:val="00E6096A"/>
    <w:rsid w:val="00E96474"/>
    <w:rsid w:val="00F1083B"/>
    <w:rsid w:val="00F1110B"/>
    <w:rsid w:val="00F9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163" w:line="276" w:lineRule="auto"/>
        <w:ind w:left="9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51"/>
    <w:pPr>
      <w:spacing w:line="240" w:lineRule="auto"/>
      <w:ind w:left="0" w:firstLine="709"/>
      <w:jc w:val="both"/>
    </w:pPr>
    <w:rPr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22095"/>
    <w:pPr>
      <w:keepNext/>
      <w:keepLines/>
      <w:spacing w:before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625B"/>
    <w:pPr>
      <w:keepNext/>
      <w:keepLines/>
      <w:spacing w:before="200"/>
      <w:ind w:firstLine="0"/>
      <w:jc w:val="center"/>
      <w:outlineLvl w:val="1"/>
    </w:pPr>
    <w:rPr>
      <w:rFonts w:asciiTheme="majorHAnsi" w:eastAsiaTheme="majorEastAsia" w:hAnsiTheme="maj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домость"/>
    <w:basedOn w:val="a"/>
    <w:link w:val="a4"/>
    <w:autoRedefine/>
    <w:qFormat/>
    <w:rsid w:val="00660910"/>
    <w:pPr>
      <w:spacing w:before="0" w:after="200"/>
    </w:pPr>
    <w:rPr>
      <w:b/>
      <w:color w:val="D99594" w:themeColor="accent2" w:themeTint="99"/>
      <w:u w:val="double"/>
      <w:lang w:val="en-US"/>
    </w:rPr>
  </w:style>
  <w:style w:type="character" w:customStyle="1" w:styleId="a4">
    <w:name w:val="Ведомость Знак"/>
    <w:basedOn w:val="a0"/>
    <w:link w:val="a3"/>
    <w:rsid w:val="00660910"/>
    <w:rPr>
      <w:b/>
      <w:color w:val="D99594" w:themeColor="accent2" w:themeTint="99"/>
      <w:u w:val="double"/>
      <w:lang w:val="en-US"/>
    </w:rPr>
  </w:style>
  <w:style w:type="paragraph" w:styleId="a5">
    <w:name w:val="Normal (Web)"/>
    <w:basedOn w:val="a"/>
    <w:uiPriority w:val="99"/>
    <w:unhideWhenUsed/>
    <w:rsid w:val="00965DC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209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625B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583234"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234"/>
    <w:rPr>
      <w:rFonts w:ascii="Tahoma" w:hAnsi="Tahoma" w:cs="Tahoma"/>
      <w:color w:val="000000" w:themeColor="text1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583234"/>
    <w:pPr>
      <w:spacing w:before="0" w:after="200"/>
      <w:ind w:firstLine="0"/>
      <w:jc w:val="center"/>
    </w:pPr>
    <w:rPr>
      <w:bCs/>
      <w:szCs w:val="18"/>
    </w:rPr>
  </w:style>
  <w:style w:type="paragraph" w:styleId="a9">
    <w:name w:val="TOC Heading"/>
    <w:basedOn w:val="1"/>
    <w:next w:val="a"/>
    <w:uiPriority w:val="39"/>
    <w:semiHidden/>
    <w:unhideWhenUsed/>
    <w:qFormat/>
    <w:rsid w:val="001A0131"/>
    <w:pPr>
      <w:spacing w:line="276" w:lineRule="auto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A01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0131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1A013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6C47A5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C47A5"/>
    <w:rPr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6C47A5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6C47A5"/>
    <w:rPr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F10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003A120-DDBF-40E9-8014-08FC9944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dcterms:created xsi:type="dcterms:W3CDTF">2019-06-27T09:36:00Z</dcterms:created>
  <dcterms:modified xsi:type="dcterms:W3CDTF">2021-02-17T13:58:00Z</dcterms:modified>
</cp:coreProperties>
</file>