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53" w:rsidRDefault="000D6D53" w:rsidP="000D6D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ERRATA</w:t>
      </w:r>
    </w:p>
    <w:p w:rsidR="000D6D53" w:rsidRDefault="000D6D53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item 4, intitulado Quadro Teórico, adiciona-se o item:</w:t>
      </w:r>
    </w:p>
    <w:p w:rsid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</w:p>
    <w:p w:rsidR="008428B6" w:rsidRDefault="008428B6" w:rsidP="008428B6">
      <w:pPr>
        <w:pStyle w:val="Ttulo2"/>
        <w:numPr>
          <w:ilvl w:val="1"/>
          <w:numId w:val="3"/>
        </w:numPr>
        <w:ind w:left="709" w:hanging="709"/>
      </w:pPr>
      <w:r w:rsidRPr="004D43A3">
        <w:t>Node.JS</w:t>
      </w:r>
    </w:p>
    <w:p w:rsidR="008428B6" w:rsidRPr="004D43A3" w:rsidRDefault="008428B6" w:rsidP="008428B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428B6" w:rsidRDefault="008428B6" w:rsidP="008428B6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8428B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1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 xml:space="preserve">). O problema é que essa arquitetura se torna ineficiente em alguns casos, mantendo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2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8428B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8428B6" w:rsidRPr="00115D4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</w:t>
      </w:r>
      <w:r w:rsidR="004F2C79">
        <w:rPr>
          <w:rFonts w:ascii="Times New Roman" w:eastAsia="MinionPro-Regular" w:hAnsi="Times New Roman"/>
          <w:sz w:val="24"/>
          <w:szCs w:val="24"/>
        </w:rPr>
        <w:t>é</w:t>
      </w:r>
      <w:bookmarkStart w:id="0" w:name="_GoBack"/>
      <w:bookmarkEnd w:id="0"/>
      <w:r>
        <w:rPr>
          <w:rFonts w:ascii="Times New Roman" w:eastAsia="MinionPro-Regular" w:hAnsi="Times New Roman"/>
          <w:sz w:val="24"/>
          <w:szCs w:val="24"/>
        </w:rPr>
        <w:t xml:space="preserve">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Chrome.</w:t>
      </w:r>
    </w:p>
    <w:p w:rsidR="008428B6" w:rsidRP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</w:p>
    <w:p w:rsidR="008428B6" w:rsidRDefault="008428B6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Desconsidera-se o item 5.6, intitulado Cronograma. Considera</w:t>
      </w:r>
      <w:r w:rsidR="00D4375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-se os itens:</w:t>
      </w: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Default="000D6D53" w:rsidP="000D6D53">
      <w:pPr>
        <w:pStyle w:val="Ttulo2"/>
        <w:numPr>
          <w:ilvl w:val="1"/>
          <w:numId w:val="2"/>
        </w:numPr>
        <w:autoSpaceDN/>
        <w:ind w:left="709" w:hanging="709"/>
      </w:pPr>
      <w:bookmarkStart w:id="1" w:name="_Toc318361712"/>
      <w:bookmarkStart w:id="2" w:name="_Toc318447234"/>
      <w:bookmarkStart w:id="3" w:name="_Toc418446686"/>
      <w:bookmarkStart w:id="4" w:name="_Toc418447413"/>
      <w:r w:rsidRPr="00F94A95">
        <w:t>Cronograma</w:t>
      </w:r>
      <w:bookmarkEnd w:id="1"/>
      <w:bookmarkEnd w:id="2"/>
      <w:bookmarkEnd w:id="3"/>
      <w:bookmarkEnd w:id="4"/>
    </w:p>
    <w:p w:rsidR="000D6D53" w:rsidRDefault="000D6D53" w:rsidP="000D6D53">
      <w:pPr>
        <w:ind w:left="576"/>
      </w:pPr>
    </w:p>
    <w:p w:rsidR="000D6D53" w:rsidRDefault="00D43753" w:rsidP="00D43753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</w:t>
      </w:r>
      <w:r w:rsidR="00DB288C">
        <w:rPr>
          <w:rFonts w:ascii="Times New Roman" w:hAnsi="Times New Roman"/>
          <w:sz w:val="24"/>
        </w:rPr>
        <w:t>dem</w:t>
      </w:r>
      <w:r>
        <w:rPr>
          <w:rFonts w:ascii="Times New Roman" w:hAnsi="Times New Roman"/>
          <w:sz w:val="24"/>
        </w:rPr>
        <w:t>o</w:t>
      </w:r>
      <w:r w:rsidR="00DB288C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stram como serão realizadas as etapas do desenvolvimento da pesquisa.</w:t>
      </w: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C73DE4" w:rsidRDefault="00C73DE4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Primeiro Semestre de 2015</w:t>
      </w:r>
    </w:p>
    <w:p w:rsidR="000D6D53" w:rsidRDefault="000D6D53" w:rsidP="000D6D53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0D6D53" w:rsidTr="000057F9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D6D53" w:rsidRDefault="000D6D53" w:rsidP="000057F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D6D53" w:rsidRDefault="000D6D53" w:rsidP="000D6D53"/>
    <w:p w:rsidR="000D6D53" w:rsidRPr="00DB288C" w:rsidRDefault="00DB288C" w:rsidP="00DB288C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Segundo Semestre de 2015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D43753" w:rsidTr="000057F9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43753" w:rsidRDefault="00D43753" w:rsidP="00D437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D43753" w:rsidRPr="000D6D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Default="00D43753" w:rsidP="00D437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tabela acima demonstra a programação do segundo semestre </w:t>
      </w:r>
      <w:r w:rsidR="00DB288C">
        <w:rPr>
          <w:rFonts w:ascii="Times New Roman" w:hAnsi="Times New Roman"/>
          <w:sz w:val="24"/>
        </w:rPr>
        <w:t>de 2015</w:t>
      </w:r>
      <w:r>
        <w:rPr>
          <w:rFonts w:ascii="Times New Roman" w:hAnsi="Times New Roman"/>
          <w:sz w:val="24"/>
        </w:rPr>
        <w:t>.</w:t>
      </w:r>
    </w:p>
    <w:p w:rsidR="00C73DE4" w:rsidRDefault="00C73DE4" w:rsidP="00D43753">
      <w:pPr>
        <w:rPr>
          <w:rFonts w:ascii="Times New Roman" w:hAnsi="Times New Roman"/>
          <w:sz w:val="24"/>
        </w:rPr>
      </w:pPr>
    </w:p>
    <w:p w:rsidR="00C73DE4" w:rsidRDefault="00C73DE4" w:rsidP="00D43753">
      <w:pPr>
        <w:rPr>
          <w:rFonts w:ascii="Times New Roman" w:hAnsi="Times New Roman"/>
          <w:sz w:val="24"/>
        </w:rPr>
      </w:pPr>
    </w:p>
    <w:p w:rsidR="00C73DE4" w:rsidRDefault="00C73DE4" w:rsidP="00D4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tópico Referências, adiciona-se a referência:</w:t>
      </w:r>
    </w:p>
    <w:p w:rsidR="00C73DE4" w:rsidRPr="002373D6" w:rsidRDefault="00C73DE4" w:rsidP="00C73D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C73DE4" w:rsidRPr="00C73DE4" w:rsidRDefault="00C73DE4" w:rsidP="00D43753">
      <w:pPr>
        <w:rPr>
          <w:rFonts w:ascii="Times New Roman" w:hAnsi="Times New Roman" w:cs="Times New Roman"/>
          <w:sz w:val="24"/>
          <w:szCs w:val="24"/>
        </w:rPr>
      </w:pPr>
    </w:p>
    <w:sectPr w:rsidR="00C73DE4" w:rsidRPr="00C73DE4" w:rsidSect="000D6D53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D7" w:rsidRDefault="008C60D7" w:rsidP="00D43753">
      <w:pPr>
        <w:spacing w:after="0" w:line="240" w:lineRule="auto"/>
      </w:pPr>
      <w:r>
        <w:separator/>
      </w:r>
    </w:p>
  </w:endnote>
  <w:endnote w:type="continuationSeparator" w:id="0">
    <w:p w:rsidR="008C60D7" w:rsidRDefault="008C60D7" w:rsidP="00D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83013"/>
      <w:docPartObj>
        <w:docPartGallery w:val="Page Numbers (Bottom of Page)"/>
        <w:docPartUnique/>
      </w:docPartObj>
    </w:sdtPr>
    <w:sdtEndPr/>
    <w:sdtContent>
      <w:p w:rsidR="00D43753" w:rsidRDefault="00D437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C79">
          <w:rPr>
            <w:noProof/>
          </w:rPr>
          <w:t>1</w:t>
        </w:r>
        <w:r>
          <w:fldChar w:fldCharType="end"/>
        </w:r>
      </w:p>
    </w:sdtContent>
  </w:sdt>
  <w:p w:rsidR="00D43753" w:rsidRDefault="00D437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D7" w:rsidRDefault="008C60D7" w:rsidP="00D43753">
      <w:pPr>
        <w:spacing w:after="0" w:line="240" w:lineRule="auto"/>
      </w:pPr>
      <w:r>
        <w:separator/>
      </w:r>
    </w:p>
  </w:footnote>
  <w:footnote w:type="continuationSeparator" w:id="0">
    <w:p w:rsidR="008C60D7" w:rsidRDefault="008C60D7" w:rsidP="00D43753">
      <w:pPr>
        <w:spacing w:after="0" w:line="240" w:lineRule="auto"/>
      </w:pPr>
      <w:r>
        <w:continuationSeparator/>
      </w:r>
    </w:p>
  </w:footnote>
  <w:footnote w:id="1">
    <w:p w:rsidR="008428B6" w:rsidRPr="004D43A3" w:rsidRDefault="008428B6" w:rsidP="008428B6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2">
    <w:p w:rsidR="008428B6" w:rsidRPr="008101EA" w:rsidRDefault="008428B6" w:rsidP="008428B6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53"/>
    <w:rsid w:val="000D6D53"/>
    <w:rsid w:val="003C2E4D"/>
    <w:rsid w:val="0046441E"/>
    <w:rsid w:val="004F2C79"/>
    <w:rsid w:val="008428B6"/>
    <w:rsid w:val="008C60D7"/>
    <w:rsid w:val="00C66618"/>
    <w:rsid w:val="00C73DE4"/>
    <w:rsid w:val="00D25986"/>
    <w:rsid w:val="00D43753"/>
    <w:rsid w:val="00DB288C"/>
    <w:rsid w:val="00E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28B6"/>
    <w:pPr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28B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428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28B6"/>
    <w:pPr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28B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428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57485-E5A9-4421-AC68-892FFEB0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5</cp:revision>
  <dcterms:created xsi:type="dcterms:W3CDTF">2015-05-16T16:51:00Z</dcterms:created>
  <dcterms:modified xsi:type="dcterms:W3CDTF">2015-05-19T02:55:00Z</dcterms:modified>
</cp:coreProperties>
</file>