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781946" w:rsidRDefault="00781946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781946" w:rsidRDefault="00781946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781946" w:rsidRDefault="00781946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ABREVIAÇÕES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EUA- </w:t>
      </w:r>
      <w:r>
        <w:rPr>
          <w:rStyle w:val="nfase"/>
          <w:rFonts w:ascii="Times New Roman" w:hAnsi="Times New Roman"/>
          <w:i w:val="0"/>
          <w:sz w:val="24"/>
          <w:szCs w:val="24"/>
        </w:rPr>
        <w:t>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- </w:t>
      </w:r>
      <w:proofErr w:type="spellStart"/>
      <w:proofErr w:type="gramStart"/>
      <w:r w:rsidRPr="002373D6">
        <w:rPr>
          <w:rFonts w:ascii="Times New Roman" w:hAnsi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IBM-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>
        <w:rPr>
          <w:rFonts w:ascii="Times New Roman" w:hAnsi="Times New Roman"/>
          <w:sz w:val="16"/>
          <w:szCs w:val="16"/>
        </w:rPr>
        <w:t xml:space="preserve"> 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67B9" w:rsidRPr="00F576C9" w:rsidRDefault="00ED67B9" w:rsidP="00ED67B9">
      <w:pPr>
        <w:pStyle w:val="Ttulo1"/>
        <w:autoSpaceDN/>
      </w:pPr>
      <w:bookmarkStart w:id="0" w:name="_Toc318361698"/>
      <w:bookmarkStart w:id="1" w:name="_Toc318447222"/>
      <w:bookmarkStart w:id="2" w:name="_GoBack"/>
      <w:bookmarkEnd w:id="2"/>
      <w:r w:rsidRPr="00F576C9">
        <w:lastRenderedPageBreak/>
        <w:t>INTRODUÇÃO</w:t>
      </w:r>
      <w:bookmarkEnd w:id="0"/>
      <w:bookmarkEnd w:id="1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pStyle w:val="SemEspaamento"/>
        <w:ind w:firstLine="709"/>
      </w:pPr>
      <w:r>
        <w:t>Atualmente, é visto um grande volume de dados circulando por todo o globo diariamente. Para mais fácil entendimento, a ele foi dado o nome de “</w:t>
      </w:r>
      <w:r w:rsidRPr="00756BF2">
        <w:rPr>
          <w:i/>
        </w:rPr>
        <w:t>Big Data</w:t>
      </w:r>
      <w:r>
        <w:t xml:space="preserve">”. Porém a questão é: “O que fazer com </w:t>
      </w:r>
      <w:r w:rsidRPr="00756BF2">
        <w:rPr>
          <w:i/>
        </w:rPr>
        <w:t>Big Data</w:t>
      </w:r>
      <w:r>
        <w:t>?”.</w:t>
      </w:r>
    </w:p>
    <w:p w:rsidR="00ED67B9" w:rsidRDefault="00ED67B9" w:rsidP="00ED67B9">
      <w:pPr>
        <w:pStyle w:val="SemEspaamento"/>
        <w:ind w:firstLine="709"/>
      </w:pPr>
      <w:r>
        <w:t>De fato, esse volume de dados ocupa uma grande demanda nos recursos de TI em uma organização. Porém os benefícios adquiridos podem dar uma severa vantagem competitiva em relação aos concorrentes.</w:t>
      </w:r>
    </w:p>
    <w:p w:rsidR="00ED67B9" w:rsidRDefault="00ED67B9" w:rsidP="00ED67B9">
      <w:pPr>
        <w:pStyle w:val="SemEspaamento"/>
        <w:ind w:firstLine="709"/>
      </w:pPr>
      <w:r>
        <w:t xml:space="preserve">Redes Sociais como o </w:t>
      </w:r>
      <w:proofErr w:type="spellStart"/>
      <w:r>
        <w:t>Facebook</w:t>
      </w:r>
      <w:proofErr w:type="spellEnd"/>
      <w:r>
        <w:t>, por exemplo, podem ser um diferencial em determinadas áreas, devido à grande quantidade de dados gerados diariamente.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IDEAS, 05</w:t>
      </w:r>
      <w:r w:rsidRPr="00314498">
        <w:rPr>
          <w:szCs w:val="24"/>
        </w:rPr>
        <w:t xml:space="preserve"> de </w:t>
      </w:r>
      <w:r>
        <w:rPr>
          <w:szCs w:val="24"/>
        </w:rPr>
        <w:t>fevereiro de 2015).</w:t>
      </w:r>
    </w:p>
    <w:p w:rsidR="00ED67B9" w:rsidRDefault="00ED67B9" w:rsidP="00ED67B9">
      <w:pPr>
        <w:pStyle w:val="SemEspaamento"/>
        <w:ind w:firstLine="709"/>
      </w:pPr>
      <w:r>
        <w:t xml:space="preserve">De fato, a disputa à presidência estava acirrada. Os marqueteiros de ambos os lados perceberam a importância do volume de dados que eram gerados pelas redes sociais. Desse modo, eles atualizavam as informações dos candidatos quase que em tempo real, a fim de obter vantagens relacionadas aos eleitores. </w:t>
      </w:r>
    </w:p>
    <w:p w:rsidR="00ED67B9" w:rsidRDefault="00ED67B9" w:rsidP="00ED67B9">
      <w:pPr>
        <w:pStyle w:val="SemEspaamento"/>
        <w:ind w:firstLine="709"/>
      </w:pPr>
      <w:r>
        <w:t xml:space="preserve">Muitos usuários demonstram o contentamento com seus representantes através de redes sociais. De fato, delas são uma forma fácil de expressão. Geralmente, a população tende a se expressar quando ocorrem eventos de grandes proporções nacionais, como uma eleição presidencial. Com esse imenso volume de dados gerados pelos usuários, nasce </w:t>
      </w:r>
      <w:proofErr w:type="gramStart"/>
      <w:r>
        <w:t xml:space="preserve">o </w:t>
      </w:r>
      <w:r w:rsidRPr="00756BF2">
        <w:rPr>
          <w:i/>
        </w:rPr>
        <w:t>Big Data</w:t>
      </w:r>
      <w:proofErr w:type="gramEnd"/>
      <w:r>
        <w:t>.</w:t>
      </w:r>
    </w:p>
    <w:p w:rsidR="00ED67B9" w:rsidRDefault="00ED67B9" w:rsidP="00ED67B9">
      <w:pPr>
        <w:pStyle w:val="SemEspaamento"/>
        <w:ind w:firstLine="709"/>
      </w:pPr>
      <w:r>
        <w:t xml:space="preserve">Essa grande quantidade de dados contém opiniões públicas de uma forma totalmente direta. O modelo de análise de dados mais indicado para esta ocasião é feito em forma de estatísticas, processando os dados presentes no </w:t>
      </w:r>
      <w:r w:rsidRPr="00122DB0">
        <w:rPr>
          <w:i/>
        </w:rPr>
        <w:t>Big Data</w:t>
      </w:r>
      <w:r>
        <w:t>.</w:t>
      </w:r>
    </w:p>
    <w:p w:rsidR="00ED67B9" w:rsidRPr="0059708C" w:rsidRDefault="00ED67B9" w:rsidP="00ED67B9">
      <w:pPr>
        <w:pStyle w:val="SemEspaamento"/>
        <w:ind w:firstLine="709"/>
      </w:pPr>
      <w:r>
        <w:t>Com essa análise de opinião pública, os políticos poderão compreender de forma mais clara e objetiva as carências da população, encurtando assim, a relação entre o povo e seus representantes.</w:t>
      </w: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ED67B9" w:rsidRPr="00922906" w:rsidRDefault="00ED67B9" w:rsidP="00ED67B9">
      <w:pPr>
        <w:pStyle w:val="Ttulo2"/>
        <w:autoSpaceDN/>
      </w:pPr>
      <w:bookmarkStart w:id="3" w:name="_Toc318361702"/>
      <w:bookmarkStart w:id="4" w:name="_Toc318447223"/>
      <w:r w:rsidRPr="00922906">
        <w:lastRenderedPageBreak/>
        <w:t>Objetivo Geral</w:t>
      </w:r>
      <w:bookmarkEnd w:id="3"/>
      <w:bookmarkEnd w:id="4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Desenvolver uma aplicação web que mostre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pStyle w:val="Ttulo2"/>
        <w:autoSpaceDN/>
      </w:pPr>
      <w:bookmarkStart w:id="5" w:name="_Toc318361703"/>
      <w:bookmarkStart w:id="6" w:name="_Toc318447224"/>
      <w:r>
        <w:t>Objetivos Específicos</w:t>
      </w:r>
      <w:bookmarkEnd w:id="5"/>
      <w:bookmarkEnd w:id="6"/>
    </w:p>
    <w:p w:rsidR="00ED67B9" w:rsidRPr="00C8327D" w:rsidRDefault="00ED67B9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>Os nossos objetivos específicos tem como base:</w:t>
      </w:r>
    </w:p>
    <w:p w:rsidR="00ED67B9" w:rsidRDefault="00ED67B9" w:rsidP="00ED67B9">
      <w:pPr>
        <w:pStyle w:val="SemEspaamento"/>
        <w:numPr>
          <w:ilvl w:val="0"/>
          <w:numId w:val="2"/>
        </w:numPr>
        <w:autoSpaceDN/>
        <w:ind w:left="1213" w:firstLine="709"/>
      </w:pPr>
      <w:r>
        <w:t xml:space="preserve">Coletar uma massa de dados relacionados </w:t>
      </w:r>
      <w:proofErr w:type="gramStart"/>
      <w:r>
        <w:t>a</w:t>
      </w:r>
      <w:proofErr w:type="gramEnd"/>
      <w:r>
        <w:t xml:space="preserve"> política das redes sociais através de palavras-chave;</w:t>
      </w:r>
    </w:p>
    <w:p w:rsidR="00ED67B9" w:rsidRDefault="00ED67B9" w:rsidP="00ED67B9">
      <w:pPr>
        <w:pStyle w:val="SemEspaamento"/>
        <w:numPr>
          <w:ilvl w:val="0"/>
          <w:numId w:val="2"/>
        </w:numPr>
        <w:autoSpaceDN/>
        <w:ind w:left="1213" w:firstLine="709"/>
      </w:pPr>
      <w:r>
        <w:t>Processar os dados coletados;</w:t>
      </w:r>
    </w:p>
    <w:p w:rsidR="00ED67B9" w:rsidRDefault="00ED67B9" w:rsidP="00ED67B9">
      <w:pPr>
        <w:pStyle w:val="SemEspaamento"/>
        <w:numPr>
          <w:ilvl w:val="0"/>
          <w:numId w:val="2"/>
        </w:numPr>
        <w:autoSpaceDN/>
        <w:ind w:left="1213" w:firstLine="709"/>
      </w:pPr>
      <w:r>
        <w:t>Apresentá-los em tempo real em uma aplicação web.</w:t>
      </w:r>
    </w:p>
    <w:p w:rsidR="00ED67B9" w:rsidRPr="00E2190E" w:rsidRDefault="00ED67B9" w:rsidP="00ED67B9">
      <w:pPr>
        <w:pStyle w:val="SemEspaamento"/>
        <w:ind w:firstLine="709"/>
      </w:pPr>
    </w:p>
    <w:p w:rsidR="00ED67B9" w:rsidRPr="003C5F55" w:rsidRDefault="00ED67B9" w:rsidP="00ED67B9">
      <w:pPr>
        <w:pStyle w:val="Ttulo2"/>
        <w:autoSpaceDN/>
      </w:pPr>
      <w:bookmarkStart w:id="7" w:name="_Toc318361704"/>
      <w:bookmarkStart w:id="8" w:name="_Toc318447225"/>
      <w:r w:rsidRPr="003C5F55">
        <w:t>Justificativas</w:t>
      </w:r>
      <w:bookmarkEnd w:id="7"/>
      <w:bookmarkEnd w:id="8"/>
    </w:p>
    <w:p w:rsidR="00ED67B9" w:rsidRDefault="00ED67B9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>No âmbito tecnológico, foram escolhidas as redes sociais pelo fato de seus usuários gerarem altos volumes de dados diariamente. A análise correta destes dados pode trazer dados importantes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>
        <w:t xml:space="preserve"> pois</w:t>
      </w:r>
      <w:proofErr w:type="gramEnd"/>
      <w:r>
        <w:t xml:space="preserve"> ainda não foi abordado no curso. Assim, o projeto pode ser arquivado na biblioteca acadêmica 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9" w:name="_Toc318447226"/>
      <w:bookmarkStart w:id="10" w:name="_Toc318361705"/>
      <w:r w:rsidRPr="002373D6">
        <w:lastRenderedPageBreak/>
        <w:t>QUADRO TEÓRIC</w:t>
      </w:r>
      <w:bookmarkStart w:id="11" w:name="_Toc318447227"/>
      <w:bookmarkEnd w:id="9"/>
      <w:bookmarkEnd w:id="10"/>
      <w:r w:rsidRPr="002373D6"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11"/>
    <w:p w:rsidR="00987D6B" w:rsidRPr="002373D6" w:rsidRDefault="00987D6B" w:rsidP="00987D6B">
      <w:pPr>
        <w:pStyle w:val="Ttulo2"/>
        <w:rPr>
          <w:i/>
          <w:szCs w:val="24"/>
        </w:rPr>
      </w:pPr>
      <w:r w:rsidRPr="002373D6">
        <w:rPr>
          <w:i/>
        </w:rPr>
        <w:t>Big Data</w:t>
      </w:r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52" wp14:editId="2898F4C5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781946" w:rsidRDefault="00781946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</w:t>
      </w:r>
      <w:r w:rsidR="00513116" w:rsidRPr="002373D6">
        <w:rPr>
          <w:rStyle w:val="nfase"/>
          <w:i w:val="0"/>
        </w:rPr>
        <w:lastRenderedPageBreak/>
        <w:t xml:space="preserve">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lastRenderedPageBreak/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12" w:name="tw-target-text2"/>
      <w:bookmarkEnd w:id="12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13" w:name="result_box"/>
      <w:bookmarkEnd w:id="13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>
        <w:rPr>
          <w:rStyle w:val="nfase"/>
          <w:i w:val="0"/>
        </w:rPr>
        <w:t>)</w:t>
      </w:r>
      <w:r w:rsidR="00B7333D">
        <w:rPr>
          <w:rStyle w:val="nfase"/>
          <w:i w:val="0"/>
        </w:rPr>
        <w:t xml:space="preserve"> apud Press (2013)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14" w:name="result_box1"/>
      <w:bookmarkEnd w:id="14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15" w:name="result_box2"/>
      <w:bookmarkEnd w:id="15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</w:t>
      </w:r>
      <w:r w:rsidR="006D09F8" w:rsidRPr="002373D6">
        <w:rPr>
          <w:rStyle w:val="nfaseforte"/>
          <w:b w:val="0"/>
          <w:bCs w:val="0"/>
          <w:iCs/>
        </w:rPr>
        <w:lastRenderedPageBreak/>
        <w:t xml:space="preserve">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16" w:name="result_box3"/>
      <w:bookmarkEnd w:id="16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proofErr w:type="spellStart"/>
      <w:r w:rsidRPr="002373D6">
        <w:rPr>
          <w:i/>
        </w:rPr>
        <w:t>Storm</w:t>
      </w:r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</w:t>
      </w:r>
      <w:r w:rsidRPr="002373D6">
        <w:rPr>
          <w:rFonts w:ascii="Times New Roman" w:hAnsi="Times New Roman"/>
          <w:sz w:val="24"/>
        </w:rPr>
        <w:lastRenderedPageBreak/>
        <w:t xml:space="preserve">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lastRenderedPageBreak/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935DFE">
      <w:pPr>
        <w:pStyle w:val="SemEspaamento"/>
        <w:ind w:firstLine="0"/>
      </w:pPr>
    </w:p>
    <w:p w:rsidR="00935DFE" w:rsidRPr="002373D6" w:rsidRDefault="00935DFE" w:rsidP="00935DFE">
      <w:pPr>
        <w:pStyle w:val="SemEspaamento"/>
        <w:ind w:firstLine="0"/>
      </w:pPr>
    </w:p>
    <w:p w:rsidR="00BD4A43" w:rsidRPr="002373D6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 xml:space="preserve">. Assim, ele consegue redistribuir documentos automaticamente e rotear as </w:t>
      </w:r>
      <w:r w:rsidR="00A63A0E" w:rsidRPr="002373D6">
        <w:lastRenderedPageBreak/>
        <w:t>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</w:t>
      </w:r>
      <w:r w:rsidRPr="002373D6">
        <w:rPr>
          <w:rFonts w:ascii="Times New Roman" w:hAnsi="Times New Roman"/>
          <w:sz w:val="24"/>
        </w:rPr>
        <w:lastRenderedPageBreak/>
        <w:t xml:space="preserve">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A270C9" w:rsidRPr="002373D6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r w:rsidRPr="002373D6">
        <w:t>HTML</w:t>
      </w:r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</w:t>
      </w:r>
      <w:r w:rsidRPr="002373D6">
        <w:rPr>
          <w:rFonts w:ascii="Times New Roman" w:hAnsi="Times New Roman" w:cs="Times New Roman"/>
          <w:sz w:val="24"/>
        </w:rPr>
        <w:lastRenderedPageBreak/>
        <w:t>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r w:rsidRPr="002373D6">
        <w:t>CSS</w:t>
      </w:r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</w:t>
      </w:r>
      <w:r w:rsidR="00D560AC" w:rsidRPr="002373D6">
        <w:lastRenderedPageBreak/>
        <w:t>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proofErr w:type="spellStart"/>
      <w:proofErr w:type="gramStart"/>
      <w:r w:rsidRPr="002373D6">
        <w:rPr>
          <w:i/>
        </w:rPr>
        <w:t>JavaScript</w:t>
      </w:r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lastRenderedPageBreak/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CB67D0" w:rsidRPr="002373D6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Pr="002373D6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Pr="002373D6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17" w:name="_Toc318361706"/>
      <w:bookmarkStart w:id="18" w:name="_Toc318447228"/>
      <w:r w:rsidRPr="00F94A95">
        <w:lastRenderedPageBreak/>
        <w:t>QUADRO METODOLÓGICO</w:t>
      </w:r>
      <w:bookmarkEnd w:id="17"/>
      <w:bookmarkEnd w:id="1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19" w:name="_Toc318361707"/>
      <w:bookmarkStart w:id="20" w:name="_Toc318447229"/>
      <w:r w:rsidRPr="00F94A95">
        <w:t>Tipo de Pesquisa</w:t>
      </w:r>
      <w:bookmarkEnd w:id="19"/>
      <w:bookmarkEnd w:id="20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21" w:name="_Toc318361708"/>
      <w:bookmarkStart w:id="22" w:name="_Toc318447230"/>
      <w:r w:rsidRPr="00F94A95">
        <w:t>Contexto de pesquisa</w:t>
      </w:r>
      <w:bookmarkEnd w:id="21"/>
      <w:bookmarkEnd w:id="2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2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23" w:name="_Toc318361709"/>
      <w:bookmarkStart w:id="24" w:name="_Toc318447231"/>
      <w:r w:rsidRPr="00F94A95">
        <w:t>Participantes</w:t>
      </w:r>
      <w:bookmarkEnd w:id="23"/>
      <w:bookmarkEnd w:id="24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Pr="00554C19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r>
        <w:lastRenderedPageBreak/>
        <w:t xml:space="preserve">Instrumentos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25" w:name="_Toc318361711"/>
      <w:bookmarkStart w:id="26" w:name="_Toc318447233"/>
      <w:r w:rsidRPr="00F94A95">
        <w:t>Procedimentos</w:t>
      </w:r>
      <w:bookmarkEnd w:id="25"/>
      <w:bookmarkEnd w:id="2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50A90" w:rsidRPr="00A236C7" w:rsidRDefault="00F50A90" w:rsidP="00F50A90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27" w:name="_Toc318361712"/>
      <w:bookmarkStart w:id="28" w:name="_Toc318447234"/>
      <w:r w:rsidRPr="00F94A95">
        <w:lastRenderedPageBreak/>
        <w:t>Cronograma</w:t>
      </w:r>
      <w:bookmarkEnd w:id="27"/>
      <w:bookmarkEnd w:id="28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50A90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  <w:r>
        <w:t xml:space="preserve"> </w:t>
      </w:r>
    </w:p>
    <w:p w:rsidR="00F50A90" w:rsidRDefault="00F50A90" w:rsidP="00F50A90">
      <w:pPr>
        <w:pStyle w:val="Ttulo2"/>
        <w:autoSpaceDN/>
      </w:pPr>
      <w:bookmarkStart w:id="29" w:name="_Toc411530437"/>
      <w:r>
        <w:lastRenderedPageBreak/>
        <w:t>Orçamento</w:t>
      </w:r>
      <w:bookmarkEnd w:id="29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3"/>
        <w:gridCol w:w="2124"/>
        <w:gridCol w:w="2789"/>
        <w:gridCol w:w="1188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30" w:name="_Toc318361713"/>
      <w:bookmarkStart w:id="31" w:name="_Toc318447235"/>
      <w:r w:rsidRPr="002373D6">
        <w:lastRenderedPageBreak/>
        <w:t>REFERÊNCIAS</w:t>
      </w:r>
      <w:bookmarkEnd w:id="30"/>
      <w:bookmarkEnd w:id="31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ED4AEF" w:rsidRPr="002373D6" w:rsidRDefault="00ED4AEF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>
        <w:t xml:space="preserve">MARCONI, Marina Andrade; LAKATOS, Eva Maria.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ED4AEF" w:rsidRDefault="00ED4AE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A36520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A36520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 xml:space="preserve">uiz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ED4AEF" w:rsidRDefault="00ED4AEF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4AEF" w:rsidRPr="002373D6" w:rsidRDefault="00ED4AEF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781946" w:rsidRDefault="00781946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6" w:rsidRDefault="00781946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781946" w:rsidRDefault="00781946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C2907">
      <w:endnotePr>
        <w:numFmt w:val="decimal"/>
      </w:endnotePr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2BC" w:rsidRDefault="005212BC" w:rsidP="00D90E6B">
      <w:pPr>
        <w:spacing w:after="0" w:line="240" w:lineRule="auto"/>
      </w:pPr>
      <w:r>
        <w:separator/>
      </w:r>
    </w:p>
  </w:endnote>
  <w:endnote w:type="continuationSeparator" w:id="0">
    <w:p w:rsidR="005212BC" w:rsidRDefault="005212BC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781946" w:rsidRDefault="0078194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85C">
          <w:rPr>
            <w:noProof/>
          </w:rPr>
          <w:t>4</w:t>
        </w:r>
        <w:r>
          <w:fldChar w:fldCharType="end"/>
        </w:r>
      </w:p>
    </w:sdtContent>
  </w:sdt>
  <w:p w:rsidR="00781946" w:rsidRDefault="007819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2BC" w:rsidRDefault="005212BC" w:rsidP="00D90E6B">
      <w:pPr>
        <w:spacing w:after="0" w:line="240" w:lineRule="auto"/>
      </w:pPr>
      <w:r>
        <w:separator/>
      </w:r>
    </w:p>
  </w:footnote>
  <w:footnote w:type="continuationSeparator" w:id="0">
    <w:p w:rsidR="005212BC" w:rsidRDefault="005212BC" w:rsidP="00D90E6B">
      <w:pPr>
        <w:spacing w:after="0" w:line="240" w:lineRule="auto"/>
      </w:pPr>
      <w:r>
        <w:continuationSeparator/>
      </w:r>
    </w:p>
  </w:footnote>
  <w:footnote w:id="1">
    <w:p w:rsidR="00781946" w:rsidRPr="00FA5038" w:rsidRDefault="00781946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781946" w:rsidRPr="00357092" w:rsidRDefault="00781946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781946" w:rsidRPr="00E960E9" w:rsidRDefault="0078194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781946" w:rsidRPr="00907D88" w:rsidRDefault="00781946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781946" w:rsidRDefault="00781946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781946" w:rsidRPr="00251A9D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781946" w:rsidRPr="00A657AC" w:rsidRDefault="00781946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781946" w:rsidRDefault="00781946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781946" w:rsidRPr="00EF265A" w:rsidRDefault="00781946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781946" w:rsidRPr="00AA2EAD" w:rsidRDefault="00781946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781946" w:rsidRPr="0091758A" w:rsidRDefault="00781946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781946" w:rsidRPr="0091758A" w:rsidRDefault="00781946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781946" w:rsidRPr="005B4DCF" w:rsidRDefault="00781946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781946" w:rsidRPr="000F0430" w:rsidRDefault="00781946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781946" w:rsidRPr="00872B16" w:rsidRDefault="0078194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781946" w:rsidRPr="00EF6287" w:rsidRDefault="00781946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781946" w:rsidRPr="00A941D4" w:rsidRDefault="0078194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781946" w:rsidRPr="00EF6287" w:rsidRDefault="0078194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781946" w:rsidRPr="00EF6287" w:rsidRDefault="00781946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781946" w:rsidRPr="00EF6287" w:rsidRDefault="0078194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781946" w:rsidRPr="00EF6287" w:rsidRDefault="0078194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781946" w:rsidRPr="00EF6287" w:rsidRDefault="00781946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781946" w:rsidRPr="00360B8A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781946" w:rsidRPr="00360B8A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781946" w:rsidRPr="00EF6287" w:rsidRDefault="0078194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781946" w:rsidRPr="00FC0962" w:rsidRDefault="00781946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781946" w:rsidRPr="001901E1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781946" w:rsidRPr="007B626C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781946" w:rsidRPr="00EF6287" w:rsidRDefault="00781946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781946" w:rsidRPr="00F865D0" w:rsidRDefault="00781946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781946" w:rsidRPr="00584D82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781946" w:rsidRPr="00A826D5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781946" w:rsidRDefault="00781946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781946" w:rsidRPr="00B50318" w:rsidRDefault="00781946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781946" w:rsidRPr="00F30586" w:rsidRDefault="0078194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781946" w:rsidRPr="00F30586" w:rsidRDefault="0078194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781946" w:rsidRPr="00D24134" w:rsidRDefault="00781946" w:rsidP="00F50A90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946" w:rsidRDefault="00781946">
    <w:pPr>
      <w:pStyle w:val="Cabealho"/>
      <w:jc w:val="right"/>
    </w:pPr>
  </w:p>
  <w:p w:rsidR="00781946" w:rsidRDefault="007819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15223"/>
    <w:rsid w:val="0002022F"/>
    <w:rsid w:val="00041AEC"/>
    <w:rsid w:val="00050CFF"/>
    <w:rsid w:val="00053EF6"/>
    <w:rsid w:val="00057F5C"/>
    <w:rsid w:val="00066641"/>
    <w:rsid w:val="00091A9F"/>
    <w:rsid w:val="00092CAF"/>
    <w:rsid w:val="000A1CA0"/>
    <w:rsid w:val="000A6C67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D3"/>
    <w:rsid w:val="001D38DD"/>
    <w:rsid w:val="001F6DC6"/>
    <w:rsid w:val="002074E2"/>
    <w:rsid w:val="00207510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F169A"/>
    <w:rsid w:val="002F6C58"/>
    <w:rsid w:val="00303569"/>
    <w:rsid w:val="0030385C"/>
    <w:rsid w:val="00315624"/>
    <w:rsid w:val="003214EE"/>
    <w:rsid w:val="00327CFF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87949"/>
    <w:rsid w:val="003A1593"/>
    <w:rsid w:val="003A2FF3"/>
    <w:rsid w:val="003C57C1"/>
    <w:rsid w:val="003C62AF"/>
    <w:rsid w:val="003D0972"/>
    <w:rsid w:val="003D259F"/>
    <w:rsid w:val="003D31DC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1FFC"/>
    <w:rsid w:val="004E3A02"/>
    <w:rsid w:val="004E65D6"/>
    <w:rsid w:val="004F0943"/>
    <w:rsid w:val="004F4E1F"/>
    <w:rsid w:val="005103F5"/>
    <w:rsid w:val="00513107"/>
    <w:rsid w:val="00513116"/>
    <w:rsid w:val="005212BC"/>
    <w:rsid w:val="005222FF"/>
    <w:rsid w:val="005306C6"/>
    <w:rsid w:val="00532645"/>
    <w:rsid w:val="00543DAE"/>
    <w:rsid w:val="005478CA"/>
    <w:rsid w:val="005552E0"/>
    <w:rsid w:val="00567524"/>
    <w:rsid w:val="0057560F"/>
    <w:rsid w:val="00583E95"/>
    <w:rsid w:val="00584D82"/>
    <w:rsid w:val="005868F3"/>
    <w:rsid w:val="00592BEA"/>
    <w:rsid w:val="005B026D"/>
    <w:rsid w:val="005B4DCF"/>
    <w:rsid w:val="005D222C"/>
    <w:rsid w:val="005E0319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B39E4"/>
    <w:rsid w:val="006C0417"/>
    <w:rsid w:val="006C1124"/>
    <w:rsid w:val="006C290F"/>
    <w:rsid w:val="006C35AC"/>
    <w:rsid w:val="006C3AD4"/>
    <w:rsid w:val="006C663C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44ABC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A202C"/>
    <w:rsid w:val="007A5A4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520"/>
    <w:rsid w:val="00A4292C"/>
    <w:rsid w:val="00A4663C"/>
    <w:rsid w:val="00A469DC"/>
    <w:rsid w:val="00A472FA"/>
    <w:rsid w:val="00A55F65"/>
    <w:rsid w:val="00A63A0E"/>
    <w:rsid w:val="00A657AC"/>
    <w:rsid w:val="00A65F2E"/>
    <w:rsid w:val="00A66158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52F2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83C72"/>
    <w:rsid w:val="00CA2B41"/>
    <w:rsid w:val="00CA6F80"/>
    <w:rsid w:val="00CB312D"/>
    <w:rsid w:val="00CB67D0"/>
    <w:rsid w:val="00CC00C8"/>
    <w:rsid w:val="00CC0F49"/>
    <w:rsid w:val="00CD30EA"/>
    <w:rsid w:val="00CD7C3A"/>
    <w:rsid w:val="00D06FCC"/>
    <w:rsid w:val="00D0724D"/>
    <w:rsid w:val="00D17AF8"/>
    <w:rsid w:val="00D2202E"/>
    <w:rsid w:val="00D23A0F"/>
    <w:rsid w:val="00D23F25"/>
    <w:rsid w:val="00D31784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E170A"/>
    <w:rsid w:val="00DE273F"/>
    <w:rsid w:val="00E03CE5"/>
    <w:rsid w:val="00E06C0E"/>
    <w:rsid w:val="00E10B05"/>
    <w:rsid w:val="00E20815"/>
    <w:rsid w:val="00E30DAB"/>
    <w:rsid w:val="00E34D52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A27C3"/>
    <w:rsid w:val="00EB644A"/>
    <w:rsid w:val="00EC2907"/>
    <w:rsid w:val="00EC4C86"/>
    <w:rsid w:val="00ED4AEF"/>
    <w:rsid w:val="00ED52B2"/>
    <w:rsid w:val="00ED67B9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0A90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D3B"/>
    <w:rsid w:val="00F84F2B"/>
    <w:rsid w:val="00F865D0"/>
    <w:rsid w:val="00F90842"/>
    <w:rsid w:val="00F909CC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15E97-4D48-4CF5-AB50-23DDA776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24</Pages>
  <Words>5785</Words>
  <Characters>31243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11</cp:revision>
  <dcterms:created xsi:type="dcterms:W3CDTF">2015-05-02T21:09:00Z</dcterms:created>
  <dcterms:modified xsi:type="dcterms:W3CDTF">2015-05-02T22:19:00Z</dcterms:modified>
</cp:coreProperties>
</file>