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6CC1F1" w14:textId="7DFFA09D" w:rsidR="00D954E8" w:rsidRDefault="00F84649">
      <w:r>
        <w:fldChar w:fldCharType="begin"/>
      </w:r>
      <w:r>
        <w:instrText xml:space="preserve"> INCLUDEPICTURE "https://www.bruegel.org/sites/default/files/styles/og_image/public/2023-09/Bruegel%20Portraits%20v1-1027.jpg?itok=ELWxEbKt" \* MERGEFORMATINET </w:instrText>
      </w:r>
      <w:r>
        <w:fldChar w:fldCharType="separate"/>
      </w:r>
      <w:r>
        <w:drawing>
          <wp:inline distT="0" distB="0" distL="0" distR="0" wp14:anchorId="59D06812" wp14:editId="4D01FEC6">
            <wp:extent cx="2975317" cy="2975317"/>
            <wp:effectExtent l="0" t="0" r="0" b="0"/>
            <wp:docPr id="1370707544" name="Picture 2" descr="Marek Dabrows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rek Dabrowski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316" cy="3008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 </w:t>
      </w:r>
    </w:p>
    <w:p w14:paraId="42552F51" w14:textId="77777777" w:rsidR="00F84649" w:rsidRDefault="00F84649"/>
    <w:p w14:paraId="590DFC8A" w14:textId="77777777" w:rsidR="00F84649" w:rsidRDefault="00F84649" w:rsidP="00F846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Trebuchet MS" w:hAnsi="Trebuchet MS"/>
          <w:color w:val="000000"/>
          <w:spacing w:val="3"/>
          <w:sz w:val="27"/>
          <w:szCs w:val="27"/>
        </w:rPr>
      </w:pPr>
      <w:r>
        <w:rPr>
          <w:rFonts w:ascii="Trebuchet MS" w:hAnsi="Trebuchet MS"/>
          <w:color w:val="000000"/>
          <w:spacing w:val="3"/>
          <w:sz w:val="27"/>
          <w:szCs w:val="27"/>
          <w:bdr w:val="none" w:sz="0" w:space="0" w:color="auto" w:frame="1"/>
          <w:lang w:val="en-GB"/>
        </w:rPr>
        <w:t>Marek Dabrowski is a Non-resident Fellow at Bruegel. He specialises in monetary and fiscal policies, trade policy and the political economy of policy reforms.</w:t>
      </w:r>
    </w:p>
    <w:p w14:paraId="089E2A4E" w14:textId="77777777" w:rsidR="00F84649" w:rsidRDefault="00F84649" w:rsidP="00F846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Trebuchet MS" w:hAnsi="Trebuchet MS"/>
          <w:color w:val="000000"/>
          <w:spacing w:val="3"/>
          <w:sz w:val="27"/>
          <w:szCs w:val="27"/>
        </w:rPr>
      </w:pPr>
      <w:r>
        <w:rPr>
          <w:rFonts w:ascii="Trebuchet MS" w:hAnsi="Trebuchet MS"/>
          <w:color w:val="000000"/>
          <w:spacing w:val="3"/>
          <w:sz w:val="27"/>
          <w:szCs w:val="27"/>
          <w:bdr w:val="none" w:sz="0" w:space="0" w:color="auto" w:frame="1"/>
          <w:lang w:val="en-GB"/>
        </w:rPr>
        <w:t>He covers country-specific and cross-country comparative analyses related to monetary and fiscal policy, macroeconomic trends, financial stability including financial crises, the global economy and financial architecture, the European Union and euro-area economy, European integration, and economic reforms in emerging-market economies, especially in central and eastern Europe, the former Soviet Union, and the Middle East and North Africa.</w:t>
      </w:r>
    </w:p>
    <w:p w14:paraId="36C9A297" w14:textId="77777777" w:rsidR="00F84649" w:rsidRDefault="00F84649" w:rsidP="00F846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Trebuchet MS" w:hAnsi="Trebuchet MS"/>
          <w:color w:val="000000"/>
          <w:spacing w:val="3"/>
          <w:sz w:val="27"/>
          <w:szCs w:val="27"/>
        </w:rPr>
      </w:pPr>
      <w:r>
        <w:rPr>
          <w:rFonts w:ascii="Trebuchet MS" w:hAnsi="Trebuchet MS"/>
          <w:color w:val="000000"/>
          <w:spacing w:val="3"/>
          <w:sz w:val="27"/>
          <w:szCs w:val="27"/>
          <w:bdr w:val="none" w:sz="0" w:space="0" w:color="auto" w:frame="1"/>
          <w:lang w:val="en-GB"/>
        </w:rPr>
        <w:t>He speaks English, Polish and Russian.</w:t>
      </w:r>
    </w:p>
    <w:p w14:paraId="706F53CB" w14:textId="77777777" w:rsidR="00F84649" w:rsidRDefault="00F84649" w:rsidP="00F8464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Trebuchet MS" w:hAnsi="Trebuchet MS"/>
          <w:color w:val="000000"/>
          <w:spacing w:val="3"/>
          <w:sz w:val="27"/>
          <w:szCs w:val="27"/>
        </w:rPr>
      </w:pPr>
      <w:r>
        <w:rPr>
          <w:rFonts w:ascii="Trebuchet MS" w:hAnsi="Trebuchet MS"/>
          <w:color w:val="000000"/>
          <w:spacing w:val="3"/>
          <w:sz w:val="27"/>
          <w:szCs w:val="27"/>
          <w:bdr w:val="none" w:sz="0" w:space="0" w:color="auto" w:frame="1"/>
          <w:lang w:val="en-GB"/>
        </w:rPr>
        <w:t>He is also a co-founder and Fellow at the Centre for Social and Economic Research (CASE). Previously, he was a Visiting Professor at the Central European University in Vienna, Professor at the Higher School of Economics in Moscow and Fellow under the 2014-2015 Fellowship Initiative of the European Commission – Directorate General for Economic and Financial Affairs. Prior to this, he was a member of the Board of Trustees and Scientific Council of the E.T. Gaidar Institute for Economic Policy. He holds a PhD in Economics from the Institute of Planning, Warsaw.</w:t>
      </w:r>
    </w:p>
    <w:p w14:paraId="3205F59C" w14:textId="77777777" w:rsidR="00F84649" w:rsidRDefault="00F84649"/>
    <w:sectPr w:rsidR="00F84649" w:rsidSect="00CD015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49"/>
    <w:rsid w:val="00000552"/>
    <w:rsid w:val="00510C81"/>
    <w:rsid w:val="007A7BF2"/>
    <w:rsid w:val="009E549B"/>
    <w:rsid w:val="00B95B7A"/>
    <w:rsid w:val="00CD015A"/>
    <w:rsid w:val="00D954E8"/>
    <w:rsid w:val="00F8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60E983"/>
  <w15:chartTrackingRefBased/>
  <w15:docId w15:val="{8166ACE7-E690-2A46-80DB-D793ABDA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4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64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64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649"/>
    <w:rPr>
      <w:rFonts w:eastAsiaTheme="majorEastAsia" w:cstheme="majorBidi"/>
      <w:noProof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649"/>
    <w:rPr>
      <w:rFonts w:eastAsiaTheme="majorEastAsia" w:cstheme="majorBidi"/>
      <w:i/>
      <w:iCs/>
      <w:noProof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649"/>
    <w:rPr>
      <w:rFonts w:eastAsiaTheme="majorEastAsia" w:cstheme="majorBidi"/>
      <w:noProof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649"/>
    <w:rPr>
      <w:rFonts w:eastAsiaTheme="majorEastAsia" w:cstheme="majorBidi"/>
      <w:i/>
      <w:iCs/>
      <w:noProof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649"/>
    <w:rPr>
      <w:rFonts w:eastAsiaTheme="majorEastAsia" w:cstheme="majorBidi"/>
      <w:noProof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649"/>
    <w:rPr>
      <w:rFonts w:eastAsiaTheme="majorEastAsia" w:cstheme="majorBidi"/>
      <w:i/>
      <w:iCs/>
      <w:noProof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649"/>
    <w:rPr>
      <w:rFonts w:eastAsiaTheme="majorEastAsia" w:cstheme="majorBidi"/>
      <w:noProof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F84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64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64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F84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649"/>
    <w:rPr>
      <w:i/>
      <w:iCs/>
      <w:noProof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F84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649"/>
    <w:rPr>
      <w:i/>
      <w:iCs/>
      <w:noProof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F846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4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Sladjana Pavlovic</dc:creator>
  <cp:keywords/>
  <dc:description/>
  <cp:lastModifiedBy>Sladjana Pavlovic</cp:lastModifiedBy>
  <cp:revision>1</cp:revision>
  <dcterms:created xsi:type="dcterms:W3CDTF">2026-08-13T06:31:00Z</dcterms:created>
  <dcterms:modified xsi:type="dcterms:W3CDTF">2026-08-13T06:33:00Z</dcterms:modified>
</cp:coreProperties>
</file>