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shd w:fill="115E59"/>
      </w:pPr>
      <w:r>
        <w:rPr>
          <w:color w:val="FFFFFF"/>
        </w:rPr>
        <w:t xml:space="preserve">  EVLV  |  2026 RESEARCH EDITION  </w:t>
      </w:r>
    </w:p>
    <w:p>
      <w:pPr>
        <w:pStyle w:val="Title"/>
      </w:pPr>
      <w:r>
        <w:t>EVLV Peptide Research and Wellness Guide</w:t>
      </w:r>
    </w:p>
    <w:p>
      <w:pPr>
        <w:spacing w:after="160"/>
      </w:pPr>
      <w:r>
        <w:rPr>
          <w:color w:val="4B5563"/>
          <w:sz w:val="28"/>
        </w:rPr>
        <w:t>An evidence-led guide to metabolic health, recovery, performance, cognition and longevity</w:t>
      </w:r>
    </w:p>
    <w:p>
      <w:pPr>
        <w:spacing w:after="180"/>
        <w:jc w:val="center"/>
      </w:pPr>
      <w:r>
        <w:drawing>
          <wp:inline xmlns:a="http://schemas.openxmlformats.org/drawingml/2006/main" xmlns:pic="http://schemas.openxmlformats.org/drawingml/2006/picture">
            <wp:extent cx="6309360" cy="3074581"/>
            <wp:docPr id="1" name="Picture 1"/>
            <wp:cNvGraphicFramePr>
              <a:graphicFrameLocks noChangeAspect="1"/>
            </wp:cNvGraphicFramePr>
            <a:graphic>
              <a:graphicData uri="http://schemas.openxmlformats.org/drawingml/2006/picture">
                <pic:pic>
                  <pic:nvPicPr>
                    <pic:cNvPr id="0" name="peptide-cover-banner.png"/>
                    <pic:cNvPicPr/>
                  </pic:nvPicPr>
                  <pic:blipFill>
                    <a:blip r:embed="rId10"/>
                    <a:stretch>
                      <a:fillRect/>
                    </a:stretch>
                  </pic:blipFill>
                  <pic:spPr>
                    <a:xfrm>
                      <a:off x="0" y="0"/>
                      <a:ext cx="6309360" cy="3074581"/>
                    </a:xfrm>
                    <a:prstGeom prst="rect"/>
                  </pic:spPr>
                </pic:pic>
              </a:graphicData>
            </a:graphic>
          </wp:inline>
        </w:drawing>
      </w:r>
    </w:p>
    <w:p>
      <w:pPr>
        <w:spacing w:before="80" w:after="140"/>
        <w:ind w:left="230" w:right="230"/>
        <w:shd w:fill="E7F5F3"/>
      </w:pPr>
      <w:r>
        <w:rPr>
          <w:b/>
          <w:color w:val="115E59"/>
        </w:rPr>
        <w:t xml:space="preserve">Start here. </w:t>
      </w:r>
      <w:r>
        <w:t>This guide separates three things that are often blurred together: FDA-approved medicines, compounds studied only in clinical trials, and research-use-only materials with no established human dose. That distinction matters more than any headline result.</w:t>
      </w:r>
    </w:p>
    <w:p>
      <w:pPr>
        <w:pStyle w:val="Small"/>
      </w:pPr>
      <w:r>
        <w:rPr>
          <w:b/>
        </w:rPr>
        <w:t xml:space="preserve">Core compounds covered  </w:t>
      </w:r>
      <w:r>
        <w:t>Semaglutide, tirzepatide, retatrutide, cagrilintide, tesamorelin, CJC-1295, ipamorelin, BPC-157, TB-500, KPV, GHK-Cu, Semax, Selank, PT-141, MOTS-c, SS-31, SARMs and others.</w:t>
      </w:r>
    </w:p>
    <w:p>
      <w:pPr>
        <w:pStyle w:val="Heading1"/>
      </w:pPr>
      <w:r>
        <w:t>Jump to a section</w:t>
      </w:r>
    </w:p>
    <w:p>
      <w:pPr>
        <w:spacing w:after="60"/>
      </w:pPr>
      <w:hyperlink w:anchor="metabolic" w:history="1">
        <w:r>
          <w:rPr>
            <w:color w:val="115E59"/>
            <w:u w:val="single"/>
            <w:b/>
          </w:rPr>
          <w:t>1 Metabolic</w:t>
        </w:r>
      </w:hyperlink>
      <w:r>
        <w:t xml:space="preserve">   |   </w:t>
      </w:r>
      <w:hyperlink w:anchor="gh_igf" w:history="1">
        <w:r>
          <w:rPr>
            <w:color w:val="115E59"/>
            <w:u w:val="single"/>
            <w:b/>
          </w:rPr>
          <w:t>2 GH and IGF</w:t>
        </w:r>
      </w:hyperlink>
      <w:r>
        <w:t xml:space="preserve">   |   </w:t>
      </w:r>
      <w:hyperlink w:anchor="repair" w:history="1">
        <w:r>
          <w:rPr>
            <w:color w:val="115E59"/>
            <w:u w:val="single"/>
            <w:b/>
          </w:rPr>
          <w:t>3 Repair</w:t>
        </w:r>
      </w:hyperlink>
    </w:p>
    <w:p>
      <w:pPr>
        <w:spacing w:after="60"/>
      </w:pPr>
      <w:hyperlink w:anchor="brain" w:history="1">
        <w:r>
          <w:rPr>
            <w:color w:val="115E59"/>
            <w:u w:val="single"/>
            <w:b/>
          </w:rPr>
          <w:t>4 Brain</w:t>
        </w:r>
      </w:hyperlink>
      <w:r>
        <w:t xml:space="preserve">   |   </w:t>
      </w:r>
      <w:hyperlink w:anchor="sexual" w:history="1">
        <w:r>
          <w:rPr>
            <w:color w:val="115E59"/>
            <w:u w:val="single"/>
            <w:b/>
          </w:rPr>
          <w:t>5 Sexual and aesthetics</w:t>
        </w:r>
      </w:hyperlink>
      <w:r>
        <w:t xml:space="preserve">   |   </w:t>
      </w:r>
      <w:hyperlink w:anchor="longevity" w:history="1">
        <w:r>
          <w:rPr>
            <w:color w:val="115E59"/>
            <w:u w:val="single"/>
            <w:b/>
          </w:rPr>
          <w:t>6 Longevity</w:t>
        </w:r>
      </w:hyperlink>
    </w:p>
    <w:p>
      <w:pPr>
        <w:spacing w:after="60"/>
      </w:pPr>
      <w:hyperlink w:anchor="sarms" w:history="1">
        <w:r>
          <w:rPr>
            <w:color w:val="115E59"/>
            <w:u w:val="single"/>
            <w:b/>
          </w:rPr>
          <w:t>7 SARMs and performance</w:t>
        </w:r>
      </w:hyperlink>
      <w:r>
        <w:t xml:space="preserve">   |   </w:t>
      </w:r>
      <w:hyperlink w:anchor="dose_math" w:history="1">
        <w:r>
          <w:rPr>
            <w:color w:val="115E59"/>
            <w:u w:val="single"/>
            <w:b/>
          </w:rPr>
          <w:t>8 Dose math</w:t>
        </w:r>
      </w:hyperlink>
      <w:r>
        <w:t xml:space="preserve">   |   </w:t>
      </w:r>
      <w:hyperlink w:anchor="decisions" w:history="1">
        <w:r>
          <w:rPr>
            <w:color w:val="115E59"/>
            <w:u w:val="single"/>
            <w:b/>
          </w:rPr>
          <w:t>9 Decisions</w:t>
        </w:r>
      </w:hyperlink>
    </w:p>
    <w:p>
      <w:pPr>
        <w:pStyle w:val="Heading1"/>
      </w:pPr>
      <w:r>
        <w:t>Three ways to continue</w:t>
      </w:r>
    </w:p>
    <w:p>
      <w:pPr>
        <w:spacing w:after="80"/>
      </w:pPr>
      <w:r>
        <w:rPr>
          <w:b/>
          <w:color w:val="111827"/>
        </w:rPr>
        <w:t xml:space="preserve">Research materials </w:t>
      </w:r>
      <w:hyperlink r:id="rId11">
        <w:r>
          <w:rPr>
            <w:color w:val="115E59"/>
            <w:u w:val="single"/>
            <w:b/>
          </w:rPr>
          <w:t>Browse EVLV Peptides</w:t>
        </w:r>
      </w:hyperlink>
    </w:p>
    <w:p>
      <w:pPr>
        <w:spacing w:after="80"/>
      </w:pPr>
      <w:r>
        <w:rPr>
          <w:b/>
          <w:color w:val="111827"/>
        </w:rPr>
        <w:t xml:space="preserve">Wellness education </w:t>
      </w:r>
      <w:hyperlink r:id="rId12">
        <w:r>
          <w:rPr>
            <w:color w:val="115E59"/>
            <w:u w:val="single"/>
            <w:b/>
          </w:rPr>
          <w:t>Book a free 15-minute wellness optimization call</w:t>
        </w:r>
      </w:hyperlink>
    </w:p>
    <w:p>
      <w:pPr>
        <w:spacing w:after="80"/>
      </w:pPr>
      <w:r>
        <w:rPr>
          <w:b/>
          <w:color w:val="111827"/>
        </w:rPr>
        <w:t xml:space="preserve">Canine research </w:t>
      </w:r>
      <w:hyperlink r:id="rId13">
        <w:r>
          <w:rPr>
            <w:color w:val="115E59"/>
            <w:u w:val="single"/>
            <w:b/>
          </w:rPr>
          <w:t>Explore Zoonetics</w:t>
        </w:r>
      </w:hyperlink>
    </w:p>
    <w:p/>
    <w:p>
      <w:pPr>
        <w:pStyle w:val="Small"/>
      </w:pPr>
      <w:r>
        <w:rPr>
          <w:b/>
        </w:rPr>
        <w:t xml:space="preserve">Important boundary. </w:t>
      </w:r>
      <w:r>
        <w:t>EVLV Peptides and Zoonetics supply research-use-only materials. Their products are not intended for human or veterinary administration. EVLV Today provides education, not diagnosis, prescriptions, dosing, or treatment plans. Personal medical decisions belong with a licensed clinician; animal-health decisions belong with a veterinarian.</w:t>
      </w:r>
    </w:p>
    <w:p>
      <w:pPr>
        <w:pStyle w:val="Heading1"/>
        <w:pageBreakBefore/>
      </w:pPr>
      <w:r>
        <w:t>How to use this guide</w:t>
      </w:r>
    </w:p>
    <w:p>
      <w:r>
        <w:t>Use this as an evidence-led research reference. Choose a topic, then read the status and evidence line before the mechanism or headline result. The dose entries are regulatory or study context, not instructions. A dose used in a trial does not establish that an internet-sourced product is equivalent, safe, sterile, or appropriate.</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trPr>
        <w:tc>
          <w:tcPr>
            <w:tcW w:type="dxa" w:w="1656"/>
            <w:shd w:fill="115E59"/>
            <w:tcMar>
              <w:top w:w="90" w:type="dxa"/>
              <w:start w:w="110" w:type="dxa"/>
              <w:bottom w:w="90" w:type="dxa"/>
              <w:end w:w="110" w:type="dxa"/>
            </w:tcMar>
            <w:vAlign w:val="center"/>
          </w:tcPr>
          <w:p>
            <w:pPr>
              <w:jc w:val="center"/>
            </w:pPr>
            <w:r>
              <w:rPr>
                <w:b/>
                <w:color w:val="FFFFFF"/>
                <w:sz w:val="16"/>
              </w:rPr>
              <w:t>Evidence level</w:t>
            </w:r>
          </w:p>
        </w:tc>
        <w:tc>
          <w:tcPr>
            <w:tcW w:type="dxa" w:w="4176"/>
            <w:shd w:fill="115E59"/>
            <w:tcMar>
              <w:top w:w="90" w:type="dxa"/>
              <w:start w:w="110" w:type="dxa"/>
              <w:bottom w:w="90" w:type="dxa"/>
              <w:end w:w="110" w:type="dxa"/>
            </w:tcMar>
            <w:vAlign w:val="center"/>
          </w:tcPr>
          <w:p>
            <w:pPr>
              <w:jc w:val="center"/>
            </w:pPr>
            <w:r>
              <w:rPr>
                <w:b/>
                <w:color w:val="FFFFFF"/>
                <w:sz w:val="16"/>
              </w:rPr>
              <w:t>What it means</w:t>
            </w:r>
          </w:p>
        </w:tc>
        <w:tc>
          <w:tcPr>
            <w:tcW w:type="dxa" w:w="4824"/>
            <w:shd w:fill="115E59"/>
            <w:tcMar>
              <w:top w:w="90" w:type="dxa"/>
              <w:start w:w="110" w:type="dxa"/>
              <w:bottom w:w="90" w:type="dxa"/>
              <w:end w:w="110" w:type="dxa"/>
            </w:tcMar>
            <w:vAlign w:val="center"/>
          </w:tcPr>
          <w:p>
            <w:pPr>
              <w:jc w:val="center"/>
            </w:pPr>
            <w:r>
              <w:rPr>
                <w:b/>
                <w:color w:val="FFFFFF"/>
                <w:sz w:val="16"/>
              </w:rPr>
              <w:t>How to read the dose line</w:t>
            </w:r>
          </w:p>
        </w:tc>
      </w:tr>
      <w:tr>
        <w:trPr>
          <w:cantSplit/>
        </w:trPr>
        <w:tc>
          <w:tcPr>
            <w:tcW w:type="dxa" w:w="1656"/>
            <w:tcMar>
              <w:top w:w="90" w:type="dxa"/>
              <w:start w:w="110" w:type="dxa"/>
              <w:bottom w:w="90" w:type="dxa"/>
              <w:end w:w="110" w:type="dxa"/>
            </w:tcMar>
            <w:vAlign w:val="center"/>
          </w:tcPr>
          <w:p>
            <w:pPr>
              <w:spacing w:after="0" w:line="240" w:lineRule="auto"/>
            </w:pPr>
            <w:r>
              <w:rPr>
                <w:sz w:val="16"/>
              </w:rPr>
              <w:t>A  Approved label</w:t>
            </w:r>
          </w:p>
        </w:tc>
        <w:tc>
          <w:tcPr>
            <w:tcW w:type="dxa" w:w="4176"/>
            <w:tcMar>
              <w:top w:w="90" w:type="dxa"/>
              <w:start w:w="110" w:type="dxa"/>
              <w:bottom w:w="90" w:type="dxa"/>
              <w:end w:w="110" w:type="dxa"/>
            </w:tcMar>
            <w:vAlign w:val="center"/>
          </w:tcPr>
          <w:p>
            <w:pPr>
              <w:spacing w:after="0" w:line="240" w:lineRule="auto"/>
            </w:pPr>
            <w:r>
              <w:rPr>
                <w:sz w:val="16"/>
              </w:rPr>
              <w:t>FDA-approved medicine for a defined indication.</w:t>
            </w:r>
          </w:p>
        </w:tc>
        <w:tc>
          <w:tcPr>
            <w:tcW w:type="dxa" w:w="4824"/>
            <w:tcMar>
              <w:top w:w="90" w:type="dxa"/>
              <w:start w:w="110" w:type="dxa"/>
              <w:bottom w:w="90" w:type="dxa"/>
              <w:end w:w="110" w:type="dxa"/>
            </w:tcMar>
            <w:vAlign w:val="center"/>
          </w:tcPr>
          <w:p>
            <w:pPr>
              <w:spacing w:after="0" w:line="240" w:lineRule="auto"/>
            </w:pPr>
            <w:r>
              <w:rPr>
                <w:sz w:val="16"/>
              </w:rPr>
              <w:t>The labeled regimen applies only to that approved product, indication, and patient population.</w:t>
            </w:r>
          </w:p>
        </w:tc>
      </w:tr>
      <w:tr>
        <w:trPr>
          <w:cantSplit/>
        </w:trPr>
        <w:tc>
          <w:tcPr>
            <w:tcW w:type="dxa" w:w="1656"/>
            <w:tcMar>
              <w:top w:w="90" w:type="dxa"/>
              <w:start w:w="110" w:type="dxa"/>
              <w:bottom w:w="90" w:type="dxa"/>
              <w:end w:w="110" w:type="dxa"/>
            </w:tcMar>
            <w:shd w:fill="F7F8FA"/>
            <w:vAlign w:val="center"/>
          </w:tcPr>
          <w:p>
            <w:pPr>
              <w:spacing w:after="0" w:line="240" w:lineRule="auto"/>
            </w:pPr>
            <w:r>
              <w:rPr>
                <w:sz w:val="16"/>
              </w:rPr>
              <w:t>B  Human trial</w:t>
            </w:r>
          </w:p>
        </w:tc>
        <w:tc>
          <w:tcPr>
            <w:tcW w:type="dxa" w:w="4176"/>
            <w:tcMar>
              <w:top w:w="90" w:type="dxa"/>
              <w:start w:w="110" w:type="dxa"/>
              <w:bottom w:w="90" w:type="dxa"/>
              <w:end w:w="110" w:type="dxa"/>
            </w:tcMar>
            <w:shd w:fill="F7F8FA"/>
            <w:vAlign w:val="center"/>
          </w:tcPr>
          <w:p>
            <w:pPr>
              <w:spacing w:after="0" w:line="240" w:lineRule="auto"/>
            </w:pPr>
            <w:r>
              <w:rPr>
                <w:sz w:val="16"/>
              </w:rPr>
              <w:t>Randomized or controlled human data, but not an approved use or product.</w:t>
            </w:r>
          </w:p>
        </w:tc>
        <w:tc>
          <w:tcPr>
            <w:tcW w:type="dxa" w:w="4824"/>
            <w:tcMar>
              <w:top w:w="90" w:type="dxa"/>
              <w:start w:w="110" w:type="dxa"/>
              <w:bottom w:w="90" w:type="dxa"/>
              <w:end w:w="110" w:type="dxa"/>
            </w:tcMar>
            <w:shd w:fill="F7F8FA"/>
            <w:vAlign w:val="center"/>
          </w:tcPr>
          <w:p>
            <w:pPr>
              <w:spacing w:after="0" w:line="240" w:lineRule="auto"/>
            </w:pPr>
            <w:r>
              <w:rPr>
                <w:sz w:val="16"/>
              </w:rPr>
              <w:t>A study exposure, not a self-directed protocol.</w:t>
            </w:r>
          </w:p>
        </w:tc>
      </w:tr>
      <w:tr>
        <w:trPr>
          <w:cantSplit/>
        </w:trPr>
        <w:tc>
          <w:tcPr>
            <w:tcW w:type="dxa" w:w="1656"/>
            <w:tcMar>
              <w:top w:w="90" w:type="dxa"/>
              <w:start w:w="110" w:type="dxa"/>
              <w:bottom w:w="90" w:type="dxa"/>
              <w:end w:w="110" w:type="dxa"/>
            </w:tcMar>
            <w:vAlign w:val="center"/>
          </w:tcPr>
          <w:p>
            <w:pPr>
              <w:spacing w:after="0" w:line="240" w:lineRule="auto"/>
            </w:pPr>
            <w:r>
              <w:rPr>
                <w:sz w:val="16"/>
              </w:rPr>
              <w:t>C  Early human</w:t>
            </w:r>
          </w:p>
        </w:tc>
        <w:tc>
          <w:tcPr>
            <w:tcW w:type="dxa" w:w="4176"/>
            <w:tcMar>
              <w:top w:w="90" w:type="dxa"/>
              <w:start w:w="110" w:type="dxa"/>
              <w:bottom w:w="90" w:type="dxa"/>
              <w:end w:w="110" w:type="dxa"/>
            </w:tcMar>
            <w:vAlign w:val="center"/>
          </w:tcPr>
          <w:p>
            <w:pPr>
              <w:spacing w:after="0" w:line="240" w:lineRule="auto"/>
            </w:pPr>
            <w:r>
              <w:rPr>
                <w:sz w:val="16"/>
              </w:rPr>
              <w:t>Small, short, uncontrolled, or surrogate-endpoint human studies.</w:t>
            </w:r>
          </w:p>
        </w:tc>
        <w:tc>
          <w:tcPr>
            <w:tcW w:type="dxa" w:w="4824"/>
            <w:tcMar>
              <w:top w:w="90" w:type="dxa"/>
              <w:start w:w="110" w:type="dxa"/>
              <w:bottom w:w="90" w:type="dxa"/>
              <w:end w:w="110" w:type="dxa"/>
            </w:tcMar>
            <w:vAlign w:val="center"/>
          </w:tcPr>
          <w:p>
            <w:pPr>
              <w:spacing w:after="0" w:line="240" w:lineRule="auto"/>
            </w:pPr>
            <w:r>
              <w:rPr>
                <w:sz w:val="16"/>
              </w:rPr>
              <w:t>Uncertain benefit and safety; no general-use dose.</w:t>
            </w:r>
          </w:p>
        </w:tc>
      </w:tr>
      <w:tr>
        <w:trPr>
          <w:cantSplit/>
        </w:trPr>
        <w:tc>
          <w:tcPr>
            <w:tcW w:type="dxa" w:w="1656"/>
            <w:tcMar>
              <w:top w:w="90" w:type="dxa"/>
              <w:start w:w="110" w:type="dxa"/>
              <w:bottom w:w="90" w:type="dxa"/>
              <w:end w:w="110" w:type="dxa"/>
            </w:tcMar>
            <w:shd w:fill="F7F8FA"/>
            <w:vAlign w:val="center"/>
          </w:tcPr>
          <w:p>
            <w:pPr>
              <w:spacing w:after="0" w:line="240" w:lineRule="auto"/>
            </w:pPr>
            <w:r>
              <w:rPr>
                <w:sz w:val="16"/>
              </w:rPr>
              <w:t>D  Preclinical</w:t>
            </w:r>
          </w:p>
        </w:tc>
        <w:tc>
          <w:tcPr>
            <w:tcW w:type="dxa" w:w="4176"/>
            <w:tcMar>
              <w:top w:w="90" w:type="dxa"/>
              <w:start w:w="110" w:type="dxa"/>
              <w:bottom w:w="90" w:type="dxa"/>
              <w:end w:w="110" w:type="dxa"/>
            </w:tcMar>
            <w:shd w:fill="F7F8FA"/>
            <w:vAlign w:val="center"/>
          </w:tcPr>
          <w:p>
            <w:pPr>
              <w:spacing w:after="0" w:line="240" w:lineRule="auto"/>
            </w:pPr>
            <w:r>
              <w:rPr>
                <w:sz w:val="16"/>
              </w:rPr>
              <w:t>Animal, cell, or mechanistic data only.</w:t>
            </w:r>
          </w:p>
        </w:tc>
        <w:tc>
          <w:tcPr>
            <w:tcW w:type="dxa" w:w="4824"/>
            <w:tcMar>
              <w:top w:w="90" w:type="dxa"/>
              <w:start w:w="110" w:type="dxa"/>
              <w:bottom w:w="90" w:type="dxa"/>
              <w:end w:w="110" w:type="dxa"/>
            </w:tcMar>
            <w:shd w:fill="F7F8FA"/>
            <w:vAlign w:val="center"/>
          </w:tcPr>
          <w:p>
            <w:pPr>
              <w:spacing w:after="0" w:line="240" w:lineRule="auto"/>
            </w:pPr>
            <w:r>
              <w:rPr>
                <w:sz w:val="16"/>
              </w:rPr>
              <w:t>No established human dose. Animal mg/kg values should not be copied into humans.</w:t>
            </w:r>
          </w:p>
        </w:tc>
      </w:tr>
      <w:tr>
        <w:trPr>
          <w:cantSplit/>
        </w:trPr>
        <w:tc>
          <w:tcPr>
            <w:tcW w:type="dxa" w:w="1656"/>
            <w:tcMar>
              <w:top w:w="90" w:type="dxa"/>
              <w:start w:w="110" w:type="dxa"/>
              <w:bottom w:w="90" w:type="dxa"/>
              <w:end w:w="110" w:type="dxa"/>
            </w:tcMar>
            <w:vAlign w:val="center"/>
          </w:tcPr>
          <w:p>
            <w:pPr>
              <w:spacing w:after="0" w:line="240" w:lineRule="auto"/>
            </w:pPr>
            <w:r>
              <w:rPr>
                <w:sz w:val="16"/>
              </w:rPr>
              <w:t>E  Sparse</w:t>
            </w:r>
          </w:p>
        </w:tc>
        <w:tc>
          <w:tcPr>
            <w:tcW w:type="dxa" w:w="4176"/>
            <w:tcMar>
              <w:top w:w="90" w:type="dxa"/>
              <w:start w:w="110" w:type="dxa"/>
              <w:bottom w:w="90" w:type="dxa"/>
              <w:end w:w="110" w:type="dxa"/>
            </w:tcMar>
            <w:vAlign w:val="center"/>
          </w:tcPr>
          <w:p>
            <w:pPr>
              <w:spacing w:after="0" w:line="240" w:lineRule="auto"/>
            </w:pPr>
            <w:r>
              <w:rPr>
                <w:sz w:val="16"/>
              </w:rPr>
              <w:t>Community reports, grey literature, or unclear formulations.</w:t>
            </w:r>
          </w:p>
        </w:tc>
        <w:tc>
          <w:tcPr>
            <w:tcW w:type="dxa" w:w="4824"/>
            <w:tcMar>
              <w:top w:w="90" w:type="dxa"/>
              <w:start w:w="110" w:type="dxa"/>
              <w:bottom w:w="90" w:type="dxa"/>
              <w:end w:w="110" w:type="dxa"/>
            </w:tcMar>
            <w:vAlign w:val="center"/>
          </w:tcPr>
          <w:p>
            <w:pPr>
              <w:spacing w:after="0" w:line="240" w:lineRule="auto"/>
            </w:pPr>
            <w:r>
              <w:rPr>
                <w:sz w:val="16"/>
              </w:rPr>
              <w:t>No reliable dose conclusion.</w:t>
            </w:r>
          </w:p>
        </w:tc>
      </w:tr>
    </w:tbl>
    <w:p>
      <w:pPr>
        <w:spacing w:after="20"/>
      </w:pPr>
    </w:p>
    <w:p>
      <w:pPr>
        <w:pStyle w:val="Heading2"/>
      </w:pPr>
      <w:r>
        <w:t>Fast safety screen</w:t>
      </w:r>
    </w:p>
    <w:p>
      <w:pPr>
        <w:pStyle w:val="ListBullet"/>
        <w:spacing w:after="40"/>
      </w:pPr>
      <w:r>
        <w:t>Do not stack compounds simply because they target different pathways; overlapping adverse effects can be additive.</w:t>
      </w:r>
    </w:p>
    <w:p>
      <w:pPr>
        <w:pStyle w:val="ListBullet"/>
        <w:spacing w:after="40"/>
      </w:pPr>
      <w:r>
        <w:t>Pregnancy, breastfeeding, active cancer, significant cardiovascular disease, endocrine disorders, and major liver or kidney disease require clinician review.</w:t>
      </w:r>
    </w:p>
    <w:p>
      <w:pPr>
        <w:pStyle w:val="ListBullet"/>
        <w:spacing w:after="40"/>
      </w:pPr>
      <w:r>
        <w:t>Competitive athletes should check the current WADA Prohibited List before considering peptide hormones, growth factors, secretagogues, or related compounds.</w:t>
      </w:r>
    </w:p>
    <w:p>
      <w:pPr>
        <w:pStyle w:val="ListBullet"/>
        <w:spacing w:after="40"/>
      </w:pPr>
      <w:r>
        <w:t>A certificate of analysis can describe a tested sample. It does not establish clinical safety, sterility, approval, or suitability for administration.</w:t>
      </w:r>
    </w:p>
    <w:p>
      <w:pPr>
        <w:pStyle w:val="Heading2"/>
      </w:pPr>
      <w:r>
        <w:t>Guide map</w:t>
      </w:r>
    </w:p>
    <w:tbl>
      <w:tblPr>
        <w:tblStyle w:val="TableGrid"/>
        <w:tblW w:type="auto" w:w="0"/>
        <w:jc w:val="center"/>
        <w:tblLayout w:type="fixed"/>
        <w:tblLook w:firstColumn="1" w:firstRow="1" w:lastColumn="0" w:lastRow="0" w:noHBand="0" w:noVBand="1" w:val="04A0"/>
      </w:tblPr>
      <w:tblGrid>
        <w:gridCol w:w="5026"/>
        <w:gridCol w:w="5026"/>
      </w:tblGrid>
      <w:tr>
        <w:trPr>
          <w:tblHeader w:val="true"/>
        </w:trPr>
        <w:tc>
          <w:tcPr>
            <w:tcW w:type="dxa" w:w="1152"/>
            <w:shd w:fill="115E59"/>
            <w:tcMar>
              <w:top w:w="90" w:type="dxa"/>
              <w:start w:w="110" w:type="dxa"/>
              <w:bottom w:w="90" w:type="dxa"/>
              <w:end w:w="110" w:type="dxa"/>
            </w:tcMar>
            <w:vAlign w:val="center"/>
          </w:tcPr>
          <w:p>
            <w:pPr>
              <w:jc w:val="center"/>
            </w:pPr>
            <w:r>
              <w:rPr>
                <w:b/>
                <w:color w:val="FFFFFF"/>
                <w:sz w:val="16"/>
              </w:rPr>
              <w:t>Section</w:t>
            </w:r>
          </w:p>
        </w:tc>
        <w:tc>
          <w:tcPr>
            <w:tcW w:type="dxa" w:w="9216"/>
            <w:shd w:fill="115E59"/>
            <w:tcMar>
              <w:top w:w="90" w:type="dxa"/>
              <w:start w:w="110" w:type="dxa"/>
              <w:bottom w:w="90" w:type="dxa"/>
              <w:end w:w="110" w:type="dxa"/>
            </w:tcMar>
            <w:vAlign w:val="center"/>
          </w:tcPr>
          <w:p>
            <w:pPr>
              <w:jc w:val="center"/>
            </w:pPr>
            <w:r>
              <w:rPr>
                <w:b/>
                <w:color w:val="FFFFFF"/>
                <w:sz w:val="16"/>
              </w:rPr>
              <w:t>Focus</w:t>
            </w:r>
          </w:p>
        </w:tc>
      </w:tr>
      <w:tr>
        <w:trPr>
          <w:cantSplit/>
        </w:trPr>
        <w:tc>
          <w:tcPr>
            <w:tcW w:type="dxa" w:w="1152"/>
            <w:tcMar>
              <w:top w:w="90" w:type="dxa"/>
              <w:start w:w="110" w:type="dxa"/>
              <w:bottom w:w="90" w:type="dxa"/>
              <w:end w:w="110" w:type="dxa"/>
            </w:tcMar>
            <w:vAlign w:val="center"/>
          </w:tcPr>
          <w:p>
            <w:pPr>
              <w:spacing w:after="0" w:line="240" w:lineRule="auto"/>
            </w:pPr>
            <w:r>
              <w:rPr>
                <w:sz w:val="16"/>
              </w:rPr>
              <w:t>1</w:t>
            </w:r>
          </w:p>
        </w:tc>
        <w:tc>
          <w:tcPr>
            <w:tcW w:type="dxa" w:w="9216"/>
            <w:tcMar>
              <w:top w:w="90" w:type="dxa"/>
              <w:start w:w="110" w:type="dxa"/>
              <w:bottom w:w="90" w:type="dxa"/>
              <w:end w:w="110" w:type="dxa"/>
            </w:tcMar>
            <w:vAlign w:val="center"/>
          </w:tcPr>
          <w:p>
            <w:pPr>
              <w:spacing w:after="0" w:line="240" w:lineRule="auto"/>
            </w:pPr>
            <w:r>
              <w:rPr>
                <w:sz w:val="16"/>
              </w:rPr>
              <w:t>Metabolic and appetite</w:t>
            </w:r>
          </w:p>
        </w:tc>
      </w:tr>
      <w:tr>
        <w:trPr>
          <w:cantSplit/>
        </w:trPr>
        <w:tc>
          <w:tcPr>
            <w:tcW w:type="dxa" w:w="1152"/>
            <w:tcMar>
              <w:top w:w="90" w:type="dxa"/>
              <w:start w:w="110" w:type="dxa"/>
              <w:bottom w:w="90" w:type="dxa"/>
              <w:end w:w="110" w:type="dxa"/>
            </w:tcMar>
            <w:shd w:fill="F7F8FA"/>
            <w:vAlign w:val="center"/>
          </w:tcPr>
          <w:p>
            <w:pPr>
              <w:spacing w:after="0" w:line="240" w:lineRule="auto"/>
            </w:pPr>
            <w:r>
              <w:rPr>
                <w:sz w:val="16"/>
              </w:rPr>
              <w:t>2</w:t>
            </w:r>
          </w:p>
        </w:tc>
        <w:tc>
          <w:tcPr>
            <w:tcW w:type="dxa" w:w="9216"/>
            <w:tcMar>
              <w:top w:w="90" w:type="dxa"/>
              <w:start w:w="110" w:type="dxa"/>
              <w:bottom w:w="90" w:type="dxa"/>
              <w:end w:w="110" w:type="dxa"/>
            </w:tcMar>
            <w:shd w:fill="F7F8FA"/>
            <w:vAlign w:val="center"/>
          </w:tcPr>
          <w:p>
            <w:pPr>
              <w:spacing w:after="0" w:line="240" w:lineRule="auto"/>
            </w:pPr>
            <w:r>
              <w:rPr>
                <w:sz w:val="16"/>
              </w:rPr>
              <w:t>Growth hormone and body composition</w:t>
            </w:r>
          </w:p>
        </w:tc>
      </w:tr>
      <w:tr>
        <w:trPr>
          <w:cantSplit/>
        </w:trPr>
        <w:tc>
          <w:tcPr>
            <w:tcW w:type="dxa" w:w="1152"/>
            <w:tcMar>
              <w:top w:w="90" w:type="dxa"/>
              <w:start w:w="110" w:type="dxa"/>
              <w:bottom w:w="90" w:type="dxa"/>
              <w:end w:w="110" w:type="dxa"/>
            </w:tcMar>
            <w:vAlign w:val="center"/>
          </w:tcPr>
          <w:p>
            <w:pPr>
              <w:spacing w:after="0" w:line="240" w:lineRule="auto"/>
            </w:pPr>
            <w:r>
              <w:rPr>
                <w:sz w:val="16"/>
              </w:rPr>
              <w:t>3</w:t>
            </w:r>
          </w:p>
        </w:tc>
        <w:tc>
          <w:tcPr>
            <w:tcW w:type="dxa" w:w="9216"/>
            <w:tcMar>
              <w:top w:w="90" w:type="dxa"/>
              <w:start w:w="110" w:type="dxa"/>
              <w:bottom w:w="90" w:type="dxa"/>
              <w:end w:w="110" w:type="dxa"/>
            </w:tcMar>
            <w:vAlign w:val="center"/>
          </w:tcPr>
          <w:p>
            <w:pPr>
              <w:spacing w:after="0" w:line="240" w:lineRule="auto"/>
            </w:pPr>
            <w:r>
              <w:rPr>
                <w:sz w:val="16"/>
              </w:rPr>
              <w:t>Tissue repair, skin and inflammation</w:t>
            </w:r>
          </w:p>
        </w:tc>
      </w:tr>
      <w:tr>
        <w:trPr>
          <w:cantSplit/>
        </w:trPr>
        <w:tc>
          <w:tcPr>
            <w:tcW w:type="dxa" w:w="1152"/>
            <w:tcMar>
              <w:top w:w="90" w:type="dxa"/>
              <w:start w:w="110" w:type="dxa"/>
              <w:bottom w:w="90" w:type="dxa"/>
              <w:end w:w="110" w:type="dxa"/>
            </w:tcMar>
            <w:shd w:fill="F7F8FA"/>
            <w:vAlign w:val="center"/>
          </w:tcPr>
          <w:p>
            <w:pPr>
              <w:spacing w:after="0" w:line="240" w:lineRule="auto"/>
            </w:pPr>
            <w:r>
              <w:rPr>
                <w:sz w:val="16"/>
              </w:rPr>
              <w:t>4</w:t>
            </w:r>
          </w:p>
        </w:tc>
        <w:tc>
          <w:tcPr>
            <w:tcW w:type="dxa" w:w="9216"/>
            <w:tcMar>
              <w:top w:w="90" w:type="dxa"/>
              <w:start w:w="110" w:type="dxa"/>
              <w:bottom w:w="90" w:type="dxa"/>
              <w:end w:w="110" w:type="dxa"/>
            </w:tcMar>
            <w:shd w:fill="F7F8FA"/>
            <w:vAlign w:val="center"/>
          </w:tcPr>
          <w:p>
            <w:pPr>
              <w:spacing w:after="0" w:line="240" w:lineRule="auto"/>
            </w:pPr>
            <w:r>
              <w:rPr>
                <w:sz w:val="16"/>
              </w:rPr>
              <w:t>Brain, mood and sleep</w:t>
            </w:r>
          </w:p>
        </w:tc>
      </w:tr>
      <w:tr>
        <w:trPr>
          <w:cantSplit/>
        </w:trPr>
        <w:tc>
          <w:tcPr>
            <w:tcW w:type="dxa" w:w="1152"/>
            <w:tcMar>
              <w:top w:w="90" w:type="dxa"/>
              <w:start w:w="110" w:type="dxa"/>
              <w:bottom w:w="90" w:type="dxa"/>
              <w:end w:w="110" w:type="dxa"/>
            </w:tcMar>
            <w:vAlign w:val="center"/>
          </w:tcPr>
          <w:p>
            <w:pPr>
              <w:spacing w:after="0" w:line="240" w:lineRule="auto"/>
            </w:pPr>
            <w:r>
              <w:rPr>
                <w:sz w:val="16"/>
              </w:rPr>
              <w:t>5</w:t>
            </w:r>
          </w:p>
        </w:tc>
        <w:tc>
          <w:tcPr>
            <w:tcW w:type="dxa" w:w="9216"/>
            <w:tcMar>
              <w:top w:w="90" w:type="dxa"/>
              <w:start w:w="110" w:type="dxa"/>
              <w:bottom w:w="90" w:type="dxa"/>
              <w:end w:w="110" w:type="dxa"/>
            </w:tcMar>
            <w:vAlign w:val="center"/>
          </w:tcPr>
          <w:p>
            <w:pPr>
              <w:spacing w:after="0" w:line="240" w:lineRule="auto"/>
            </w:pPr>
            <w:r>
              <w:rPr>
                <w:sz w:val="16"/>
              </w:rPr>
              <w:t>Sexual health and aesthetics</w:t>
            </w:r>
          </w:p>
        </w:tc>
      </w:tr>
      <w:tr>
        <w:trPr>
          <w:cantSplit/>
        </w:trPr>
        <w:tc>
          <w:tcPr>
            <w:tcW w:type="dxa" w:w="1152"/>
            <w:tcMar>
              <w:top w:w="90" w:type="dxa"/>
              <w:start w:w="110" w:type="dxa"/>
              <w:bottom w:w="90" w:type="dxa"/>
              <w:end w:w="110" w:type="dxa"/>
            </w:tcMar>
            <w:shd w:fill="F7F8FA"/>
            <w:vAlign w:val="center"/>
          </w:tcPr>
          <w:p>
            <w:pPr>
              <w:spacing w:after="0" w:line="240" w:lineRule="auto"/>
            </w:pPr>
            <w:r>
              <w:rPr>
                <w:sz w:val="16"/>
              </w:rPr>
              <w:t>6</w:t>
            </w:r>
          </w:p>
        </w:tc>
        <w:tc>
          <w:tcPr>
            <w:tcW w:type="dxa" w:w="9216"/>
            <w:tcMar>
              <w:top w:w="90" w:type="dxa"/>
              <w:start w:w="110" w:type="dxa"/>
              <w:bottom w:w="90" w:type="dxa"/>
              <w:end w:w="110" w:type="dxa"/>
            </w:tcMar>
            <w:shd w:fill="F7F8FA"/>
            <w:vAlign w:val="center"/>
          </w:tcPr>
          <w:p>
            <w:pPr>
              <w:spacing w:after="0" w:line="240" w:lineRule="auto"/>
            </w:pPr>
            <w:r>
              <w:rPr>
                <w:sz w:val="16"/>
              </w:rPr>
              <w:t>Mitochondria and longevity</w:t>
            </w:r>
          </w:p>
        </w:tc>
      </w:tr>
      <w:tr>
        <w:trPr>
          <w:cantSplit/>
        </w:trPr>
        <w:tc>
          <w:tcPr>
            <w:tcW w:type="dxa" w:w="1152"/>
            <w:tcMar>
              <w:top w:w="90" w:type="dxa"/>
              <w:start w:w="110" w:type="dxa"/>
              <w:bottom w:w="90" w:type="dxa"/>
              <w:end w:w="110" w:type="dxa"/>
            </w:tcMar>
            <w:vAlign w:val="center"/>
          </w:tcPr>
          <w:p>
            <w:pPr>
              <w:spacing w:after="0" w:line="240" w:lineRule="auto"/>
            </w:pPr>
            <w:r>
              <w:rPr>
                <w:sz w:val="16"/>
              </w:rPr>
              <w:t>7</w:t>
            </w:r>
          </w:p>
        </w:tc>
        <w:tc>
          <w:tcPr>
            <w:tcW w:type="dxa" w:w="9216"/>
            <w:tcMar>
              <w:top w:w="90" w:type="dxa"/>
              <w:start w:w="110" w:type="dxa"/>
              <w:bottom w:w="90" w:type="dxa"/>
              <w:end w:w="110" w:type="dxa"/>
            </w:tcMar>
            <w:vAlign w:val="center"/>
          </w:tcPr>
          <w:p>
            <w:pPr>
              <w:spacing w:after="0" w:line="240" w:lineRule="auto"/>
            </w:pPr>
            <w:r>
              <w:rPr>
                <w:sz w:val="16"/>
              </w:rPr>
              <w:t>SARMs and adjacent performance compounds</w:t>
            </w:r>
          </w:p>
        </w:tc>
      </w:tr>
      <w:tr>
        <w:trPr>
          <w:cantSplit/>
        </w:trPr>
        <w:tc>
          <w:tcPr>
            <w:tcW w:type="dxa" w:w="1152"/>
            <w:tcMar>
              <w:top w:w="90" w:type="dxa"/>
              <w:start w:w="110" w:type="dxa"/>
              <w:bottom w:w="90" w:type="dxa"/>
              <w:end w:w="110" w:type="dxa"/>
            </w:tcMar>
            <w:shd w:fill="F7F8FA"/>
            <w:vAlign w:val="center"/>
          </w:tcPr>
          <w:p>
            <w:pPr>
              <w:spacing w:after="0" w:line="240" w:lineRule="auto"/>
            </w:pPr>
            <w:r>
              <w:rPr>
                <w:sz w:val="16"/>
              </w:rPr>
              <w:t>8</w:t>
            </w:r>
          </w:p>
        </w:tc>
        <w:tc>
          <w:tcPr>
            <w:tcW w:type="dxa" w:w="9216"/>
            <w:tcMar>
              <w:top w:w="90" w:type="dxa"/>
              <w:start w:w="110" w:type="dxa"/>
              <w:bottom w:w="90" w:type="dxa"/>
              <w:end w:w="110" w:type="dxa"/>
            </w:tcMar>
            <w:shd w:fill="F7F8FA"/>
            <w:vAlign w:val="center"/>
          </w:tcPr>
          <w:p>
            <w:pPr>
              <w:spacing w:after="0" w:line="240" w:lineRule="auto"/>
            </w:pPr>
            <w:r>
              <w:rPr>
                <w:sz w:val="16"/>
              </w:rPr>
              <w:t>Dose context and concentration math</w:t>
            </w:r>
          </w:p>
        </w:tc>
      </w:tr>
      <w:tr>
        <w:trPr>
          <w:cantSplit/>
        </w:trPr>
        <w:tc>
          <w:tcPr>
            <w:tcW w:type="dxa" w:w="1152"/>
            <w:tcMar>
              <w:top w:w="90" w:type="dxa"/>
              <w:start w:w="110" w:type="dxa"/>
              <w:bottom w:w="90" w:type="dxa"/>
              <w:end w:w="110" w:type="dxa"/>
            </w:tcMar>
            <w:vAlign w:val="center"/>
          </w:tcPr>
          <w:p>
            <w:pPr>
              <w:spacing w:after="0" w:line="240" w:lineRule="auto"/>
            </w:pPr>
            <w:r>
              <w:rPr>
                <w:sz w:val="16"/>
              </w:rPr>
              <w:t>9</w:t>
            </w:r>
          </w:p>
        </w:tc>
        <w:tc>
          <w:tcPr>
            <w:tcW w:type="dxa" w:w="9216"/>
            <w:tcMar>
              <w:top w:w="90" w:type="dxa"/>
              <w:start w:w="110" w:type="dxa"/>
              <w:bottom w:w="90" w:type="dxa"/>
              <w:end w:w="110" w:type="dxa"/>
            </w:tcMar>
            <w:vAlign w:val="center"/>
          </w:tcPr>
          <w:p>
            <w:pPr>
              <w:spacing w:after="0" w:line="240" w:lineRule="auto"/>
            </w:pPr>
            <w:r>
              <w:rPr>
                <w:sz w:val="16"/>
              </w:rPr>
              <w:t>Questions for a clinician or veterinarian</w:t>
            </w:r>
          </w:p>
        </w:tc>
      </w:tr>
    </w:tbl>
    <w:p>
      <w:pPr>
        <w:spacing w:after="20"/>
      </w:pPr>
    </w:p>
    <w:p>
      <w:r>
        <w:br w:type="page"/>
      </w:r>
    </w:p>
    <w:p>
      <w:bookmarkStart w:id="1" w:name="metabolic"/>
      <w:pPr>
        <w:pStyle w:val="Heading1"/>
        <w:spacing w:before="240" w:after="160"/>
        <w:ind w:left="0" w:right="0"/>
        <w:shd w:fill="115E59"/>
        <w:spacing w:before="150" w:after="150"/>
      </w:pPr>
      <w:r>
        <w:rPr>
          <w:color w:val="FFFFFF"/>
        </w:rPr>
        <w:t>1 Metabolic and appetite</w:t>
      </w:r>
      <w:bookmarkEnd w:id="1"/>
    </w:p>
    <w:p>
      <w:r>
        <w:t>The strongest human evidence in this guide sits here. It also shows why status matters: semaglutide and tirzepatide have approved products and detailed labeling; retatrutide and cagrilintide remain investigational even when trial results are impressive.</w:t>
      </w:r>
    </w:p>
    <w:p>
      <w:pPr>
        <w:spacing w:before="100" w:after="60"/>
        <w:jc w:val="center"/>
      </w:pPr>
      <w:r>
        <w:drawing>
          <wp:inline xmlns:a="http://schemas.openxmlformats.org/drawingml/2006/main" xmlns:pic="http://schemas.openxmlformats.org/drawingml/2006/picture">
            <wp:extent cx="6309360" cy="3154680"/>
            <wp:docPr id="2" name="Picture 2"/>
            <wp:cNvGraphicFramePr>
              <a:graphicFrameLocks noChangeAspect="1"/>
            </wp:cNvGraphicFramePr>
            <a:graphic>
              <a:graphicData uri="http://schemas.openxmlformats.org/drawingml/2006/picture">
                <pic:pic>
                  <pic:nvPicPr>
                    <pic:cNvPr id="0" name="metabolic-gh-pathways.png"/>
                    <pic:cNvPicPr/>
                  </pic:nvPicPr>
                  <pic:blipFill>
                    <a:blip r:embed="rId14"/>
                    <a:stretch>
                      <a:fillRect/>
                    </a:stretch>
                  </pic:blipFill>
                  <pic:spPr>
                    <a:xfrm>
                      <a:off x="0" y="0"/>
                      <a:ext cx="6309360" cy="3154680"/>
                    </a:xfrm>
                    <a:prstGeom prst="rect"/>
                  </pic:spPr>
                </pic:pic>
              </a:graphicData>
            </a:graphic>
          </wp:inline>
        </w:drawing>
      </w:r>
    </w:p>
    <w:p>
      <w:pPr>
        <w:pStyle w:val="Small"/>
        <w:spacing w:after="160"/>
        <w:jc w:val="center"/>
      </w:pPr>
      <w:r>
        <w:rPr>
          <w:i/>
        </w:rPr>
        <w:t>Conceptual map of appetite, glucose, GH and IGF signaling. The illustration is educational, not a treatment pathway.</w:t>
      </w:r>
    </w:p>
    <w:p>
      <w:pPr>
        <w:pStyle w:val="Heading2"/>
        <w:spacing w:before="180" w:after="80"/>
        <w:shd w:fill="E7F5F3"/>
      </w:pPr>
      <w:r>
        <w:t>Semaglutide</w:t>
      </w:r>
    </w:p>
    <w:p>
      <w:r>
        <w:rPr>
          <w:b/>
          <w:color w:val="115E59"/>
        </w:rPr>
        <w:t xml:space="preserve">What it is  </w:t>
      </w:r>
      <w:r>
        <w:t>A GLP-1 receptor agonist that reduces appetite, slows gastric emptying, and improves glucose regulation.</w:t>
      </w:r>
    </w:p>
    <w:p>
      <w:r>
        <w:rPr>
          <w:b/>
          <w:color w:val="115E59"/>
        </w:rPr>
        <w:t xml:space="preserve">Evidence  </w:t>
      </w:r>
      <w:r>
        <w:t>Level A for specific approved semaglutide products and indications. Large randomized trials support clinically meaningful weight loss and cardiovascular benefit in selected populations.</w:t>
      </w:r>
    </w:p>
    <w:p>
      <w:r>
        <w:rPr>
          <w:b/>
          <w:color w:val="115E59"/>
        </w:rPr>
        <w:t xml:space="preserve">Dose context  </w:t>
      </w:r>
      <w:r>
        <w:t>The approved semaglutide injection schedule for chronic weight management begins at 0.25 mg once weekly for weeks 1-4, then progresses to 0.5 mg, 1 mg, and 1.7 mg in successive 4-week steps; the traditional adult maintenance dose is 1.7 or 2.4 mg weekly. Formulations and indications differ, so the current product label controls.</w:t>
      </w:r>
    </w:p>
    <w:p>
      <w:pPr>
        <w:pStyle w:val="Small"/>
      </w:pPr>
      <w:r>
        <w:rPr>
          <w:b/>
          <w:color w:val="B42318"/>
        </w:rPr>
        <w:t xml:space="preserve">Watch point  </w:t>
      </w:r>
      <w:r>
        <w:t>GI adverse effects, dehydration, gallbladder disease, pancreatitis warnings, hypoglycemia with certain diabetes drugs, and a boxed thyroid C-cell tumor warning.</w:t>
      </w:r>
    </w:p>
    <w:p>
      <w:pPr>
        <w:pStyle w:val="Heading2"/>
        <w:spacing w:before="180" w:after="80"/>
        <w:shd w:fill="E7F5F3"/>
      </w:pPr>
      <w:r>
        <w:t>Tirzepatide</w:t>
      </w:r>
    </w:p>
    <w:p>
      <w:r>
        <w:rPr>
          <w:b/>
          <w:color w:val="115E59"/>
        </w:rPr>
        <w:t xml:space="preserve">What it is  </w:t>
      </w:r>
      <w:r>
        <w:t>A dual GIP and GLP-1 receptor agonist with effects on appetite, glucose, and body weight.</w:t>
      </w:r>
    </w:p>
    <w:p>
      <w:r>
        <w:rPr>
          <w:b/>
          <w:color w:val="115E59"/>
        </w:rPr>
        <w:t xml:space="preserve">Evidence  </w:t>
      </w:r>
      <w:r>
        <w:t>Level A for specific approved tirzepatide products and indications. Phase 3 programs support substantial weight reduction and metabolic benefit.</w:t>
      </w:r>
    </w:p>
    <w:p>
      <w:r>
        <w:rPr>
          <w:b/>
          <w:color w:val="115E59"/>
        </w:rPr>
        <w:t xml:space="preserve">Dose context  </w:t>
      </w:r>
      <w:r>
        <w:t>The approved tirzepatide schedule for chronic weight management begins at 2.5 mg once weekly for 4 weeks, then 5 mg weekly; increases may occur in 2.5 mg steps after at least 4 weeks at the current dose. Maintenance depends on indication, response, and tolerability; 15 mg weekly is the labeled maximum.</w:t>
      </w:r>
    </w:p>
    <w:p>
      <w:pPr>
        <w:pStyle w:val="Small"/>
      </w:pPr>
      <w:r>
        <w:rPr>
          <w:b/>
          <w:color w:val="B42318"/>
        </w:rPr>
        <w:t xml:space="preserve">Watch point  </w:t>
      </w:r>
      <w:r>
        <w:t>Do not combine with another tirzepatide product or GLP-1 agonist. Similar GI, dehydration, gallbladder, pancreatitis, hypoglycemia, and thyroid-warning considerations apply.</w:t>
      </w:r>
    </w:p>
    <w:p>
      <w:pPr>
        <w:pStyle w:val="Heading2"/>
        <w:spacing w:before="180" w:after="80"/>
        <w:shd w:fill="E7F5F3"/>
      </w:pPr>
      <w:r>
        <w:t>Retatrutide</w:t>
      </w:r>
    </w:p>
    <w:p>
      <w:r>
        <w:rPr>
          <w:b/>
          <w:color w:val="115E59"/>
        </w:rPr>
        <w:t xml:space="preserve">What it is  </w:t>
      </w:r>
      <w:r>
        <w:t>An investigational triple agonist at GIP, GLP-1, and glucagon receptors.</w:t>
      </w:r>
    </w:p>
    <w:p>
      <w:r>
        <w:rPr>
          <w:b/>
          <w:color w:val="115E59"/>
        </w:rPr>
        <w:t xml:space="preserve">Evidence  </w:t>
      </w:r>
      <w:r>
        <w:t>Level B. In a 48-week phase 2 obesity trial, the 12 mg group averaged 24.2% weight reduction; phase 2 results do not equal approval.</w:t>
      </w:r>
    </w:p>
    <w:p>
      <w:r>
        <w:rPr>
          <w:b/>
          <w:color w:val="115E59"/>
        </w:rPr>
        <w:t xml:space="preserve">Dose context  </w:t>
      </w:r>
      <w:r>
        <w:t>Trial arms used 1, 4, 8, or 12 mg once weekly. Higher-dose groups used protocolized starting doses of 2 or 4 mg and escalation every 4 weeks. These are trial exposures only; there is no FDA-approved retatrutide product or established clinical regimen.</w:t>
      </w:r>
    </w:p>
    <w:p>
      <w:pPr>
        <w:pStyle w:val="Small"/>
      </w:pPr>
      <w:r>
        <w:rPr>
          <w:b/>
          <w:color w:val="B42318"/>
        </w:rPr>
        <w:t xml:space="preserve">Watch point  </w:t>
      </w:r>
      <w:r>
        <w:t>Dose-related GI events and increased heart rate were observed. Online products are not substitutes for trial material.</w:t>
      </w:r>
    </w:p>
    <w:p>
      <w:pPr>
        <w:pStyle w:val="Heading2"/>
        <w:spacing w:before="180" w:after="80"/>
        <w:shd w:fill="E7F5F3"/>
      </w:pPr>
      <w:r>
        <w:t>Cagrilintide</w:t>
      </w:r>
    </w:p>
    <w:p>
      <w:r>
        <w:rPr>
          <w:b/>
          <w:color w:val="115E59"/>
        </w:rPr>
        <w:t xml:space="preserve">What it is  </w:t>
      </w:r>
      <w:r>
        <w:t>A long-acting amylin analog studied alone and with semaglutide.</w:t>
      </w:r>
    </w:p>
    <w:p>
      <w:r>
        <w:rPr>
          <w:b/>
          <w:color w:val="115E59"/>
        </w:rPr>
        <w:t xml:space="preserve">Evidence  </w:t>
      </w:r>
      <w:r>
        <w:t>Level B. Dose-ranging and combination trials show weight-loss effects, but cagrilintide is investigational.</w:t>
      </w:r>
    </w:p>
    <w:p>
      <w:r>
        <w:rPr>
          <w:b/>
          <w:color w:val="115E59"/>
        </w:rPr>
        <w:t xml:space="preserve">Dose context  </w:t>
      </w:r>
      <w:r>
        <w:t>Published programs have studied once-weekly doses across a range including 0.3 to 4.5 mg, with 2.4 mg commonly used in combination research. These values describe trials, not an approved regimen.</w:t>
      </w:r>
    </w:p>
    <w:p>
      <w:pPr>
        <w:pStyle w:val="Small"/>
      </w:pPr>
      <w:r>
        <w:rPr>
          <w:b/>
          <w:color w:val="B42318"/>
        </w:rPr>
        <w:t xml:space="preserve">Watch point  </w:t>
      </w:r>
      <w:r>
        <w:t>Nausea and other GI effects are common; combination use can magnify tolerability issues. No approved product or self-use dose exists.</w:t>
      </w:r>
    </w:p>
    <w:p>
      <w:pPr>
        <w:pStyle w:val="Heading2"/>
        <w:spacing w:before="180" w:after="80"/>
        <w:shd w:fill="E7F5F3"/>
      </w:pPr>
      <w:r>
        <w:t>Pramlintide</w:t>
      </w:r>
    </w:p>
    <w:p>
      <w:r>
        <w:rPr>
          <w:b/>
          <w:color w:val="115E59"/>
        </w:rPr>
        <w:t xml:space="preserve">What it is  </w:t>
      </w:r>
      <w:r>
        <w:t>An amylin analog used alongside mealtime insulin in selected people with type 1 or type 2 diabetes.</w:t>
      </w:r>
    </w:p>
    <w:p>
      <w:r>
        <w:rPr>
          <w:b/>
          <w:color w:val="115E59"/>
        </w:rPr>
        <w:t xml:space="preserve">Evidence  </w:t>
      </w:r>
      <w:r>
        <w:t>Level A for its narrow approved diabetes indication. It is not approved as a general weight-loss medicine.</w:t>
      </w:r>
    </w:p>
    <w:p>
      <w:r>
        <w:rPr>
          <w:b/>
          <w:color w:val="115E59"/>
        </w:rPr>
        <w:t xml:space="preserve">Dose context  </w:t>
      </w:r>
      <w:r>
        <w:t>The label uses diabetes-specific microgram dosing tied to insulin management. There is no general wellness dose, and the dose cannot be separated from supervised insulin adjustment.</w:t>
      </w:r>
    </w:p>
    <w:p>
      <w:pPr>
        <w:pStyle w:val="Small"/>
      </w:pPr>
      <w:r>
        <w:rPr>
          <w:b/>
          <w:color w:val="B42318"/>
        </w:rPr>
        <w:t xml:space="preserve">Watch point  </w:t>
      </w:r>
      <w:r>
        <w:t>A boxed warning addresses severe insulin-induced hypoglycemia. Nausea, delayed gastric emptying, and medication-timing interactions also matter.</w:t>
      </w:r>
    </w:p>
    <w:p>
      <w:pPr>
        <w:pStyle w:val="Heading2"/>
        <w:spacing w:before="180" w:after="80"/>
        <w:shd w:fill="E7F5F3"/>
      </w:pPr>
      <w:r>
        <w:t>Teduglutide</w:t>
      </w:r>
    </w:p>
    <w:p>
      <w:r>
        <w:rPr>
          <w:b/>
          <w:color w:val="115E59"/>
        </w:rPr>
        <w:t xml:space="preserve">What it is  </w:t>
      </w:r>
      <w:r>
        <w:t>A GLP-2 analog that improves intestinal absorption in adults and children with short bowel syndrome who depend on parenteral support.</w:t>
      </w:r>
    </w:p>
    <w:p>
      <w:r>
        <w:rPr>
          <w:b/>
          <w:color w:val="115E59"/>
        </w:rPr>
        <w:t xml:space="preserve">Evidence  </w:t>
      </w:r>
      <w:r>
        <w:t>Level A for short bowel syndrome under specialist care; it is not a body-composition or wellness peptide.</w:t>
      </w:r>
    </w:p>
    <w:p>
      <w:r>
        <w:rPr>
          <w:b/>
          <w:color w:val="115E59"/>
        </w:rPr>
        <w:t xml:space="preserve">Dose context  </w:t>
      </w:r>
      <w:r>
        <w:t>The approved regimen is weight based and requires product-specific renal adjustment and monitoring. It should not be converted into a general research protocol.</w:t>
      </w:r>
    </w:p>
    <w:p>
      <w:pPr>
        <w:pStyle w:val="Small"/>
      </w:pPr>
      <w:r>
        <w:rPr>
          <w:b/>
          <w:color w:val="B42318"/>
        </w:rPr>
        <w:t xml:space="preserve">Watch point  </w:t>
      </w:r>
      <w:r>
        <w:t>Fluid overload, intestinal obstruction, biliary or pancreatic disease, and acceleration of neoplastic growth are key label concerns.</w:t>
      </w:r>
    </w:p>
    <w:p>
      <w:pPr>
        <w:pStyle w:val="Heading2"/>
        <w:spacing w:before="180" w:after="80"/>
        <w:shd w:fill="E7F5F3"/>
      </w:pPr>
      <w:r>
        <w:t>5-Amino-1MQ</w:t>
      </w:r>
    </w:p>
    <w:p>
      <w:r>
        <w:rPr>
          <w:b/>
          <w:color w:val="115E59"/>
        </w:rPr>
        <w:t xml:space="preserve">What it is  </w:t>
      </w:r>
      <w:r>
        <w:t>A small-molecule NNMT inhibitor, not a peptide, marketed for metabolic and body-composition claims.</w:t>
      </w:r>
    </w:p>
    <w:p>
      <w:r>
        <w:rPr>
          <w:b/>
          <w:color w:val="115E59"/>
        </w:rPr>
        <w:t xml:space="preserve">Evidence  </w:t>
      </w:r>
      <w:r>
        <w:t>Level D. Published support is predominantly cellular and animal research; robust human efficacy and safety trials are lacking.</w:t>
      </w:r>
    </w:p>
    <w:p>
      <w:r>
        <w:rPr>
          <w:b/>
          <w:color w:val="115E59"/>
        </w:rPr>
        <w:t xml:space="preserve">Dose context  </w:t>
      </w:r>
      <w:r>
        <w:t>No established human dose. Values such as 50 mg daily found in community archives are not validated clinical regimens.</w:t>
      </w:r>
    </w:p>
    <w:p>
      <w:pPr>
        <w:pStyle w:val="Small"/>
      </w:pPr>
      <w:r>
        <w:rPr>
          <w:b/>
          <w:color w:val="B42318"/>
        </w:rPr>
        <w:t xml:space="preserve">Watch point  </w:t>
      </w:r>
      <w:r>
        <w:t>Unknown human pharmacology, impurities, liver and metabolic effects, and drug interactions make extrapolation especially uncertain.</w:t>
      </w:r>
    </w:p>
    <w:p>
      <w:r>
        <w:br w:type="page"/>
      </w:r>
    </w:p>
    <w:p>
      <w:pPr>
        <w:pStyle w:val="Heading2"/>
        <w:spacing w:before="180" w:after="80"/>
        <w:shd w:fill="E7F5F3"/>
      </w:pPr>
      <w:r>
        <w:t>AOD 9604</w:t>
      </w:r>
    </w:p>
    <w:p>
      <w:r>
        <w:rPr>
          <w:b/>
          <w:color w:val="115E59"/>
        </w:rPr>
        <w:t xml:space="preserve">What it is  </w:t>
      </w:r>
      <w:r>
        <w:t>A modified growth-hormone fragment promoted for fat metabolism.</w:t>
      </w:r>
    </w:p>
    <w:p>
      <w:r>
        <w:rPr>
          <w:b/>
          <w:color w:val="115E59"/>
        </w:rPr>
        <w:t xml:space="preserve">Evidence  </w:t>
      </w:r>
      <w:r>
        <w:t>Level C/D. Human weight-loss findings have been limited and inconsistent; FDA says it lacks sufficient safety information for proposed compounded routes.</w:t>
      </w:r>
    </w:p>
    <w:p>
      <w:r>
        <w:rPr>
          <w:b/>
          <w:color w:val="115E59"/>
        </w:rPr>
        <w:t xml:space="preserve">Dose context  </w:t>
      </w:r>
      <w:r>
        <w:t>No established human dose. The archive value of 300 mcg daily reflects community/reference material, not an approved or validated regimen.</w:t>
      </w:r>
    </w:p>
    <w:p>
      <w:pPr>
        <w:pStyle w:val="Small"/>
      </w:pPr>
      <w:r>
        <w:rPr>
          <w:b/>
          <w:color w:val="B42318"/>
        </w:rPr>
        <w:t xml:space="preserve">Watch point  </w:t>
      </w:r>
      <w:r>
        <w:t>FDA cites immunogenicity, characterization, limited safety information, and serious adverse reports with unclear causality.</w:t>
      </w:r>
    </w:p>
    <w:p>
      <w:bookmarkStart w:id="2" w:name="gh_igf"/>
      <w:pPr>
        <w:pStyle w:val="Heading1"/>
        <w:spacing w:before="240" w:after="160"/>
        <w:ind w:left="0" w:right="0"/>
        <w:shd w:fill="115E59"/>
        <w:spacing w:before="150" w:after="150"/>
      </w:pPr>
      <w:r>
        <w:rPr>
          <w:color w:val="FFFFFF"/>
        </w:rPr>
        <w:t>2 Growth hormone and body composition</w:t>
      </w:r>
      <w:bookmarkEnd w:id="2"/>
    </w:p>
    <w:p>
      <w:r>
        <w:t>Compounds that affect GH or IGF-1 are not interchangeable. More signal is not automatically better: glucose intolerance, edema, joint symptoms, and growth-related concerns require monitoring. Many are prohibited in sport.</w:t>
      </w:r>
    </w:p>
    <w:p>
      <w:pPr>
        <w:pStyle w:val="Heading2"/>
        <w:spacing w:before="180" w:after="80"/>
        <w:shd w:fill="E7F5F3"/>
      </w:pPr>
      <w:r>
        <w:t>Tesamorelin</w:t>
      </w:r>
    </w:p>
    <w:p>
      <w:r>
        <w:rPr>
          <w:b/>
          <w:color w:val="115E59"/>
        </w:rPr>
        <w:t xml:space="preserve">What it is  </w:t>
      </w:r>
      <w:r>
        <w:t>A growth hormone-releasing factor analog.</w:t>
      </w:r>
    </w:p>
    <w:p>
      <w:r>
        <w:rPr>
          <w:b/>
          <w:color w:val="115E59"/>
        </w:rPr>
        <w:t xml:space="preserve">Evidence  </w:t>
      </w:r>
      <w:r>
        <w:t>Level A only for reducing excess abdominal fat in adults with HIV-associated lipodystrophy. It is not labeled as general weight-loss or anti-aging therapy.</w:t>
      </w:r>
    </w:p>
    <w:p>
      <w:r>
        <w:rPr>
          <w:b/>
          <w:color w:val="115E59"/>
        </w:rPr>
        <w:t xml:space="preserve">Dose context  </w:t>
      </w:r>
      <w:r>
        <w:t>The approved tesamorelin 2 mg-vial formulation uses 1.4 mg subcutaneously once daily after product-specific reconstitution. Another tesamorelin formulation has a different labeled dose and preparation. Instructions cannot be transferred between formulations.</w:t>
      </w:r>
    </w:p>
    <w:p>
      <w:pPr>
        <w:pStyle w:val="Small"/>
      </w:pPr>
      <w:r>
        <w:rPr>
          <w:b/>
          <w:color w:val="B42318"/>
        </w:rPr>
        <w:t xml:space="preserve">Watch point  </w:t>
      </w:r>
      <w:r>
        <w:t>Raises IGF-1; monitor glucose. Contraindications and warnings include active malignancy and disruption of the hypothalamic-pituitary axis.</w:t>
      </w:r>
    </w:p>
    <w:p>
      <w:pPr>
        <w:pStyle w:val="Heading2"/>
        <w:spacing w:before="180" w:after="80"/>
        <w:shd w:fill="E7F5F3"/>
      </w:pPr>
      <w:r>
        <w:t>Sermorelin</w:t>
      </w:r>
    </w:p>
    <w:p>
      <w:r>
        <w:rPr>
          <w:b/>
          <w:color w:val="115E59"/>
        </w:rPr>
        <w:t xml:space="preserve">What it is  </w:t>
      </w:r>
      <w:r>
        <w:t>A short GHRH analog that stimulates pituitary GH release.</w:t>
      </w:r>
    </w:p>
    <w:p>
      <w:r>
        <w:rPr>
          <w:b/>
          <w:color w:val="115E59"/>
        </w:rPr>
        <w:t xml:space="preserve">Evidence  </w:t>
      </w:r>
      <w:r>
        <w:t>Level C. It has a clinical history in diagnostic and pediatric contexts, but no current broadly approved anti-aging indication.</w:t>
      </w:r>
    </w:p>
    <w:p>
      <w:r>
        <w:rPr>
          <w:b/>
          <w:color w:val="115E59"/>
        </w:rPr>
        <w:t xml:space="preserve">Dose context  </w:t>
      </w:r>
      <w:r>
        <w:t>No current FDA-approved wellness or body-composition dose. The archive's 300 mcg daily figure is a community/reference value, not a validated general regimen.</w:t>
      </w:r>
    </w:p>
    <w:p>
      <w:pPr>
        <w:pStyle w:val="Small"/>
      </w:pPr>
      <w:r>
        <w:rPr>
          <w:b/>
          <w:color w:val="B42318"/>
        </w:rPr>
        <w:t xml:space="preserve">Watch point  </w:t>
      </w:r>
      <w:r>
        <w:t>Can affect glucose, IGF-1, fluid balance, and injection-site reactions; product provenance and formulation matter.</w:t>
      </w:r>
    </w:p>
    <w:p>
      <w:pPr>
        <w:pStyle w:val="Heading2"/>
        <w:spacing w:before="180" w:after="80"/>
        <w:shd w:fill="E7F5F3"/>
      </w:pPr>
      <w:r>
        <w:t>CJC 1295</w:t>
      </w:r>
    </w:p>
    <w:p>
      <w:r>
        <w:rPr>
          <w:b/>
          <w:color w:val="115E59"/>
        </w:rPr>
        <w:t xml:space="preserve">What it is  </w:t>
      </w:r>
      <w:r>
        <w:t>A long-acting GHRH analog; versions with and without a drug-affinity complex have different kinetics.</w:t>
      </w:r>
    </w:p>
    <w:p>
      <w:r>
        <w:rPr>
          <w:b/>
          <w:color w:val="115E59"/>
        </w:rPr>
        <w:t xml:space="preserve">Evidence  </w:t>
      </w:r>
      <w:r>
        <w:t>Level C. Small human studies show GH and IGF-1 effects, but no FDA-approved product or therapeutic regimen exists.</w:t>
      </w:r>
    </w:p>
    <w:p>
      <w:r>
        <w:rPr>
          <w:b/>
          <w:color w:val="115E59"/>
        </w:rPr>
        <w:t xml:space="preserve">Dose context  </w:t>
      </w:r>
      <w:r>
        <w:t>No established human dose. The archive lists 100 mcg 2-3 times daily for no-DAC and 2 mg twice weekly for DAC; these are not equivalent and should not be presented as clinical protocols.</w:t>
      </w:r>
    </w:p>
    <w:p>
      <w:pPr>
        <w:pStyle w:val="Small"/>
      </w:pPr>
      <w:r>
        <w:rPr>
          <w:b/>
          <w:color w:val="B42318"/>
        </w:rPr>
        <w:t xml:space="preserve">Watch point  </w:t>
      </w:r>
      <w:r>
        <w:t>FDA cites limited data, immunogenicity/impurity concerns, increased heart rate, and systemic vasodilatory reactions.</w:t>
      </w:r>
    </w:p>
    <w:p>
      <w:pPr>
        <w:pStyle w:val="Heading2"/>
        <w:spacing w:before="180" w:after="80"/>
        <w:shd w:fill="E7F5F3"/>
      </w:pPr>
      <w:r>
        <w:t>Ipamorelin</w:t>
      </w:r>
    </w:p>
    <w:p>
      <w:r>
        <w:rPr>
          <w:b/>
          <w:color w:val="115E59"/>
        </w:rPr>
        <w:t xml:space="preserve">What it is  </w:t>
      </w:r>
      <w:r>
        <w:t>A ghrelin-receptor agonist and GH secretagogue.</w:t>
      </w:r>
    </w:p>
    <w:p>
      <w:r>
        <w:rPr>
          <w:b/>
          <w:color w:val="115E59"/>
        </w:rPr>
        <w:t xml:space="preserve">Evidence  </w:t>
      </w:r>
      <w:r>
        <w:t>Level C/D for most wellness claims. Human research is limited and route/formulation specific.</w:t>
      </w:r>
    </w:p>
    <w:p>
      <w:r>
        <w:rPr>
          <w:b/>
          <w:color w:val="115E59"/>
        </w:rPr>
        <w:t xml:space="preserve">Dose context  </w:t>
      </w:r>
      <w:r>
        <w:t>No established human dose. The archive's 200 mcg 2-3 times daily value is a community/reference figure, not approved guidance.</w:t>
      </w:r>
    </w:p>
    <w:p>
      <w:pPr>
        <w:pStyle w:val="Small"/>
      </w:pPr>
      <w:r>
        <w:rPr>
          <w:b/>
          <w:color w:val="B42318"/>
        </w:rPr>
        <w:t xml:space="preserve">Watch point  </w:t>
      </w:r>
      <w:r>
        <w:t>FDA notes limited safety information, peptide-quality concerns, and serious adverse events in an intravenous clinical setting; that does not establish safety by other routes.</w:t>
      </w:r>
    </w:p>
    <w:p>
      <w:pPr>
        <w:pStyle w:val="Heading2"/>
        <w:spacing w:before="180" w:after="80"/>
        <w:shd w:fill="E7F5F3"/>
      </w:pPr>
      <w:r>
        <w:t>GHRP-2, GHRP-6 and Hexarelin</w:t>
      </w:r>
    </w:p>
    <w:p>
      <w:r>
        <w:rPr>
          <w:b/>
          <w:color w:val="115E59"/>
        </w:rPr>
        <w:t xml:space="preserve">What it is  </w:t>
      </w:r>
      <w:r>
        <w:t>Older ghrelin-receptor agonist peptides that stimulate growth-hormone release, with different effects on appetite and other pituitary hormones.</w:t>
      </w:r>
    </w:p>
    <w:p>
      <w:r>
        <w:rPr>
          <w:b/>
          <w:color w:val="115E59"/>
        </w:rPr>
        <w:t xml:space="preserve">Evidence  </w:t>
      </w:r>
      <w:r>
        <w:t>Level C/D for performance or wellness use. Small physiologic studies do not establish durable benefit or routine safety.</w:t>
      </w:r>
    </w:p>
    <w:p>
      <w:r>
        <w:rPr>
          <w:b/>
          <w:color w:val="115E59"/>
        </w:rPr>
        <w:t xml:space="preserve">Dose context  </w:t>
      </w:r>
      <w:r>
        <w:t>No established wellness dose. Community values near 100 mcg per administration are unvalidated and cannot be transferred across these distinct molecules.</w:t>
      </w:r>
    </w:p>
    <w:p>
      <w:pPr>
        <w:pStyle w:val="Small"/>
      </w:pPr>
      <w:r>
        <w:rPr>
          <w:b/>
          <w:color w:val="B42318"/>
        </w:rPr>
        <w:t xml:space="preserve">Watch point  </w:t>
      </w:r>
      <w:r>
        <w:t>Appetite changes, glucose effects, edema, cortisol or prolactin changes, desensitization, uncertain product quality, and sport prohibition.</w:t>
      </w:r>
    </w:p>
    <w:p>
      <w:pPr>
        <w:pStyle w:val="Heading2"/>
        <w:spacing w:before="180" w:after="80"/>
        <w:shd w:fill="E7F5F3"/>
      </w:pPr>
      <w:r>
        <w:t>IGF-1 LR3 and IGF-1 DES</w:t>
      </w:r>
    </w:p>
    <w:p>
      <w:r>
        <w:rPr>
          <w:b/>
          <w:color w:val="115E59"/>
        </w:rPr>
        <w:t xml:space="preserve">What it is  </w:t>
      </w:r>
      <w:r>
        <w:t>Modified, longer- or shorter-acting research analogs of insulin-like growth factor 1. They are not the same as approved mecasermin.</w:t>
      </w:r>
    </w:p>
    <w:p>
      <w:r>
        <w:rPr>
          <w:b/>
          <w:color w:val="115E59"/>
        </w:rPr>
        <w:t xml:space="preserve">Evidence  </w:t>
      </w:r>
      <w:r>
        <w:t>Level D/E for marketed physique and recovery claims. Evidence for these analogs is largely preclinical or informal.</w:t>
      </w:r>
    </w:p>
    <w:p>
      <w:r>
        <w:rPr>
          <w:b/>
          <w:color w:val="115E59"/>
        </w:rPr>
        <w:t xml:space="preserve">Dose context  </w:t>
      </w:r>
      <w:r>
        <w:t>No established human dose. Doses from mecasermin labeling cannot be transferred to LR3 or DES.</w:t>
      </w:r>
    </w:p>
    <w:p>
      <w:pPr>
        <w:pStyle w:val="Small"/>
      </w:pPr>
      <w:r>
        <w:rPr>
          <w:b/>
          <w:color w:val="B42318"/>
        </w:rPr>
        <w:t xml:space="preserve">Watch point  </w:t>
      </w:r>
      <w:r>
        <w:t>Potential hypoglycemia, edema, intracranial hypertension, tissue overgrowth, and concern about stimulating susceptible tumors.</w:t>
      </w:r>
    </w:p>
    <w:p>
      <w:pPr>
        <w:pStyle w:val="Heading2"/>
        <w:spacing w:before="180" w:after="80"/>
        <w:shd w:fill="E7F5F3"/>
      </w:pPr>
      <w:r>
        <w:t>PEG-MGF</w:t>
      </w:r>
    </w:p>
    <w:p>
      <w:r>
        <w:rPr>
          <w:b/>
          <w:color w:val="115E59"/>
        </w:rPr>
        <w:t xml:space="preserve">What it is  </w:t>
      </w:r>
      <w:r>
        <w:t>A pegylated research analog related to mechano-growth-factor signaling.</w:t>
      </w:r>
    </w:p>
    <w:p>
      <w:r>
        <w:rPr>
          <w:b/>
          <w:color w:val="115E59"/>
        </w:rPr>
        <w:t xml:space="preserve">Evidence  </w:t>
      </w:r>
      <w:r>
        <w:t>Level D/E. Marketing claims substantially exceed the available human evidence.</w:t>
      </w:r>
    </w:p>
    <w:p>
      <w:r>
        <w:rPr>
          <w:b/>
          <w:color w:val="115E59"/>
        </w:rPr>
        <w:t xml:space="preserve">Dose context  </w:t>
      </w:r>
      <w:r>
        <w:t>No established human dose. Archive values such as 200 mcg twice weekly are unvalidated reference material.</w:t>
      </w:r>
    </w:p>
    <w:p>
      <w:pPr>
        <w:pStyle w:val="Small"/>
      </w:pPr>
      <w:r>
        <w:rPr>
          <w:b/>
          <w:color w:val="B42318"/>
        </w:rPr>
        <w:t xml:space="preserve">Watch point  </w:t>
      </w:r>
      <w:r>
        <w:t>Identity and purity uncertainty, immune reactions to a modified peptide, and theoretical growth-signaling risks.</w:t>
      </w:r>
    </w:p>
    <w:p>
      <w:pPr>
        <w:spacing w:before="80" w:after="140"/>
        <w:ind w:left="230" w:right="230"/>
        <w:shd w:fill="E7F5F3"/>
      </w:pPr>
      <w:r>
        <w:rPr>
          <w:b/>
          <w:color w:val="B42318"/>
        </w:rPr>
        <w:t xml:space="preserve">Sport warning. </w:t>
      </w:r>
      <w:r>
        <w:t>The 2026 WADA Prohibited List includes GH, GHRH analogs such as CJC-1295, sermorelin and tesamorelin, secretagogues such as ipamorelin, and growth factors including IGF-1 and TB-500-related pathways.</w:t>
      </w:r>
    </w:p>
    <w:p>
      <w:bookmarkStart w:id="3" w:name="repair"/>
      <w:pPr>
        <w:pStyle w:val="Heading1"/>
        <w:spacing w:before="240" w:after="160"/>
        <w:ind w:left="0" w:right="0"/>
        <w:shd w:fill="115E59"/>
        <w:spacing w:before="150" w:after="150"/>
      </w:pPr>
      <w:r>
        <w:rPr>
          <w:color w:val="FFFFFF"/>
        </w:rPr>
        <w:t>3 Tissue repair, skin and inflammation</w:t>
      </w:r>
      <w:bookmarkEnd w:id="3"/>
    </w:p>
    <w:p>
      <w:r>
        <w:t>This category attracts the loudest claims and some of the weakest human evidence. Mechanistic plausibility and animal healing data are not proof of a clinically meaningful human outcome.</w:t>
      </w:r>
    </w:p>
    <w:p>
      <w:pPr>
        <w:spacing w:before="100" w:after="60"/>
        <w:jc w:val="center"/>
      </w:pPr>
      <w:r>
        <w:drawing>
          <wp:inline xmlns:a="http://schemas.openxmlformats.org/drawingml/2006/main" xmlns:pic="http://schemas.openxmlformats.org/drawingml/2006/picture">
            <wp:extent cx="6309360" cy="2628359"/>
            <wp:docPr id="3" name="Picture 3"/>
            <wp:cNvGraphicFramePr>
              <a:graphicFrameLocks noChangeAspect="1"/>
            </wp:cNvGraphicFramePr>
            <a:graphic>
              <a:graphicData uri="http://schemas.openxmlformats.org/drawingml/2006/picture">
                <pic:pic>
                  <pic:nvPicPr>
                    <pic:cNvPr id="0" name="repair-neuron-mitochondria.png"/>
                    <pic:cNvPicPr/>
                  </pic:nvPicPr>
                  <pic:blipFill>
                    <a:blip r:embed="rId15"/>
                    <a:stretch>
                      <a:fillRect/>
                    </a:stretch>
                  </pic:blipFill>
                  <pic:spPr>
                    <a:xfrm>
                      <a:off x="0" y="0"/>
                      <a:ext cx="6309360" cy="2628359"/>
                    </a:xfrm>
                    <a:prstGeom prst="rect"/>
                  </pic:spPr>
                </pic:pic>
              </a:graphicData>
            </a:graphic>
          </wp:inline>
        </w:drawing>
      </w:r>
    </w:p>
    <w:p>
      <w:pPr>
        <w:pStyle w:val="Small"/>
        <w:spacing w:after="160"/>
        <w:jc w:val="center"/>
      </w:pPr>
      <w:r>
        <w:rPr>
          <w:i/>
        </w:rPr>
        <w:t>Conceptual view of extracellular repair, neuronal signaling and mitochondrial energy. Biological plausibility is not proof of clinical benefit.</w:t>
      </w:r>
    </w:p>
    <w:p>
      <w:pPr>
        <w:pStyle w:val="Heading2"/>
        <w:spacing w:before="180" w:after="80"/>
        <w:shd w:fill="E7F5F3"/>
      </w:pPr>
      <w:r>
        <w:t>BPC-157</w:t>
      </w:r>
    </w:p>
    <w:p>
      <w:r>
        <w:rPr>
          <w:b/>
          <w:color w:val="115E59"/>
        </w:rPr>
        <w:t xml:space="preserve">What it is  </w:t>
      </w:r>
      <w:r>
        <w:t>A synthetic 15-amino-acid peptide derived from a gastric protein fragment.</w:t>
      </w:r>
    </w:p>
    <w:p>
      <w:r>
        <w:rPr>
          <w:b/>
          <w:color w:val="115E59"/>
        </w:rPr>
        <w:t xml:space="preserve">Evidence  </w:t>
      </w:r>
      <w:r>
        <w:t>Level D with very limited human exposure. Reviews find substantial preclinical interest but no validated human dosing regimen and no completed phase 2 program.</w:t>
      </w:r>
    </w:p>
    <w:p>
      <w:r>
        <w:rPr>
          <w:b/>
          <w:color w:val="115E59"/>
        </w:rPr>
        <w:t xml:space="preserve">Dose context  </w:t>
      </w:r>
      <w:r>
        <w:t>No established human dose. The archive's 250 mcg once or twice daily value is community/reference material and should not be treated as clinical evidence.</w:t>
      </w:r>
    </w:p>
    <w:p>
      <w:pPr>
        <w:pStyle w:val="Small"/>
      </w:pPr>
      <w:r>
        <w:rPr>
          <w:b/>
          <w:color w:val="B42318"/>
        </w:rPr>
        <w:t xml:space="preserve">Watch point  </w:t>
      </w:r>
      <w:r>
        <w:t>FDA cites limited safety information, immunogenicity and impurity concerns. Reported adverse events have uncertain causality.</w:t>
      </w:r>
    </w:p>
    <w:p>
      <w:pPr>
        <w:pStyle w:val="Heading2"/>
        <w:spacing w:before="180" w:after="80"/>
        <w:shd w:fill="E7F5F3"/>
      </w:pPr>
      <w:r>
        <w:t>TB-500</w:t>
      </w:r>
    </w:p>
    <w:p>
      <w:r>
        <w:rPr>
          <w:b/>
          <w:color w:val="115E59"/>
        </w:rPr>
        <w:t xml:space="preserve">What it is  </w:t>
      </w:r>
      <w:r>
        <w:t>A research peptide related to thymosin beta-4 signaling, studied for repair and cell migration.</w:t>
      </w:r>
    </w:p>
    <w:p>
      <w:r>
        <w:rPr>
          <w:b/>
          <w:color w:val="115E59"/>
        </w:rPr>
        <w:t xml:space="preserve">Evidence  </w:t>
      </w:r>
      <w:r>
        <w:t>Level D for most marketed recovery claims. Human evidence for the marketed fragment and common blends is insufficient.</w:t>
      </w:r>
    </w:p>
    <w:p>
      <w:r>
        <w:rPr>
          <w:b/>
          <w:color w:val="115E59"/>
        </w:rPr>
        <w:t xml:space="preserve">Dose context  </w:t>
      </w:r>
      <w:r>
        <w:t>No established human dose. The archive's 2 mg twice-weekly value is a community/reference figure, not a validated regimen.</w:t>
      </w:r>
    </w:p>
    <w:p>
      <w:pPr>
        <w:pStyle w:val="Small"/>
      </w:pPr>
      <w:r>
        <w:rPr>
          <w:b/>
          <w:color w:val="B42318"/>
        </w:rPr>
        <w:t xml:space="preserve">Watch point  </w:t>
      </w:r>
      <w:r>
        <w:t>Uncertain identity across products, theoretical growth/angiogenesis concerns, and WADA prohibition in competitive sport.</w:t>
      </w:r>
    </w:p>
    <w:p>
      <w:pPr>
        <w:pStyle w:val="Heading2"/>
        <w:spacing w:before="180" w:after="80"/>
        <w:shd w:fill="E7F5F3"/>
      </w:pPr>
      <w:r>
        <w:t>KPV</w:t>
      </w:r>
    </w:p>
    <w:p>
      <w:r>
        <w:rPr>
          <w:b/>
          <w:color w:val="115E59"/>
        </w:rPr>
        <w:t xml:space="preserve">What it is  </w:t>
      </w:r>
      <w:r>
        <w:t>A short alpha-MSH-derived peptide investigated for anti-inflammatory effects.</w:t>
      </w:r>
    </w:p>
    <w:p>
      <w:r>
        <w:rPr>
          <w:b/>
          <w:color w:val="115E59"/>
        </w:rPr>
        <w:t xml:space="preserve">Evidence  </w:t>
      </w:r>
      <w:r>
        <w:t>Level D. Most evidence is cellular or animal research; human efficacy and long-term safety are not established.</w:t>
      </w:r>
    </w:p>
    <w:p>
      <w:r>
        <w:rPr>
          <w:b/>
          <w:color w:val="115E59"/>
        </w:rPr>
        <w:t xml:space="preserve">Dose context  </w:t>
      </w:r>
      <w:r>
        <w:t>No established human dose. The archive lists 200 mcg daily, but this is not backed by an approved label or robust human dose-ranging program.</w:t>
      </w:r>
    </w:p>
    <w:p>
      <w:pPr>
        <w:pStyle w:val="Small"/>
      </w:pPr>
      <w:r>
        <w:rPr>
          <w:b/>
          <w:color w:val="B42318"/>
        </w:rPr>
        <w:t xml:space="preserve">Watch point  </w:t>
      </w:r>
      <w:r>
        <w:t>Formulation, route, absorption, immunogenicity, and systemic safety remain uncertain.</w:t>
      </w:r>
    </w:p>
    <w:p>
      <w:pPr>
        <w:pStyle w:val="Heading2"/>
        <w:spacing w:before="180" w:after="80"/>
        <w:shd w:fill="E7F5F3"/>
      </w:pPr>
      <w:r>
        <w:t>GHK Cu</w:t>
      </w:r>
    </w:p>
    <w:p>
      <w:r>
        <w:rPr>
          <w:b/>
          <w:color w:val="115E59"/>
        </w:rPr>
        <w:t xml:space="preserve">What it is  </w:t>
      </w:r>
      <w:r>
        <w:t>A naturally occurring copper-binding peptide studied in skin biology, wound signaling, and cosmetic formulations.</w:t>
      </w:r>
    </w:p>
    <w:p>
      <w:r>
        <w:rPr>
          <w:b/>
          <w:color w:val="115E59"/>
        </w:rPr>
        <w:t xml:space="preserve">Evidence  </w:t>
      </w:r>
      <w:r>
        <w:t>Level C/D depending on formulation and endpoint. Topical cosmetic data are more relevant than injectable claims.</w:t>
      </w:r>
    </w:p>
    <w:p>
      <w:r>
        <w:rPr>
          <w:b/>
          <w:color w:val="115E59"/>
        </w:rPr>
        <w:t xml:space="preserve">Dose context  </w:t>
      </w:r>
      <w:r>
        <w:t>No established injectable human dose. The archive's 1 mg daily value should not be converted into an administration recommendation. Use finished topical products according to their label.</w:t>
      </w:r>
    </w:p>
    <w:p>
      <w:pPr>
        <w:pStyle w:val="Small"/>
      </w:pPr>
      <w:r>
        <w:rPr>
          <w:b/>
          <w:color w:val="B42318"/>
        </w:rPr>
        <w:t xml:space="preserve">Watch point  </w:t>
      </w:r>
      <w:r>
        <w:t>Copper exposure, skin irritation, formulation quality, and route matter. Injectable GHK-Cu has limited human safety data.</w:t>
      </w:r>
    </w:p>
    <w:p>
      <w:pPr>
        <w:pStyle w:val="Heading2"/>
        <w:spacing w:before="180" w:after="80"/>
        <w:shd w:fill="E7F5F3"/>
      </w:pPr>
      <w:r>
        <w:t>LL-37</w:t>
      </w:r>
    </w:p>
    <w:p>
      <w:r>
        <w:rPr>
          <w:b/>
          <w:color w:val="115E59"/>
        </w:rPr>
        <w:t xml:space="preserve">What it is  </w:t>
      </w:r>
      <w:r>
        <w:t>A human innate-immune antimicrobial peptide studied in host defense, inflammation, and wound biology.</w:t>
      </w:r>
    </w:p>
    <w:p>
      <w:r>
        <w:rPr>
          <w:b/>
          <w:color w:val="115E59"/>
        </w:rPr>
        <w:t xml:space="preserve">Evidence  </w:t>
      </w:r>
      <w:r>
        <w:t>Level D for most marketed uses. Mechanistic interest does not establish a safe anti-infective or repair treatment.</w:t>
      </w:r>
    </w:p>
    <w:p>
      <w:r>
        <w:rPr>
          <w:b/>
          <w:color w:val="115E59"/>
        </w:rPr>
        <w:t xml:space="preserve">Dose context  </w:t>
      </w:r>
      <w:r>
        <w:t>No established human dose. Archive values near 200 mcg are not validated clinical regimens.</w:t>
      </w:r>
    </w:p>
    <w:p>
      <w:pPr>
        <w:pStyle w:val="Small"/>
      </w:pPr>
      <w:r>
        <w:rPr>
          <w:b/>
          <w:color w:val="B42318"/>
        </w:rPr>
        <w:t xml:space="preserve">Watch point  </w:t>
      </w:r>
      <w:r>
        <w:t>FDA has cited insufficient safety information, immunogenicity concerns, and nonclinical reproductive or pro-tumor signals that require caution.</w:t>
      </w:r>
    </w:p>
    <w:p>
      <w:pPr>
        <w:pStyle w:val="Heading2"/>
        <w:spacing w:before="180" w:after="80"/>
        <w:shd w:fill="E7F5F3"/>
      </w:pPr>
      <w:r>
        <w:t>ARA-290 / Cibinetide</w:t>
      </w:r>
    </w:p>
    <w:p>
      <w:r>
        <w:rPr>
          <w:b/>
          <w:color w:val="115E59"/>
        </w:rPr>
        <w:t xml:space="preserve">What it is  </w:t>
      </w:r>
      <w:r>
        <w:t>A non-erythropoietic peptide derived from erythropoietin signaling and studied for tissue protection and neuropathic symptoms.</w:t>
      </w:r>
    </w:p>
    <w:p>
      <w:r>
        <w:rPr>
          <w:b/>
          <w:color w:val="115E59"/>
        </w:rPr>
        <w:t xml:space="preserve">Evidence  </w:t>
      </w:r>
      <w:r>
        <w:t>Level B/C in small indication-specific trials. It remains investigational and results cannot be generalized to recovery or wellness.</w:t>
      </w:r>
    </w:p>
    <w:p>
      <w:r>
        <w:rPr>
          <w:b/>
          <w:color w:val="115E59"/>
        </w:rPr>
        <w:t xml:space="preserve">Dose context  </w:t>
      </w:r>
      <w:r>
        <w:t>No approved general-use dose; study exposures vary by disease and protocol.</w:t>
      </w:r>
    </w:p>
    <w:p>
      <w:pPr>
        <w:pStyle w:val="Small"/>
      </w:pPr>
      <w:r>
        <w:rPr>
          <w:b/>
          <w:color w:val="B42318"/>
        </w:rPr>
        <w:t xml:space="preserve">Watch point  </w:t>
      </w:r>
      <w:r>
        <w:t>Long-term safety, benefit durability, formulation equivalence, and interactions remain uncertain.</w:t>
      </w:r>
    </w:p>
    <w:p>
      <w:pPr>
        <w:pStyle w:val="Heading2"/>
      </w:pPr>
      <w:r>
        <w:t>Common repair blend names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trPr>
        <w:tc>
          <w:tcPr>
            <w:tcW w:type="dxa" w:w="1728"/>
            <w:shd w:fill="115E59"/>
            <w:tcMar>
              <w:top w:w="90" w:type="dxa"/>
              <w:start w:w="110" w:type="dxa"/>
              <w:bottom w:w="90" w:type="dxa"/>
              <w:end w:w="110" w:type="dxa"/>
            </w:tcMar>
            <w:vAlign w:val="center"/>
          </w:tcPr>
          <w:p>
            <w:pPr>
              <w:jc w:val="center"/>
            </w:pPr>
            <w:r>
              <w:rPr>
                <w:b/>
                <w:color w:val="FFFFFF"/>
                <w:sz w:val="16"/>
              </w:rPr>
              <w:t>Market name</w:t>
            </w:r>
          </w:p>
        </w:tc>
        <w:tc>
          <w:tcPr>
            <w:tcW w:type="dxa" w:w="3888"/>
            <w:shd w:fill="115E59"/>
            <w:tcMar>
              <w:top w:w="90" w:type="dxa"/>
              <w:start w:w="110" w:type="dxa"/>
              <w:bottom w:w="90" w:type="dxa"/>
              <w:end w:w="110" w:type="dxa"/>
            </w:tcMar>
            <w:vAlign w:val="center"/>
          </w:tcPr>
          <w:p>
            <w:pPr>
              <w:jc w:val="center"/>
            </w:pPr>
            <w:r>
              <w:rPr>
                <w:b/>
                <w:color w:val="FFFFFF"/>
                <w:sz w:val="16"/>
              </w:rPr>
              <w:t>Usually refers to</w:t>
            </w:r>
          </w:p>
        </w:tc>
        <w:tc>
          <w:tcPr>
            <w:tcW w:type="dxa" w:w="5040"/>
            <w:shd w:fill="115E59"/>
            <w:tcMar>
              <w:top w:w="90" w:type="dxa"/>
              <w:start w:w="110" w:type="dxa"/>
              <w:bottom w:w="90" w:type="dxa"/>
              <w:end w:w="110" w:type="dxa"/>
            </w:tcMar>
            <w:vAlign w:val="center"/>
          </w:tcPr>
          <w:p>
            <w:pPr>
              <w:jc w:val="center"/>
            </w:pPr>
            <w:r>
              <w:rPr>
                <w:b/>
                <w:color w:val="FFFFFF"/>
                <w:sz w:val="16"/>
              </w:rPr>
              <w:t>Research boundary</w:t>
            </w:r>
          </w:p>
        </w:tc>
      </w:tr>
      <w:tr>
        <w:trPr>
          <w:cantSplit/>
        </w:trPr>
        <w:tc>
          <w:tcPr>
            <w:tcW w:type="dxa" w:w="1728"/>
            <w:tcMar>
              <w:top w:w="90" w:type="dxa"/>
              <w:start w:w="110" w:type="dxa"/>
              <w:bottom w:w="90" w:type="dxa"/>
              <w:end w:w="110" w:type="dxa"/>
            </w:tcMar>
            <w:vAlign w:val="center"/>
          </w:tcPr>
          <w:p>
            <w:pPr>
              <w:spacing w:after="0" w:line="240" w:lineRule="auto"/>
            </w:pPr>
            <w:r>
              <w:rPr>
                <w:sz w:val="16"/>
              </w:rPr>
              <w:t>Wolverine</w:t>
            </w:r>
          </w:p>
        </w:tc>
        <w:tc>
          <w:tcPr>
            <w:tcW w:type="dxa" w:w="3888"/>
            <w:tcMar>
              <w:top w:w="90" w:type="dxa"/>
              <w:start w:w="110" w:type="dxa"/>
              <w:bottom w:w="90" w:type="dxa"/>
              <w:end w:w="110" w:type="dxa"/>
            </w:tcMar>
            <w:vAlign w:val="center"/>
          </w:tcPr>
          <w:p>
            <w:pPr>
              <w:spacing w:after="0" w:line="240" w:lineRule="auto"/>
            </w:pPr>
            <w:r>
              <w:rPr>
                <w:sz w:val="16"/>
              </w:rPr>
              <w:t>BPC-157 + TB-500</w:t>
            </w:r>
          </w:p>
        </w:tc>
        <w:tc>
          <w:tcPr>
            <w:tcW w:type="dxa" w:w="5040"/>
            <w:tcMar>
              <w:top w:w="90" w:type="dxa"/>
              <w:start w:w="110" w:type="dxa"/>
              <w:bottom w:w="90" w:type="dxa"/>
              <w:end w:w="110" w:type="dxa"/>
            </w:tcMar>
            <w:vAlign w:val="center"/>
          </w:tcPr>
          <w:p>
            <w:pPr>
              <w:spacing w:after="0" w:line="240" w:lineRule="auto"/>
            </w:pPr>
            <w:r>
              <w:rPr>
                <w:sz w:val="16"/>
              </w:rPr>
              <w:t>Commercial nickname; no validated combined human regimen.</w:t>
            </w:r>
          </w:p>
        </w:tc>
      </w:tr>
      <w:tr>
        <w:trPr>
          <w:cantSplit/>
        </w:trPr>
        <w:tc>
          <w:tcPr>
            <w:tcW w:type="dxa" w:w="1728"/>
            <w:tcMar>
              <w:top w:w="90" w:type="dxa"/>
              <w:start w:w="110" w:type="dxa"/>
              <w:bottom w:w="90" w:type="dxa"/>
              <w:end w:w="110" w:type="dxa"/>
            </w:tcMar>
            <w:shd w:fill="F7F8FA"/>
            <w:vAlign w:val="center"/>
          </w:tcPr>
          <w:p>
            <w:pPr>
              <w:spacing w:after="0" w:line="240" w:lineRule="auto"/>
            </w:pPr>
            <w:r>
              <w:rPr>
                <w:sz w:val="16"/>
              </w:rPr>
              <w:t>GLOW</w:t>
            </w:r>
          </w:p>
        </w:tc>
        <w:tc>
          <w:tcPr>
            <w:tcW w:type="dxa" w:w="3888"/>
            <w:tcMar>
              <w:top w:w="90" w:type="dxa"/>
              <w:start w:w="110" w:type="dxa"/>
              <w:bottom w:w="90" w:type="dxa"/>
              <w:end w:w="110" w:type="dxa"/>
            </w:tcMar>
            <w:shd w:fill="F7F8FA"/>
            <w:vAlign w:val="center"/>
          </w:tcPr>
          <w:p>
            <w:pPr>
              <w:spacing w:after="0" w:line="240" w:lineRule="auto"/>
            </w:pPr>
            <w:r>
              <w:rPr>
                <w:sz w:val="16"/>
              </w:rPr>
              <w:t>Often GHK-Cu + BPC-157 + TB-500</w:t>
            </w:r>
          </w:p>
        </w:tc>
        <w:tc>
          <w:tcPr>
            <w:tcW w:type="dxa" w:w="5040"/>
            <w:tcMar>
              <w:top w:w="90" w:type="dxa"/>
              <w:start w:w="110" w:type="dxa"/>
              <w:bottom w:w="90" w:type="dxa"/>
              <w:end w:w="110" w:type="dxa"/>
            </w:tcMar>
            <w:shd w:fill="F7F8FA"/>
            <w:vAlign w:val="center"/>
          </w:tcPr>
          <w:p>
            <w:pPr>
              <w:spacing w:after="0" w:line="240" w:lineRule="auto"/>
            </w:pPr>
            <w:r>
              <w:rPr>
                <w:sz w:val="16"/>
              </w:rPr>
              <w:t>Composition varies by seller; evidence for the blend is not established.</w:t>
            </w:r>
          </w:p>
        </w:tc>
      </w:tr>
      <w:tr>
        <w:trPr>
          <w:cantSplit/>
        </w:trPr>
        <w:tc>
          <w:tcPr>
            <w:tcW w:type="dxa" w:w="1728"/>
            <w:tcMar>
              <w:top w:w="90" w:type="dxa"/>
              <w:start w:w="110" w:type="dxa"/>
              <w:bottom w:w="90" w:type="dxa"/>
              <w:end w:w="110" w:type="dxa"/>
            </w:tcMar>
            <w:vAlign w:val="center"/>
          </w:tcPr>
          <w:p>
            <w:pPr>
              <w:spacing w:after="0" w:line="240" w:lineRule="auto"/>
            </w:pPr>
            <w:r>
              <w:rPr>
                <w:sz w:val="16"/>
              </w:rPr>
              <w:t>KLOW</w:t>
            </w:r>
          </w:p>
        </w:tc>
        <w:tc>
          <w:tcPr>
            <w:tcW w:type="dxa" w:w="3888"/>
            <w:tcMar>
              <w:top w:w="90" w:type="dxa"/>
              <w:start w:w="110" w:type="dxa"/>
              <w:bottom w:w="90" w:type="dxa"/>
              <w:end w:w="110" w:type="dxa"/>
            </w:tcMar>
            <w:vAlign w:val="center"/>
          </w:tcPr>
          <w:p>
            <w:pPr>
              <w:spacing w:after="0" w:line="240" w:lineRule="auto"/>
            </w:pPr>
            <w:r>
              <w:rPr>
                <w:sz w:val="16"/>
              </w:rPr>
              <w:t>Often GHK-Cu + KPV + TB-500 + BPC-157</w:t>
            </w:r>
          </w:p>
        </w:tc>
        <w:tc>
          <w:tcPr>
            <w:tcW w:type="dxa" w:w="5040"/>
            <w:tcMar>
              <w:top w:w="90" w:type="dxa"/>
              <w:start w:w="110" w:type="dxa"/>
              <w:bottom w:w="90" w:type="dxa"/>
              <w:end w:w="110" w:type="dxa"/>
            </w:tcMar>
            <w:vAlign w:val="center"/>
          </w:tcPr>
          <w:p>
            <w:pPr>
              <w:spacing w:after="0" w:line="240" w:lineRule="auto"/>
            </w:pPr>
            <w:r>
              <w:rPr>
                <w:sz w:val="16"/>
              </w:rPr>
              <w:t>Not a standardized drug or research formulation; combined risks are unknown.</w:t>
            </w:r>
          </w:p>
        </w:tc>
      </w:tr>
    </w:tbl>
    <w:p>
      <w:pPr>
        <w:spacing w:after="20"/>
      </w:pPr>
    </w:p>
    <w:p>
      <w:r>
        <w:br w:type="page"/>
      </w:r>
    </w:p>
    <w:p>
      <w:bookmarkStart w:id="4" w:name="brain"/>
      <w:pPr>
        <w:pStyle w:val="Heading1"/>
        <w:spacing w:before="240" w:after="160"/>
        <w:ind w:left="0" w:right="0"/>
        <w:shd w:fill="115E59"/>
        <w:spacing w:before="150" w:after="150"/>
      </w:pPr>
      <w:r>
        <w:rPr>
          <w:color w:val="FFFFFF"/>
        </w:rPr>
        <w:t>4 Brain, mood and sleep</w:t>
      </w:r>
      <w:bookmarkEnd w:id="4"/>
    </w:p>
    <w:p>
      <w:r>
        <w:t>Neurologic claims demand a high evidence bar. A compound may have regional use or mechanistic studies without having reliable evidence for routine cognitive enhancement.</w:t>
      </w:r>
    </w:p>
    <w:p>
      <w:pPr>
        <w:pStyle w:val="Heading2"/>
        <w:spacing w:before="180" w:after="80"/>
        <w:shd w:fill="E7F5F3"/>
      </w:pPr>
      <w:r>
        <w:t>Semax</w:t>
      </w:r>
    </w:p>
    <w:p>
      <w:r>
        <w:rPr>
          <w:b/>
          <w:color w:val="115E59"/>
        </w:rPr>
        <w:t xml:space="preserve">What it is  </w:t>
      </w:r>
      <w:r>
        <w:t>A synthetic ACTH-derived peptide studied mainly in Russia and Eastern Europe.</w:t>
      </w:r>
    </w:p>
    <w:p>
      <w:r>
        <w:rPr>
          <w:b/>
          <w:color w:val="115E59"/>
        </w:rPr>
        <w:t xml:space="preserve">Evidence  </w:t>
      </w:r>
      <w:r>
        <w:t>Level C. Some human studies exist in neurologic settings, but evidence quality, generalizability, and product standardization limit conclusions for cognitive enhancement.</w:t>
      </w:r>
    </w:p>
    <w:p>
      <w:r>
        <w:rPr>
          <w:b/>
          <w:color w:val="115E59"/>
        </w:rPr>
        <w:t xml:space="preserve">Dose context  </w:t>
      </w:r>
      <w:r>
        <w:t>No FDA-approved product or established U.S. dose. The archive lists 600 mcg 2-3 times daily; treat that as unvalidated reference data.</w:t>
      </w:r>
    </w:p>
    <w:p>
      <w:pPr>
        <w:pStyle w:val="Small"/>
      </w:pPr>
      <w:r>
        <w:rPr>
          <w:b/>
          <w:color w:val="B42318"/>
        </w:rPr>
        <w:t xml:space="preserve">Watch point  </w:t>
      </w:r>
      <w:r>
        <w:t>FDA identifies immunogenicity and peptide-quality concerns and lacks important safety information for human use.</w:t>
      </w:r>
    </w:p>
    <w:p>
      <w:pPr>
        <w:pStyle w:val="Heading2"/>
        <w:spacing w:before="180" w:after="80"/>
        <w:shd w:fill="E7F5F3"/>
      </w:pPr>
      <w:r>
        <w:t>Selank</w:t>
      </w:r>
    </w:p>
    <w:p>
      <w:r>
        <w:rPr>
          <w:b/>
          <w:color w:val="115E59"/>
        </w:rPr>
        <w:t xml:space="preserve">What it is  </w:t>
      </w:r>
      <w:r>
        <w:t>A synthetic tuftsin-related peptide studied for anxiolytic and neuroimmune effects.</w:t>
      </w:r>
    </w:p>
    <w:p>
      <w:r>
        <w:rPr>
          <w:b/>
          <w:color w:val="115E59"/>
        </w:rPr>
        <w:t xml:space="preserve">Evidence  </w:t>
      </w:r>
      <w:r>
        <w:t>Level C/D. Small studies and regional literature exist; robust, independently replicated evidence is limited.</w:t>
      </w:r>
    </w:p>
    <w:p>
      <w:r>
        <w:rPr>
          <w:b/>
          <w:color w:val="115E59"/>
        </w:rPr>
        <w:t xml:space="preserve">Dose context  </w:t>
      </w:r>
      <w:r>
        <w:t>No FDA-approved product or established U.S. dose. The archive lists 300 mcg 2-3 times daily; this is not clinical guidance.</w:t>
      </w:r>
    </w:p>
    <w:p>
      <w:pPr>
        <w:pStyle w:val="Small"/>
      </w:pPr>
      <w:r>
        <w:rPr>
          <w:b/>
          <w:color w:val="B42318"/>
        </w:rPr>
        <w:t xml:space="preserve">Watch point  </w:t>
      </w:r>
      <w:r>
        <w:t>Long-term safety, interactions, formulation consistency, and effects in psychiatric conditions are not well defined.</w:t>
      </w:r>
    </w:p>
    <w:p>
      <w:pPr>
        <w:pStyle w:val="Heading2"/>
        <w:spacing w:before="180" w:after="80"/>
        <w:shd w:fill="E7F5F3"/>
      </w:pPr>
      <w:r>
        <w:t>DSIP</w:t>
      </w:r>
    </w:p>
    <w:p>
      <w:r>
        <w:rPr>
          <w:b/>
          <w:color w:val="115E59"/>
        </w:rPr>
        <w:t xml:space="preserve">What it is  </w:t>
      </w:r>
      <w:r>
        <w:t>A peptide associated with sleep research and neuroendocrine hypotheses.</w:t>
      </w:r>
    </w:p>
    <w:p>
      <w:r>
        <w:rPr>
          <w:b/>
          <w:color w:val="115E59"/>
        </w:rPr>
        <w:t xml:space="preserve">Evidence  </w:t>
      </w:r>
      <w:r>
        <w:t>Level D/E. Human findings are sparse and inconsistent; marketed sleep claims exceed the evidence.</w:t>
      </w:r>
    </w:p>
    <w:p>
      <w:r>
        <w:rPr>
          <w:b/>
          <w:color w:val="115E59"/>
        </w:rPr>
        <w:t xml:space="preserve">Dose context  </w:t>
      </w:r>
      <w:r>
        <w:t>No established human dose. The archive's 500 mcg daily entry is a reference value, not a validated sleep treatment regimen.</w:t>
      </w:r>
    </w:p>
    <w:p>
      <w:pPr>
        <w:pStyle w:val="Small"/>
      </w:pPr>
      <w:r>
        <w:rPr>
          <w:b/>
          <w:color w:val="B42318"/>
        </w:rPr>
        <w:t xml:space="preserve">Watch point  </w:t>
      </w:r>
      <w:r>
        <w:t>Unknown efficacy, product identity, and interaction risk; persistent insomnia warrants clinical evaluation.</w:t>
      </w:r>
    </w:p>
    <w:p>
      <w:pPr>
        <w:pStyle w:val="Heading2"/>
        <w:spacing w:before="180" w:after="80"/>
        <w:shd w:fill="E7F5F3"/>
      </w:pPr>
      <w:r>
        <w:t>Dihexa</w:t>
      </w:r>
    </w:p>
    <w:p>
      <w:r>
        <w:rPr>
          <w:b/>
          <w:color w:val="115E59"/>
        </w:rPr>
        <w:t xml:space="preserve">What it is  </w:t>
      </w:r>
      <w:r>
        <w:t>A synthetic research compound related to angiotensin-IV signaling and promoted for synaptogenesis and cognition.</w:t>
      </w:r>
    </w:p>
    <w:p>
      <w:r>
        <w:rPr>
          <w:b/>
          <w:color w:val="115E59"/>
        </w:rPr>
        <w:t xml:space="preserve">Evidence  </w:t>
      </w:r>
      <w:r>
        <w:t>Level D. The rationale is preclinical; reliable human efficacy and safety trials are absent.</w:t>
      </w:r>
    </w:p>
    <w:p>
      <w:r>
        <w:rPr>
          <w:b/>
          <w:color w:val="115E59"/>
        </w:rPr>
        <w:t xml:space="preserve">Dose context  </w:t>
      </w:r>
      <w:r>
        <w:t>No established human dose.</w:t>
      </w:r>
    </w:p>
    <w:p>
      <w:pPr>
        <w:pStyle w:val="Small"/>
      </w:pPr>
      <w:r>
        <w:rPr>
          <w:b/>
          <w:color w:val="B42318"/>
        </w:rPr>
        <w:t xml:space="preserve">Watch point  </w:t>
      </w:r>
      <w:r>
        <w:t>Unknown neurologic and systemic safety, plus theoretical concern around growth-factor signaling.</w:t>
      </w:r>
    </w:p>
    <w:p>
      <w:pPr>
        <w:pStyle w:val="Heading2"/>
        <w:spacing w:before="180" w:after="80"/>
        <w:shd w:fill="E7F5F3"/>
      </w:pPr>
      <w:r>
        <w:t>P21</w:t>
      </w:r>
    </w:p>
    <w:p>
      <w:r>
        <w:rPr>
          <w:b/>
          <w:color w:val="115E59"/>
        </w:rPr>
        <w:t xml:space="preserve">What it is  </w:t>
      </w:r>
      <w:r>
        <w:t>A research peptide fragment promoted for neurotrophic and cognitive effects.</w:t>
      </w:r>
    </w:p>
    <w:p>
      <w:r>
        <w:rPr>
          <w:b/>
          <w:color w:val="115E59"/>
        </w:rPr>
        <w:t xml:space="preserve">Evidence  </w:t>
      </w:r>
      <w:r>
        <w:t>Level D/E. Public evidence is sparse and does not support routine human use.</w:t>
      </w:r>
    </w:p>
    <w:p>
      <w:r>
        <w:rPr>
          <w:b/>
          <w:color w:val="115E59"/>
        </w:rPr>
        <w:t xml:space="preserve">Dose context  </w:t>
      </w:r>
      <w:r>
        <w:t>No established human dose.</w:t>
      </w:r>
    </w:p>
    <w:p>
      <w:pPr>
        <w:pStyle w:val="Small"/>
      </w:pPr>
      <w:r>
        <w:rPr>
          <w:b/>
          <w:color w:val="B42318"/>
        </w:rPr>
        <w:t xml:space="preserve">Watch point  </w:t>
      </w:r>
      <w:r>
        <w:t>Identity, brain exposure, efficacy, immunogenicity, and long-term safety are unresolved.</w:t>
      </w:r>
    </w:p>
    <w:p>
      <w:pPr>
        <w:pStyle w:val="Heading2"/>
        <w:spacing w:before="180" w:after="80"/>
        <w:shd w:fill="E7F5F3"/>
      </w:pPr>
      <w:r>
        <w:t>Cerebrolysin</w:t>
      </w:r>
    </w:p>
    <w:p>
      <w:r>
        <w:rPr>
          <w:b/>
          <w:color w:val="115E59"/>
        </w:rPr>
        <w:t xml:space="preserve">What it is  </w:t>
      </w:r>
      <w:r>
        <w:t>A mixture of low-molecular-weight peptides and amino acids studied in stroke, traumatic brain injury, and dementia.</w:t>
      </w:r>
    </w:p>
    <w:p>
      <w:r>
        <w:rPr>
          <w:b/>
          <w:color w:val="115E59"/>
        </w:rPr>
        <w:t xml:space="preserve">Evidence  </w:t>
      </w:r>
      <w:r>
        <w:t>Level B/C. Human trials and regional clinical use exist, but findings differ by indication and do not establish use as a general nootropic.</w:t>
      </w:r>
    </w:p>
    <w:p>
      <w:r>
        <w:rPr>
          <w:b/>
          <w:color w:val="115E59"/>
        </w:rPr>
        <w:t xml:space="preserve">Dose context  </w:t>
      </w:r>
      <w:r>
        <w:t>No general wellness regimen. Clinical studies use indication-specific intravenous or intramuscular courses under medical supervision.</w:t>
      </w:r>
    </w:p>
    <w:p>
      <w:pPr>
        <w:pStyle w:val="Small"/>
      </w:pPr>
      <w:r>
        <w:rPr>
          <w:b/>
          <w:color w:val="B42318"/>
        </w:rPr>
        <w:t xml:space="preserve">Watch point  </w:t>
      </w:r>
      <w:r>
        <w:t>Allergy, agitation, seizure considerations, product-specific administration, and uncertain relevance to healthy people.</w:t>
      </w:r>
    </w:p>
    <w:p>
      <w:pPr>
        <w:spacing w:before="80" w:after="140"/>
        <w:ind w:left="230" w:right="230"/>
        <w:shd w:fill="E7F5F3"/>
      </w:pPr>
      <w:r>
        <w:rPr>
          <w:b/>
          <w:color w:val="115E59"/>
        </w:rPr>
        <w:t xml:space="preserve">Popular pairing: Semax + Selank. </w:t>
      </w:r>
      <w:r>
        <w:t>Research communities often describe this as a 'focus plus calm' combination. That is a marketing shorthand, not evidence for a validated combined regimen; interaction and long-term safety data are inadequate.</w:t>
      </w:r>
    </w:p>
    <w:p>
      <w:bookmarkStart w:id="5" w:name="sexual"/>
      <w:pPr>
        <w:pStyle w:val="Heading1"/>
        <w:spacing w:before="240" w:after="160"/>
        <w:ind w:left="0" w:right="0"/>
        <w:shd w:fill="115E59"/>
        <w:spacing w:before="150" w:after="150"/>
      </w:pPr>
      <w:r>
        <w:rPr>
          <w:color w:val="FFFFFF"/>
        </w:rPr>
        <w:t>5 Sexual health and aesthetics</w:t>
      </w:r>
      <w:bookmarkEnd w:id="5"/>
    </w:p>
    <w:p>
      <w:pPr>
        <w:pStyle w:val="Heading2"/>
        <w:spacing w:before="180" w:after="80"/>
        <w:shd w:fill="E7F5F3"/>
      </w:pPr>
      <w:r>
        <w:t>Bremelanotide PT-141</w:t>
      </w:r>
    </w:p>
    <w:p>
      <w:r>
        <w:rPr>
          <w:b/>
          <w:color w:val="115E59"/>
        </w:rPr>
        <w:t xml:space="preserve">What it is  </w:t>
      </w:r>
      <w:r>
        <w:t>A melanocortin receptor agonist that affects sexual desire pathways.</w:t>
      </w:r>
    </w:p>
    <w:p>
      <w:r>
        <w:rPr>
          <w:b/>
          <w:color w:val="115E59"/>
        </w:rPr>
        <w:t xml:space="preserve">Evidence  </w:t>
      </w:r>
      <w:r>
        <w:t>Level A for a specific approved bremelanotide product used for acquired, generalized HSDD in certain premenopausal women. It is not approved to enhance sexual performance or for men.</w:t>
      </w:r>
    </w:p>
    <w:p>
      <w:r>
        <w:rPr>
          <w:b/>
          <w:color w:val="115E59"/>
        </w:rPr>
        <w:t xml:space="preserve">Dose context  </w:t>
      </w:r>
      <w:r>
        <w:t>The approved bremelanotide schedule is 1.75 mg subcutaneously as needed at least 45 minutes before anticipated sexual activity; no more than one dose in 24 hours and more than eight doses per month is not recommended.</w:t>
      </w:r>
    </w:p>
    <w:p>
      <w:pPr>
        <w:pStyle w:val="Small"/>
      </w:pPr>
      <w:r>
        <w:rPr>
          <w:b/>
          <w:color w:val="B42318"/>
        </w:rPr>
        <w:t xml:space="preserve">Watch point  </w:t>
      </w:r>
      <w:r>
        <w:t>Contraindicated in uncontrolled hypertension or known cardiovascular disease. Nausea is common; blood pressure changes and focal hyperpigmentation can occur.</w:t>
      </w:r>
    </w:p>
    <w:p>
      <w:pPr>
        <w:pStyle w:val="Heading2"/>
        <w:spacing w:before="180" w:after="80"/>
        <w:shd w:fill="E7F5F3"/>
      </w:pPr>
      <w:r>
        <w:t>Kisspeptin</w:t>
      </w:r>
    </w:p>
    <w:p>
      <w:r>
        <w:rPr>
          <w:b/>
          <w:color w:val="115E59"/>
        </w:rPr>
        <w:t xml:space="preserve">What it is  </w:t>
      </w:r>
      <w:r>
        <w:t>A hypothalamic signaling peptide central to reproductive-hormone regulation.</w:t>
      </w:r>
    </w:p>
    <w:p>
      <w:r>
        <w:rPr>
          <w:b/>
          <w:color w:val="115E59"/>
        </w:rPr>
        <w:t xml:space="preserve">Evidence  </w:t>
      </w:r>
      <w:r>
        <w:t>Level B/C. Human studies examine LH, testosterone, ovulation, and assisted reproduction, but protocols are indication-specific and experimental.</w:t>
      </w:r>
    </w:p>
    <w:p>
      <w:r>
        <w:rPr>
          <w:b/>
          <w:color w:val="115E59"/>
        </w:rPr>
        <w:t xml:space="preserve">Dose context  </w:t>
      </w:r>
      <w:r>
        <w:t>No general wellness dose. Study regimens vary by analog, route, sex, fertility context, and endpoint; archive values should not be generalized.</w:t>
      </w:r>
    </w:p>
    <w:p>
      <w:pPr>
        <w:pStyle w:val="Small"/>
      </w:pPr>
      <w:r>
        <w:rPr>
          <w:b/>
          <w:color w:val="B42318"/>
        </w:rPr>
        <w:t xml:space="preserve">Watch point  </w:t>
      </w:r>
      <w:r>
        <w:t>Can alter reproductive hormones; fertility applications require specialist oversight.</w:t>
      </w:r>
    </w:p>
    <w:p>
      <w:pPr>
        <w:pStyle w:val="Heading2"/>
        <w:spacing w:before="180" w:after="80"/>
        <w:shd w:fill="E7F5F3"/>
      </w:pPr>
      <w:r>
        <w:t>Oxytocin</w:t>
      </w:r>
    </w:p>
    <w:p>
      <w:r>
        <w:rPr>
          <w:b/>
          <w:color w:val="115E59"/>
        </w:rPr>
        <w:t xml:space="preserve">What it is  </w:t>
      </w:r>
      <w:r>
        <w:t>A peptide hormone with approved obstetric uses and investigational behavioral or sexual-health applications.</w:t>
      </w:r>
    </w:p>
    <w:p>
      <w:r>
        <w:rPr>
          <w:b/>
          <w:color w:val="115E59"/>
        </w:rPr>
        <w:t xml:space="preserve">Evidence  </w:t>
      </w:r>
      <w:r>
        <w:t>Level A for specific hospital obstetric indications; Level B/C for many intranasal wellness claims.</w:t>
      </w:r>
    </w:p>
    <w:p>
      <w:r>
        <w:rPr>
          <w:b/>
          <w:color w:val="115E59"/>
        </w:rPr>
        <w:t xml:space="preserve">Dose context  </w:t>
      </w:r>
      <w:r>
        <w:t>Do not translate obstetric dosing to wellness use. The archive's 100 mcg 'as needed' value has no general approved basis.</w:t>
      </w:r>
    </w:p>
    <w:p>
      <w:pPr>
        <w:pStyle w:val="Small"/>
      </w:pPr>
      <w:r>
        <w:rPr>
          <w:b/>
          <w:color w:val="B42318"/>
        </w:rPr>
        <w:t xml:space="preserve">Watch point  </w:t>
      </w:r>
      <w:r>
        <w:t>Route and setting radically change risk. Uterine effects, cardiovascular effects, hyponatremia, and interactions require clinical control.</w:t>
      </w:r>
    </w:p>
    <w:p>
      <w:pPr>
        <w:pStyle w:val="Heading2"/>
        <w:spacing w:before="180" w:after="80"/>
        <w:shd w:fill="E7F5F3"/>
      </w:pPr>
      <w:r>
        <w:t>Melanotan II</w:t>
      </w:r>
    </w:p>
    <w:p>
      <w:r>
        <w:rPr>
          <w:b/>
          <w:color w:val="115E59"/>
        </w:rPr>
        <w:t xml:space="preserve">What it is  </w:t>
      </w:r>
      <w:r>
        <w:t>An unapproved synthetic melanocortin analog promoted for tanning and sexual effects.</w:t>
      </w:r>
    </w:p>
    <w:p>
      <w:r>
        <w:rPr>
          <w:b/>
          <w:color w:val="115E59"/>
        </w:rPr>
        <w:t xml:space="preserve">Evidence  </w:t>
      </w:r>
      <w:r>
        <w:t>Level C/D. Limited early research does not establish safety or support commercial tanning products.</w:t>
      </w:r>
    </w:p>
    <w:p>
      <w:r>
        <w:rPr>
          <w:b/>
          <w:color w:val="115E59"/>
        </w:rPr>
        <w:t xml:space="preserve">Dose context  </w:t>
      </w:r>
      <w:r>
        <w:t>No approved or established human dose.</w:t>
      </w:r>
    </w:p>
    <w:p>
      <w:pPr>
        <w:pStyle w:val="Small"/>
      </w:pPr>
      <w:r>
        <w:rPr>
          <w:b/>
          <w:color w:val="B42318"/>
        </w:rPr>
        <w:t xml:space="preserve">Watch point  </w:t>
      </w:r>
      <w:r>
        <w:t>Nausea, flushing, blood-pressure changes, spontaneous erections or priapism, and changing pigmentation or nevi; suspicious skin changes need medical review.</w:t>
      </w:r>
    </w:p>
    <w:p>
      <w:pPr>
        <w:pStyle w:val="Heading2"/>
        <w:spacing w:before="180" w:after="80"/>
        <w:shd w:fill="E7F5F3"/>
      </w:pPr>
      <w:r>
        <w:t>Afamelanotide / Melanotan I</w:t>
      </w:r>
    </w:p>
    <w:p>
      <w:r>
        <w:rPr>
          <w:b/>
          <w:color w:val="115E59"/>
        </w:rPr>
        <w:t xml:space="preserve">What it is  </w:t>
      </w:r>
      <w:r>
        <w:t>Afamelanotide is a melanocortin analog available as a specific controlled-release implant for erythropoietic protoporphyria. 'Melanotan I' sold online is not automatically that approved product.</w:t>
      </w:r>
    </w:p>
    <w:p>
      <w:r>
        <w:rPr>
          <w:b/>
          <w:color w:val="115E59"/>
        </w:rPr>
        <w:t xml:space="preserve">Evidence  </w:t>
      </w:r>
      <w:r>
        <w:t>Level A only for the approved implant and indication; unregulated tanning formulations are not equivalent.</w:t>
      </w:r>
    </w:p>
    <w:p>
      <w:r>
        <w:rPr>
          <w:b/>
          <w:color w:val="115E59"/>
        </w:rPr>
        <w:t xml:space="preserve">Dose context  </w:t>
      </w:r>
      <w:r>
        <w:t>The approved implant schedule cannot be converted into an injection or tanning protocol.</w:t>
      </w:r>
    </w:p>
    <w:p>
      <w:pPr>
        <w:pStyle w:val="Small"/>
      </w:pPr>
      <w:r>
        <w:rPr>
          <w:b/>
          <w:color w:val="B42318"/>
        </w:rPr>
        <w:t xml:space="preserve">Watch point  </w:t>
      </w:r>
      <w:r>
        <w:t>Pigmentation changes require skin surveillance; product substitution creates major identity and exposure uncertainty.</w:t>
      </w:r>
    </w:p>
    <w:p>
      <w:pPr>
        <w:pStyle w:val="Heading2"/>
        <w:spacing w:before="180" w:after="80"/>
        <w:shd w:fill="E7F5F3"/>
      </w:pPr>
      <w:r>
        <w:t>Gonadorelin</w:t>
      </w:r>
    </w:p>
    <w:p>
      <w:r>
        <w:rPr>
          <w:b/>
          <w:color w:val="115E59"/>
        </w:rPr>
        <w:t xml:space="preserve">What it is  </w:t>
      </w:r>
      <w:r>
        <w:t>Synthetic GnRH used in diagnostic and selected reproductive settings.</w:t>
      </w:r>
    </w:p>
    <w:p>
      <w:r>
        <w:rPr>
          <w:b/>
          <w:color w:val="115E59"/>
        </w:rPr>
        <w:t xml:space="preserve">Evidence  </w:t>
      </w:r>
      <w:r>
        <w:t>Level A/B for particular diagnostic or fertility applications; not established as a general testosterone or wellness enhancer.</w:t>
      </w:r>
    </w:p>
    <w:p>
      <w:r>
        <w:rPr>
          <w:b/>
          <w:color w:val="115E59"/>
        </w:rPr>
        <w:t xml:space="preserve">Dose context  </w:t>
      </w:r>
      <w:r>
        <w:t>No universal wellness dose. Pulsatile versus continuous exposure can produce opposite endocrine effects.</w:t>
      </w:r>
    </w:p>
    <w:p>
      <w:pPr>
        <w:pStyle w:val="Small"/>
      </w:pPr>
      <w:r>
        <w:rPr>
          <w:b/>
          <w:color w:val="B42318"/>
        </w:rPr>
        <w:t xml:space="preserve">Watch point  </w:t>
      </w:r>
      <w:r>
        <w:t>Can disrupt reproductive hormones; fertility, pituitary, and sex-hormone evaluation belong with a specialist.</w:t>
      </w:r>
    </w:p>
    <w:p>
      <w:bookmarkStart w:id="6" w:name="longevity"/>
      <w:pPr>
        <w:pStyle w:val="Heading1"/>
        <w:spacing w:before="240" w:after="160"/>
        <w:ind w:left="0" w:right="0"/>
        <w:shd w:fill="115E59"/>
        <w:spacing w:before="150" w:after="150"/>
      </w:pPr>
      <w:r>
        <w:rPr>
          <w:color w:val="FFFFFF"/>
        </w:rPr>
        <w:t>6 Mitochondria and longevity</w:t>
      </w:r>
      <w:bookmarkEnd w:id="6"/>
    </w:p>
    <w:p>
      <w:r>
        <w:t>Longevity endpoints take years to prove. Short-term changes in biomarkers, mitochondrial function, or animal lifespan should not be described as demonstrated human life extension.</w:t>
      </w:r>
    </w:p>
    <w:p>
      <w:pPr>
        <w:pStyle w:val="Heading2"/>
        <w:spacing w:before="180" w:after="80"/>
        <w:shd w:fill="E7F5F3"/>
      </w:pPr>
      <w:r>
        <w:t>MOTS c</w:t>
      </w:r>
    </w:p>
    <w:p>
      <w:r>
        <w:rPr>
          <w:b/>
          <w:color w:val="115E59"/>
        </w:rPr>
        <w:t xml:space="preserve">What it is  </w:t>
      </w:r>
      <w:r>
        <w:t>A mitochondrial-derived peptide involved in metabolic signaling.</w:t>
      </w:r>
    </w:p>
    <w:p>
      <w:r>
        <w:rPr>
          <w:b/>
          <w:color w:val="115E59"/>
        </w:rPr>
        <w:t xml:space="preserve">Evidence  </w:t>
      </w:r>
      <w:r>
        <w:t>Level D with emerging translational research. FDA reports that it has not identified human exposure data for drug products containing MOTS-c.</w:t>
      </w:r>
    </w:p>
    <w:p>
      <w:r>
        <w:rPr>
          <w:b/>
          <w:color w:val="115E59"/>
        </w:rPr>
        <w:t xml:space="preserve">Dose context  </w:t>
      </w:r>
      <w:r>
        <w:t>No established human dose. The archive lists 5 mg three times weekly; that is not supported as a validated human regimen.</w:t>
      </w:r>
    </w:p>
    <w:p>
      <w:pPr>
        <w:pStyle w:val="Small"/>
      </w:pPr>
      <w:r>
        <w:rPr>
          <w:b/>
          <w:color w:val="B42318"/>
        </w:rPr>
        <w:t xml:space="preserve">Watch point  </w:t>
      </w:r>
      <w:r>
        <w:t>Unknown human safety and immunogenicity; composition and impurities are material concerns.</w:t>
      </w:r>
    </w:p>
    <w:p>
      <w:pPr>
        <w:pStyle w:val="Heading2"/>
        <w:spacing w:before="180" w:after="80"/>
        <w:shd w:fill="E7F5F3"/>
      </w:pPr>
      <w:r>
        <w:t>SS 31 Elamipretide</w:t>
      </w:r>
    </w:p>
    <w:p>
      <w:r>
        <w:rPr>
          <w:b/>
          <w:color w:val="115E59"/>
        </w:rPr>
        <w:t xml:space="preserve">What it is  </w:t>
      </w:r>
      <w:r>
        <w:t>A mitochondria-targeting tetrapeptide studied in mitochondrial and cardiovascular disorders.</w:t>
      </w:r>
    </w:p>
    <w:p>
      <w:r>
        <w:rPr>
          <w:b/>
          <w:color w:val="115E59"/>
        </w:rPr>
        <w:t xml:space="preserve">Evidence  </w:t>
      </w:r>
      <w:r>
        <w:t>Level B/C depending on indication. Human trials exist, but findings are disease-specific and not proof of general anti-aging benefit.</w:t>
      </w:r>
    </w:p>
    <w:p>
      <w:r>
        <w:rPr>
          <w:b/>
          <w:color w:val="115E59"/>
        </w:rPr>
        <w:t xml:space="preserve">Dose context  </w:t>
      </w:r>
      <w:r>
        <w:t>No general wellness dose. Study exposures vary by indication and protocol; the archive's 5 mg daily value is not broadly validated.</w:t>
      </w:r>
    </w:p>
    <w:p>
      <w:pPr>
        <w:pStyle w:val="Small"/>
      </w:pPr>
      <w:r>
        <w:rPr>
          <w:b/>
          <w:color w:val="B42318"/>
        </w:rPr>
        <w:t xml:space="preserve">Watch point  </w:t>
      </w:r>
      <w:r>
        <w:t>Injection-site reactions and indication-specific uncertainties; avoid extrapolating from rare-disease trials to healthy people.</w:t>
      </w:r>
    </w:p>
    <w:p>
      <w:pPr>
        <w:pStyle w:val="Heading2"/>
        <w:spacing w:before="180" w:after="80"/>
        <w:shd w:fill="E7F5F3"/>
      </w:pPr>
      <w:r>
        <w:t>NAD Plus</w:t>
      </w:r>
    </w:p>
    <w:p>
      <w:r>
        <w:rPr>
          <w:b/>
          <w:color w:val="115E59"/>
        </w:rPr>
        <w:t xml:space="preserve">What it is  </w:t>
      </w:r>
      <w:r>
        <w:t>A central cellular redox cofactor; products may contain NAD+ itself or precursors such as NR or NMN.</w:t>
      </w:r>
    </w:p>
    <w:p>
      <w:r>
        <w:rPr>
          <w:b/>
          <w:color w:val="115E59"/>
        </w:rPr>
        <w:t xml:space="preserve">Evidence  </w:t>
      </w:r>
      <w:r>
        <w:t>Level B/C for selected biomarkers and precursor studies; evidence for broad anti-aging outcomes remains incomplete.</w:t>
      </w:r>
    </w:p>
    <w:p>
      <w:r>
        <w:rPr>
          <w:b/>
          <w:color w:val="115E59"/>
        </w:rPr>
        <w:t xml:space="preserve">Dose context  </w:t>
      </w:r>
      <w:r>
        <w:t>No universal peptide-like dose exists. Oral precursors, IV NAD+, and laboratory NAD+ are different products. The archive's 50 mg twice-weekly value should not be generalized.</w:t>
      </w:r>
    </w:p>
    <w:p>
      <w:pPr>
        <w:pStyle w:val="Small"/>
      </w:pPr>
      <w:r>
        <w:rPr>
          <w:b/>
          <w:color w:val="B42318"/>
        </w:rPr>
        <w:t xml:space="preserve">Watch point  </w:t>
      </w:r>
      <w:r>
        <w:t>Product form, route, purity, kidney/liver status, and drug interactions matter; IV wellness protocols lack standardized evidence.</w:t>
      </w:r>
    </w:p>
    <w:p>
      <w:pPr>
        <w:pStyle w:val="Heading2"/>
        <w:spacing w:before="180" w:after="80"/>
        <w:shd w:fill="E7F5F3"/>
      </w:pPr>
      <w:r>
        <w:t>Thymosin Alpha 1</w:t>
      </w:r>
    </w:p>
    <w:p>
      <w:r>
        <w:rPr>
          <w:b/>
          <w:color w:val="115E59"/>
        </w:rPr>
        <w:t xml:space="preserve">What it is  </w:t>
      </w:r>
      <w:r>
        <w:t>An immune-modulating peptide used as a drug in some countries and studied across infectious disease and immune settings.</w:t>
      </w:r>
    </w:p>
    <w:p>
      <w:r>
        <w:rPr>
          <w:b/>
          <w:color w:val="115E59"/>
        </w:rPr>
        <w:t xml:space="preserve">Evidence  </w:t>
      </w:r>
      <w:r>
        <w:t>Level B/C in indication-specific human studies; approval and standard of care vary by country.</w:t>
      </w:r>
    </w:p>
    <w:p>
      <w:r>
        <w:rPr>
          <w:b/>
          <w:color w:val="115E59"/>
        </w:rPr>
        <w:t xml:space="preserve">Dose context  </w:t>
      </w:r>
      <w:r>
        <w:t>No general U.S. wellness dose. The archive's 1.6 mg daily entry should not be treated as a universal regimen; trials often use different schedules by disease.</w:t>
      </w:r>
    </w:p>
    <w:p>
      <w:pPr>
        <w:pStyle w:val="Small"/>
      </w:pPr>
      <w:r>
        <w:rPr>
          <w:b/>
          <w:color w:val="B42318"/>
        </w:rPr>
        <w:t xml:space="preserve">Watch point  </w:t>
      </w:r>
      <w:r>
        <w:t>Immune modulation can be inappropriate in autoimmune disease, transplantation, cancer therapy, or with immunosuppressants without specialist input.</w:t>
      </w:r>
    </w:p>
    <w:p>
      <w:pPr>
        <w:pStyle w:val="Heading2"/>
        <w:spacing w:before="180" w:after="80"/>
        <w:shd w:fill="E7F5F3"/>
      </w:pPr>
      <w:r>
        <w:t>Humanin</w:t>
      </w:r>
    </w:p>
    <w:p>
      <w:r>
        <w:rPr>
          <w:b/>
          <w:color w:val="115E59"/>
        </w:rPr>
        <w:t xml:space="preserve">What it is  </w:t>
      </w:r>
      <w:r>
        <w:t>A mitochondrial-derived peptide investigated for cytoprotective and metabolic signaling.</w:t>
      </w:r>
    </w:p>
    <w:p>
      <w:r>
        <w:rPr>
          <w:b/>
          <w:color w:val="115E59"/>
        </w:rPr>
        <w:t xml:space="preserve">Evidence  </w:t>
      </w:r>
      <w:r>
        <w:t>Level D for longevity or wellness claims. Most evidence is cellular or animal research.</w:t>
      </w:r>
    </w:p>
    <w:p>
      <w:r>
        <w:rPr>
          <w:b/>
          <w:color w:val="115E59"/>
        </w:rPr>
        <w:t xml:space="preserve">Dose context  </w:t>
      </w:r>
      <w:r>
        <w:t>No established human dose. Archive values such as 1 mg are not validated clinical regimens.</w:t>
      </w:r>
    </w:p>
    <w:p>
      <w:pPr>
        <w:pStyle w:val="Small"/>
      </w:pPr>
      <w:r>
        <w:rPr>
          <w:b/>
          <w:color w:val="B42318"/>
        </w:rPr>
        <w:t xml:space="preserve">Watch point  </w:t>
      </w:r>
      <w:r>
        <w:t>Unknown pharmacokinetics, immunogenicity, long-term effects, and relevance of animal findings to human aging.</w:t>
      </w:r>
    </w:p>
    <w:p>
      <w:pPr>
        <w:pStyle w:val="Heading2"/>
        <w:spacing w:before="180" w:after="80"/>
        <w:shd w:fill="E7F5F3"/>
      </w:pPr>
      <w:r>
        <w:t>Epitalon / Epithalon</w:t>
      </w:r>
    </w:p>
    <w:p>
      <w:r>
        <w:rPr>
          <w:b/>
          <w:color w:val="115E59"/>
        </w:rPr>
        <w:t xml:space="preserve">What it is  </w:t>
      </w:r>
      <w:r>
        <w:t>A synthetic tetrapeptide associated with pineal and aging research.</w:t>
      </w:r>
    </w:p>
    <w:p>
      <w:r>
        <w:rPr>
          <w:b/>
          <w:color w:val="115E59"/>
        </w:rPr>
        <w:t xml:space="preserve">Evidence  </w:t>
      </w:r>
      <w:r>
        <w:t>Level C/D. Small regional studies and preclinical findings do not establish human life extension or a broadly accepted clinical use.</w:t>
      </w:r>
    </w:p>
    <w:p>
      <w:r>
        <w:rPr>
          <w:b/>
          <w:color w:val="115E59"/>
        </w:rPr>
        <w:t xml:space="preserve">Dose context  </w:t>
      </w:r>
      <w:r>
        <w:t>No established U.S. dose. Archive values such as 5 mg are unvalidated.</w:t>
      </w:r>
    </w:p>
    <w:p>
      <w:pPr>
        <w:pStyle w:val="Small"/>
      </w:pPr>
      <w:r>
        <w:rPr>
          <w:b/>
          <w:color w:val="B42318"/>
        </w:rPr>
        <w:t xml:space="preserve">Watch point  </w:t>
      </w:r>
      <w:r>
        <w:t>Limited independent replication, uncertain formulations, and insufficient long-term cancer and endocrine safety data.</w:t>
      </w:r>
    </w:p>
    <w:p>
      <w:pPr>
        <w:pStyle w:val="Heading2"/>
        <w:spacing w:before="180" w:after="80"/>
        <w:shd w:fill="E7F5F3"/>
      </w:pPr>
      <w:r>
        <w:t>Thymalin</w:t>
      </w:r>
    </w:p>
    <w:p>
      <w:r>
        <w:rPr>
          <w:b/>
          <w:color w:val="115E59"/>
        </w:rPr>
        <w:t xml:space="preserve">What it is  </w:t>
      </w:r>
      <w:r>
        <w:t>A thymic peptide extract or peptide mixture studied mainly in regional immune and aging literature.</w:t>
      </w:r>
    </w:p>
    <w:p>
      <w:r>
        <w:rPr>
          <w:b/>
          <w:color w:val="115E59"/>
        </w:rPr>
        <w:t xml:space="preserve">Evidence  </w:t>
      </w:r>
      <w:r>
        <w:t>Level C/D. Heterogeneous preparations and studies limit general conclusions.</w:t>
      </w:r>
    </w:p>
    <w:p>
      <w:r>
        <w:rPr>
          <w:b/>
          <w:color w:val="115E59"/>
        </w:rPr>
        <w:t xml:space="preserve">Dose context  </w:t>
      </w:r>
      <w:r>
        <w:t>No established U.S. wellness dose.</w:t>
      </w:r>
    </w:p>
    <w:p>
      <w:pPr>
        <w:pStyle w:val="Small"/>
      </w:pPr>
      <w:r>
        <w:rPr>
          <w:b/>
          <w:color w:val="B42318"/>
        </w:rPr>
        <w:t xml:space="preserve">Watch point  </w:t>
      </w:r>
      <w:r>
        <w:t>Product composition may vary; immune effects and interactions are not adequately characterized.</w:t>
      </w:r>
    </w:p>
    <w:p>
      <w:bookmarkStart w:id="7" w:name="sarms"/>
      <w:pPr>
        <w:pStyle w:val="Heading1"/>
        <w:spacing w:before="240" w:after="160"/>
        <w:ind w:left="0" w:right="0"/>
        <w:shd w:fill="115E59"/>
        <w:spacing w:before="150" w:after="150"/>
      </w:pPr>
      <w:r>
        <w:rPr>
          <w:color w:val="FFFFFF"/>
        </w:rPr>
        <w:t>7 SARMs and adjacent performance compounds</w:t>
      </w:r>
      <w:bookmarkEnd w:id="7"/>
    </w:p>
    <w:p>
      <w:r>
        <w:t>Selective androgen receptor modulators are unapproved drugs, not dietary supplements. The FDA warns that products sold as SARMs can cause serious harms, and several compounds marketed alongside them are not SARMs at all.</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trPr>
        <w:tc>
          <w:tcPr>
            <w:tcW w:type="dxa" w:w="2592"/>
            <w:shd w:fill="115E59"/>
            <w:tcMar>
              <w:top w:w="90" w:type="dxa"/>
              <w:start w:w="110" w:type="dxa"/>
              <w:bottom w:w="90" w:type="dxa"/>
              <w:end w:w="110" w:type="dxa"/>
            </w:tcMar>
            <w:vAlign w:val="center"/>
          </w:tcPr>
          <w:p>
            <w:pPr>
              <w:jc w:val="center"/>
            </w:pPr>
            <w:r>
              <w:rPr>
                <w:b/>
                <w:color w:val="FFFFFF"/>
                <w:sz w:val="16"/>
              </w:rPr>
              <w:t>Compound</w:t>
            </w:r>
          </w:p>
        </w:tc>
        <w:tc>
          <w:tcPr>
            <w:tcW w:type="dxa" w:w="4680"/>
            <w:shd w:fill="115E59"/>
            <w:tcMar>
              <w:top w:w="90" w:type="dxa"/>
              <w:start w:w="110" w:type="dxa"/>
              <w:bottom w:w="90" w:type="dxa"/>
              <w:end w:w="110" w:type="dxa"/>
            </w:tcMar>
            <w:vAlign w:val="center"/>
          </w:tcPr>
          <w:p>
            <w:pPr>
              <w:jc w:val="center"/>
            </w:pPr>
            <w:r>
              <w:rPr>
                <w:b/>
                <w:color w:val="FFFFFF"/>
                <w:sz w:val="16"/>
              </w:rPr>
              <w:t>What human research shows</w:t>
            </w:r>
          </w:p>
        </w:tc>
        <w:tc>
          <w:tcPr>
            <w:tcW w:type="dxa" w:w="3960"/>
            <w:shd w:fill="115E59"/>
            <w:tcMar>
              <w:top w:w="90" w:type="dxa"/>
              <w:start w:w="110" w:type="dxa"/>
              <w:bottom w:w="90" w:type="dxa"/>
              <w:end w:w="110" w:type="dxa"/>
            </w:tcMar>
            <w:vAlign w:val="center"/>
          </w:tcPr>
          <w:p>
            <w:pPr>
              <w:jc w:val="center"/>
            </w:pPr>
            <w:r>
              <w:rPr>
                <w:b/>
                <w:color w:val="FFFFFF"/>
                <w:sz w:val="16"/>
              </w:rPr>
              <w:t>Research takeaway</w:t>
            </w:r>
          </w:p>
        </w:tc>
      </w:tr>
      <w:tr>
        <w:trPr>
          <w:cantSplit/>
        </w:trPr>
        <w:tc>
          <w:tcPr>
            <w:tcW w:type="dxa" w:w="2592"/>
            <w:tcMar>
              <w:top w:w="90" w:type="dxa"/>
              <w:start w:w="110" w:type="dxa"/>
              <w:bottom w:w="90" w:type="dxa"/>
              <w:end w:w="110" w:type="dxa"/>
            </w:tcMar>
            <w:vAlign w:val="center"/>
          </w:tcPr>
          <w:p>
            <w:pPr>
              <w:spacing w:after="0" w:line="240" w:lineRule="auto"/>
            </w:pPr>
            <w:r>
              <w:rPr>
                <w:sz w:val="14"/>
              </w:rPr>
              <w:t>Ostarine / Enobosarm (MK-2866)</w:t>
            </w:r>
          </w:p>
        </w:tc>
        <w:tc>
          <w:tcPr>
            <w:tcW w:type="dxa" w:w="4680"/>
            <w:tcMar>
              <w:top w:w="90" w:type="dxa"/>
              <w:start w:w="110" w:type="dxa"/>
              <w:bottom w:w="90" w:type="dxa"/>
              <w:end w:w="110" w:type="dxa"/>
            </w:tcMar>
            <w:vAlign w:val="center"/>
          </w:tcPr>
          <w:p>
            <w:pPr>
              <w:spacing w:after="0" w:line="240" w:lineRule="auto"/>
            </w:pPr>
            <w:r>
              <w:rPr>
                <w:sz w:val="14"/>
              </w:rPr>
              <w:t>Phase 2 studies used 1-3 mg daily in older adults and cancer-associated muscle loss, with lean-mass endpoints.</w:t>
            </w:r>
          </w:p>
        </w:tc>
        <w:tc>
          <w:tcPr>
            <w:tcW w:type="dxa" w:w="3960"/>
            <w:tcMar>
              <w:top w:w="90" w:type="dxa"/>
              <w:start w:w="110" w:type="dxa"/>
              <w:bottom w:w="90" w:type="dxa"/>
              <w:end w:w="110" w:type="dxa"/>
            </w:tcMar>
            <w:vAlign w:val="center"/>
          </w:tcPr>
          <w:p>
            <w:pPr>
              <w:spacing w:after="0" w:line="240" w:lineRule="auto"/>
            </w:pPr>
            <w:r>
              <w:rPr>
                <w:sz w:val="14"/>
              </w:rPr>
              <w:t>Investigational and unapproved; study exposure is not a bodybuilding protocol.</w:t>
            </w:r>
          </w:p>
        </w:tc>
      </w:tr>
      <w:tr>
        <w:trPr>
          <w:cantSplit/>
        </w:trPr>
        <w:tc>
          <w:tcPr>
            <w:tcW w:type="dxa" w:w="2592"/>
            <w:tcMar>
              <w:top w:w="90" w:type="dxa"/>
              <w:start w:w="110" w:type="dxa"/>
              <w:bottom w:w="90" w:type="dxa"/>
              <w:end w:w="110" w:type="dxa"/>
            </w:tcMar>
            <w:shd w:fill="F7F8FA"/>
            <w:vAlign w:val="center"/>
          </w:tcPr>
          <w:p>
            <w:pPr>
              <w:spacing w:after="0" w:line="240" w:lineRule="auto"/>
            </w:pPr>
            <w:r>
              <w:rPr>
                <w:sz w:val="14"/>
              </w:rPr>
              <w:t>Ligandrol (LGD-4033)</w:t>
            </w:r>
          </w:p>
        </w:tc>
        <w:tc>
          <w:tcPr>
            <w:tcW w:type="dxa" w:w="4680"/>
            <w:tcMar>
              <w:top w:w="90" w:type="dxa"/>
              <w:start w:w="110" w:type="dxa"/>
              <w:bottom w:w="90" w:type="dxa"/>
              <w:end w:w="110" w:type="dxa"/>
            </w:tcMar>
            <w:shd w:fill="F7F8FA"/>
            <w:vAlign w:val="center"/>
          </w:tcPr>
          <w:p>
            <w:pPr>
              <w:spacing w:after="0" w:line="240" w:lineRule="auto"/>
            </w:pPr>
            <w:r>
              <w:rPr>
                <w:sz w:val="14"/>
              </w:rPr>
              <w:t>A 21-day trial studied 0.1, 0.3 and 1 mg daily; lean mass rose while testosterone and HDL fell dose-dependently.</w:t>
            </w:r>
          </w:p>
        </w:tc>
        <w:tc>
          <w:tcPr>
            <w:tcW w:type="dxa" w:w="3960"/>
            <w:tcMar>
              <w:top w:w="90" w:type="dxa"/>
              <w:start w:w="110" w:type="dxa"/>
              <w:bottom w:w="90" w:type="dxa"/>
              <w:end w:w="110" w:type="dxa"/>
            </w:tcMar>
            <w:shd w:fill="F7F8FA"/>
            <w:vAlign w:val="center"/>
          </w:tcPr>
          <w:p>
            <w:pPr>
              <w:spacing w:after="0" w:line="240" w:lineRule="auto"/>
            </w:pPr>
            <w:r>
              <w:rPr>
                <w:sz w:val="14"/>
              </w:rPr>
              <w:t>Short-term signal came with hormonal and lipid suppression; no approved dose.</w:t>
            </w:r>
          </w:p>
        </w:tc>
      </w:tr>
      <w:tr>
        <w:trPr>
          <w:cantSplit/>
        </w:trPr>
        <w:tc>
          <w:tcPr>
            <w:tcW w:type="dxa" w:w="2592"/>
            <w:tcMar>
              <w:top w:w="90" w:type="dxa"/>
              <w:start w:w="110" w:type="dxa"/>
              <w:bottom w:w="90" w:type="dxa"/>
              <w:end w:w="110" w:type="dxa"/>
            </w:tcMar>
            <w:vAlign w:val="center"/>
          </w:tcPr>
          <w:p>
            <w:pPr>
              <w:spacing w:after="0" w:line="240" w:lineRule="auto"/>
            </w:pPr>
            <w:r>
              <w:rPr>
                <w:sz w:val="14"/>
              </w:rPr>
              <w:t>RAD-140</w:t>
            </w:r>
          </w:p>
        </w:tc>
        <w:tc>
          <w:tcPr>
            <w:tcW w:type="dxa" w:w="4680"/>
            <w:tcMar>
              <w:top w:w="90" w:type="dxa"/>
              <w:start w:w="110" w:type="dxa"/>
              <w:bottom w:w="90" w:type="dxa"/>
              <w:end w:w="110" w:type="dxa"/>
            </w:tcMar>
            <w:vAlign w:val="center"/>
          </w:tcPr>
          <w:p>
            <w:pPr>
              <w:spacing w:after="0" w:line="240" w:lineRule="auto"/>
            </w:pPr>
            <w:r>
              <w:rPr>
                <w:sz w:val="14"/>
              </w:rPr>
              <w:t>No robust human performance trial establishes efficacy or safety; oncology and animal work do not validate physique use.</w:t>
            </w:r>
          </w:p>
        </w:tc>
        <w:tc>
          <w:tcPr>
            <w:tcW w:type="dxa" w:w="3960"/>
            <w:tcMar>
              <w:top w:w="90" w:type="dxa"/>
              <w:start w:w="110" w:type="dxa"/>
              <w:bottom w:w="90" w:type="dxa"/>
              <w:end w:w="110" w:type="dxa"/>
            </w:tcMar>
            <w:vAlign w:val="center"/>
          </w:tcPr>
          <w:p>
            <w:pPr>
              <w:spacing w:after="0" w:line="240" w:lineRule="auto"/>
            </w:pPr>
            <w:r>
              <w:rPr>
                <w:sz w:val="14"/>
              </w:rPr>
              <w:t>Liver-injury reports and unknown long-term endocrine/cardiovascular risk.</w:t>
            </w:r>
          </w:p>
        </w:tc>
      </w:tr>
      <w:tr>
        <w:trPr>
          <w:cantSplit/>
        </w:trPr>
        <w:tc>
          <w:tcPr>
            <w:tcW w:type="dxa" w:w="2592"/>
            <w:tcMar>
              <w:top w:w="90" w:type="dxa"/>
              <w:start w:w="110" w:type="dxa"/>
              <w:bottom w:w="90" w:type="dxa"/>
              <w:end w:w="110" w:type="dxa"/>
            </w:tcMar>
            <w:shd w:fill="F7F8FA"/>
            <w:vAlign w:val="center"/>
          </w:tcPr>
          <w:p>
            <w:pPr>
              <w:spacing w:after="0" w:line="240" w:lineRule="auto"/>
            </w:pPr>
            <w:r>
              <w:rPr>
                <w:sz w:val="14"/>
              </w:rPr>
              <w:t>YK-11</w:t>
            </w:r>
          </w:p>
        </w:tc>
        <w:tc>
          <w:tcPr>
            <w:tcW w:type="dxa" w:w="4680"/>
            <w:tcMar>
              <w:top w:w="90" w:type="dxa"/>
              <w:start w:w="110" w:type="dxa"/>
              <w:bottom w:w="90" w:type="dxa"/>
              <w:end w:w="110" w:type="dxa"/>
            </w:tcMar>
            <w:shd w:fill="F7F8FA"/>
            <w:vAlign w:val="center"/>
          </w:tcPr>
          <w:p>
            <w:pPr>
              <w:spacing w:after="0" w:line="240" w:lineRule="auto"/>
            </w:pPr>
            <w:r>
              <w:rPr>
                <w:sz w:val="14"/>
              </w:rPr>
              <w:t>Evidence is largely cell-culture research.</w:t>
            </w:r>
          </w:p>
        </w:tc>
        <w:tc>
          <w:tcPr>
            <w:tcW w:type="dxa" w:w="3960"/>
            <w:tcMar>
              <w:top w:w="90" w:type="dxa"/>
              <w:start w:w="110" w:type="dxa"/>
              <w:bottom w:w="90" w:type="dxa"/>
              <w:end w:w="110" w:type="dxa"/>
            </w:tcMar>
            <w:shd w:fill="F7F8FA"/>
            <w:vAlign w:val="center"/>
          </w:tcPr>
          <w:p>
            <w:pPr>
              <w:spacing w:after="0" w:line="240" w:lineRule="auto"/>
            </w:pPr>
            <w:r>
              <w:rPr>
                <w:sz w:val="14"/>
              </w:rPr>
              <w:t>No established human safety, efficacy, or dose.</w:t>
            </w:r>
          </w:p>
        </w:tc>
      </w:tr>
      <w:tr>
        <w:trPr>
          <w:cantSplit/>
        </w:trPr>
        <w:tc>
          <w:tcPr>
            <w:tcW w:type="dxa" w:w="2592"/>
            <w:tcMar>
              <w:top w:w="90" w:type="dxa"/>
              <w:start w:w="110" w:type="dxa"/>
              <w:bottom w:w="90" w:type="dxa"/>
              <w:end w:w="110" w:type="dxa"/>
            </w:tcMar>
            <w:vAlign w:val="center"/>
          </w:tcPr>
          <w:p>
            <w:pPr>
              <w:spacing w:after="0" w:line="240" w:lineRule="auto"/>
            </w:pPr>
            <w:r>
              <w:rPr>
                <w:sz w:val="14"/>
              </w:rPr>
              <w:t>S-23</w:t>
            </w:r>
          </w:p>
        </w:tc>
        <w:tc>
          <w:tcPr>
            <w:tcW w:type="dxa" w:w="4680"/>
            <w:tcMar>
              <w:top w:w="90" w:type="dxa"/>
              <w:start w:w="110" w:type="dxa"/>
              <w:bottom w:w="90" w:type="dxa"/>
              <w:end w:w="110" w:type="dxa"/>
            </w:tcMar>
            <w:vAlign w:val="center"/>
          </w:tcPr>
          <w:p>
            <w:pPr>
              <w:spacing w:after="0" w:line="240" w:lineRule="auto"/>
            </w:pPr>
            <w:r>
              <w:rPr>
                <w:sz w:val="14"/>
              </w:rPr>
              <w:t>Preclinical androgen-receptor research includes fertility-suppression effects.</w:t>
            </w:r>
          </w:p>
        </w:tc>
        <w:tc>
          <w:tcPr>
            <w:tcW w:type="dxa" w:w="3960"/>
            <w:tcMar>
              <w:top w:w="90" w:type="dxa"/>
              <w:start w:w="110" w:type="dxa"/>
              <w:bottom w:w="90" w:type="dxa"/>
              <w:end w:w="110" w:type="dxa"/>
            </w:tcMar>
            <w:vAlign w:val="center"/>
          </w:tcPr>
          <w:p>
            <w:pPr>
              <w:spacing w:after="0" w:line="240" w:lineRule="auto"/>
            </w:pPr>
            <w:r>
              <w:rPr>
                <w:sz w:val="14"/>
              </w:rPr>
              <w:t>No established human dose; reproductive suppression is a central concern.</w:t>
            </w:r>
          </w:p>
        </w:tc>
      </w:tr>
      <w:tr>
        <w:trPr>
          <w:cantSplit/>
        </w:trPr>
        <w:tc>
          <w:tcPr>
            <w:tcW w:type="dxa" w:w="2592"/>
            <w:tcMar>
              <w:top w:w="90" w:type="dxa"/>
              <w:start w:w="110" w:type="dxa"/>
              <w:bottom w:w="90" w:type="dxa"/>
              <w:end w:w="110" w:type="dxa"/>
            </w:tcMar>
            <w:shd w:fill="F7F8FA"/>
            <w:vAlign w:val="center"/>
          </w:tcPr>
          <w:p>
            <w:pPr>
              <w:spacing w:after="0" w:line="240" w:lineRule="auto"/>
            </w:pPr>
            <w:r>
              <w:rPr>
                <w:sz w:val="14"/>
              </w:rPr>
              <w:t>Andarine (S-4)</w:t>
            </w:r>
          </w:p>
        </w:tc>
        <w:tc>
          <w:tcPr>
            <w:tcW w:type="dxa" w:w="4680"/>
            <w:tcMar>
              <w:top w:w="90" w:type="dxa"/>
              <w:start w:w="110" w:type="dxa"/>
              <w:bottom w:w="90" w:type="dxa"/>
              <w:end w:w="110" w:type="dxa"/>
            </w:tcMar>
            <w:shd w:fill="F7F8FA"/>
            <w:vAlign w:val="center"/>
          </w:tcPr>
          <w:p>
            <w:pPr>
              <w:spacing w:after="0" w:line="240" w:lineRule="auto"/>
            </w:pPr>
            <w:r>
              <w:rPr>
                <w:sz w:val="14"/>
              </w:rPr>
              <w:t>Predominantly preclinical and anecdotal evidence.</w:t>
            </w:r>
          </w:p>
        </w:tc>
        <w:tc>
          <w:tcPr>
            <w:tcW w:type="dxa" w:w="3960"/>
            <w:tcMar>
              <w:top w:w="90" w:type="dxa"/>
              <w:start w:w="110" w:type="dxa"/>
              <w:bottom w:w="90" w:type="dxa"/>
              <w:end w:w="110" w:type="dxa"/>
            </w:tcMar>
            <w:shd w:fill="F7F8FA"/>
            <w:vAlign w:val="center"/>
          </w:tcPr>
          <w:p>
            <w:pPr>
              <w:spacing w:after="0" w:line="240" w:lineRule="auto"/>
            </w:pPr>
            <w:r>
              <w:rPr>
                <w:sz w:val="14"/>
              </w:rPr>
              <w:t>Unapproved; visual disturbances are a prominent reported concern.</w:t>
            </w:r>
          </w:p>
        </w:tc>
      </w:tr>
      <w:tr>
        <w:trPr>
          <w:cantSplit/>
        </w:trPr>
        <w:tc>
          <w:tcPr>
            <w:tcW w:type="dxa" w:w="2592"/>
            <w:tcMar>
              <w:top w:w="90" w:type="dxa"/>
              <w:start w:w="110" w:type="dxa"/>
              <w:bottom w:w="90" w:type="dxa"/>
              <w:end w:w="110" w:type="dxa"/>
            </w:tcMar>
            <w:vAlign w:val="center"/>
          </w:tcPr>
          <w:p>
            <w:pPr>
              <w:spacing w:after="0" w:line="240" w:lineRule="auto"/>
            </w:pPr>
            <w:r>
              <w:rPr>
                <w:sz w:val="14"/>
              </w:rPr>
              <w:t>Cardarine (GW-501516)</w:t>
            </w:r>
          </w:p>
        </w:tc>
        <w:tc>
          <w:tcPr>
            <w:tcW w:type="dxa" w:w="4680"/>
            <w:tcMar>
              <w:top w:w="90" w:type="dxa"/>
              <w:start w:w="110" w:type="dxa"/>
              <w:bottom w:w="90" w:type="dxa"/>
              <w:end w:w="110" w:type="dxa"/>
            </w:tcMar>
            <w:vAlign w:val="center"/>
          </w:tcPr>
          <w:p>
            <w:pPr>
              <w:spacing w:after="0" w:line="240" w:lineRule="auto"/>
            </w:pPr>
            <w:r>
              <w:rPr>
                <w:sz w:val="14"/>
              </w:rPr>
              <w:t>A PPAR-delta agonist, not a SARM; limited human metabolic studies exist, while carcinogenicity findings halted development.</w:t>
            </w:r>
          </w:p>
        </w:tc>
        <w:tc>
          <w:tcPr>
            <w:tcW w:type="dxa" w:w="3960"/>
            <w:tcMar>
              <w:top w:w="90" w:type="dxa"/>
              <w:start w:w="110" w:type="dxa"/>
              <w:bottom w:w="90" w:type="dxa"/>
              <w:end w:w="110" w:type="dxa"/>
            </w:tcMar>
            <w:vAlign w:val="center"/>
          </w:tcPr>
          <w:p>
            <w:pPr>
              <w:spacing w:after="0" w:line="240" w:lineRule="auto"/>
            </w:pPr>
            <w:r>
              <w:rPr>
                <w:sz w:val="14"/>
              </w:rPr>
              <w:t>Do not infer safety from endurance marketing.</w:t>
            </w:r>
          </w:p>
        </w:tc>
      </w:tr>
      <w:tr>
        <w:trPr>
          <w:cantSplit/>
        </w:trPr>
        <w:tc>
          <w:tcPr>
            <w:tcW w:type="dxa" w:w="2592"/>
            <w:tcMar>
              <w:top w:w="90" w:type="dxa"/>
              <w:start w:w="110" w:type="dxa"/>
              <w:bottom w:w="90" w:type="dxa"/>
              <w:end w:w="110" w:type="dxa"/>
            </w:tcMar>
            <w:shd w:fill="F7F8FA"/>
            <w:vAlign w:val="center"/>
          </w:tcPr>
          <w:p>
            <w:pPr>
              <w:spacing w:after="0" w:line="240" w:lineRule="auto"/>
            </w:pPr>
            <w:r>
              <w:rPr>
                <w:sz w:val="14"/>
              </w:rPr>
              <w:t>SR-9009</w:t>
            </w:r>
          </w:p>
        </w:tc>
        <w:tc>
          <w:tcPr>
            <w:tcW w:type="dxa" w:w="4680"/>
            <w:tcMar>
              <w:top w:w="90" w:type="dxa"/>
              <w:start w:w="110" w:type="dxa"/>
              <w:bottom w:w="90" w:type="dxa"/>
              <w:end w:w="110" w:type="dxa"/>
            </w:tcMar>
            <w:shd w:fill="F7F8FA"/>
            <w:vAlign w:val="center"/>
          </w:tcPr>
          <w:p>
            <w:pPr>
              <w:spacing w:after="0" w:line="240" w:lineRule="auto"/>
            </w:pPr>
            <w:r>
              <w:rPr>
                <w:sz w:val="14"/>
              </w:rPr>
              <w:t>A REV-ERB research compound, not a SARM; evidence is preclinical and oral bioavailability is uncertain.</w:t>
            </w:r>
          </w:p>
        </w:tc>
        <w:tc>
          <w:tcPr>
            <w:tcW w:type="dxa" w:w="3960"/>
            <w:tcMar>
              <w:top w:w="90" w:type="dxa"/>
              <w:start w:w="110" w:type="dxa"/>
              <w:bottom w:w="90" w:type="dxa"/>
              <w:end w:w="110" w:type="dxa"/>
            </w:tcMar>
            <w:shd w:fill="F7F8FA"/>
            <w:vAlign w:val="center"/>
          </w:tcPr>
          <w:p>
            <w:pPr>
              <w:spacing w:after="0" w:line="240" w:lineRule="auto"/>
            </w:pPr>
            <w:r>
              <w:rPr>
                <w:sz w:val="14"/>
              </w:rPr>
              <w:t>No demonstrated human performance benefit or established dose.</w:t>
            </w:r>
          </w:p>
        </w:tc>
      </w:tr>
      <w:tr>
        <w:trPr>
          <w:cantSplit/>
        </w:trPr>
        <w:tc>
          <w:tcPr>
            <w:tcW w:type="dxa" w:w="2592"/>
            <w:tcMar>
              <w:top w:w="90" w:type="dxa"/>
              <w:start w:w="110" w:type="dxa"/>
              <w:bottom w:w="90" w:type="dxa"/>
              <w:end w:w="110" w:type="dxa"/>
            </w:tcMar>
            <w:vAlign w:val="center"/>
          </w:tcPr>
          <w:p>
            <w:pPr>
              <w:spacing w:after="0" w:line="240" w:lineRule="auto"/>
            </w:pPr>
            <w:r>
              <w:rPr>
                <w:sz w:val="14"/>
              </w:rPr>
              <w:t>MK-677 / Ibutamoren</w:t>
            </w:r>
          </w:p>
        </w:tc>
        <w:tc>
          <w:tcPr>
            <w:tcW w:type="dxa" w:w="4680"/>
            <w:tcMar>
              <w:top w:w="90" w:type="dxa"/>
              <w:start w:w="110" w:type="dxa"/>
              <w:bottom w:w="90" w:type="dxa"/>
              <w:end w:w="110" w:type="dxa"/>
            </w:tcMar>
            <w:vAlign w:val="center"/>
          </w:tcPr>
          <w:p>
            <w:pPr>
              <w:spacing w:after="0" w:line="240" w:lineRule="auto"/>
            </w:pPr>
            <w:r>
              <w:rPr>
                <w:sz w:val="14"/>
              </w:rPr>
              <w:t>A GH secretagogue, not a SARM; trials commonly studied 25 mg daily in older adults and measured GH/IGF-1 and body composition.</w:t>
            </w:r>
          </w:p>
        </w:tc>
        <w:tc>
          <w:tcPr>
            <w:tcW w:type="dxa" w:w="3960"/>
            <w:tcMar>
              <w:top w:w="90" w:type="dxa"/>
              <w:start w:w="110" w:type="dxa"/>
              <w:bottom w:w="90" w:type="dxa"/>
              <w:end w:w="110" w:type="dxa"/>
            </w:tcMar>
            <w:vAlign w:val="center"/>
          </w:tcPr>
          <w:p>
            <w:pPr>
              <w:spacing w:after="0" w:line="240" w:lineRule="auto"/>
            </w:pPr>
            <w:r>
              <w:rPr>
                <w:sz w:val="14"/>
              </w:rPr>
              <w:t>Investigational; appetite, edema and worsened insulin sensitivity matter.</w:t>
            </w:r>
          </w:p>
        </w:tc>
      </w:tr>
    </w:tbl>
    <w:p>
      <w:pPr>
        <w:spacing w:after="20"/>
      </w:pPr>
    </w:p>
    <w:p>
      <w:pPr>
        <w:spacing w:before="80" w:after="140"/>
        <w:ind w:left="230" w:right="230"/>
        <w:shd w:fill="E7F5F3"/>
      </w:pPr>
      <w:r>
        <w:rPr>
          <w:b/>
          <w:color w:val="B42318"/>
        </w:rPr>
        <w:t xml:space="preserve">Category check. </w:t>
      </w:r>
      <w:r>
        <w:t>Being sold on a 'SARM stack' page does not make a compound a SARM. Cardarine, SR-9009 and ibutamoren act through entirely different pathways, so stacking them can compound rather than diversify risk.</w:t>
      </w:r>
    </w:p>
    <w:p>
      <w:r>
        <w:br w:type="page"/>
      </w:r>
    </w:p>
    <w:p>
      <w:bookmarkStart w:id="8" w:name="dose_math"/>
      <w:pPr>
        <w:pStyle w:val="Heading1"/>
        <w:spacing w:before="240" w:after="160"/>
        <w:ind w:left="0" w:right="0"/>
        <w:shd w:fill="115E59"/>
        <w:spacing w:before="150" w:after="150"/>
      </w:pPr>
      <w:r>
        <w:rPr>
          <w:color w:val="FFFFFF"/>
        </w:rPr>
        <w:t>8 Dose context and concentration math</w:t>
      </w:r>
      <w:bookmarkEnd w:id="8"/>
    </w:p>
    <w:p>
      <w:r>
        <w:t>This section preserves the useful calculation logic from the supplied dosage project while correcting its biggest weakness: a number is not a recommendation. First establish whether the dose comes from an approved label, a registered trial, a clinician, or nowhere reliable.</w:t>
      </w:r>
    </w:p>
    <w:p>
      <w:pPr>
        <w:pStyle w:val="Heading2"/>
      </w:pPr>
      <w:r>
        <w:t>Approved and trial dose snapshot</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trPr>
        <w:tc>
          <w:tcPr>
            <w:tcW w:type="dxa" w:w="1728"/>
            <w:shd w:fill="115E59"/>
            <w:tcMar>
              <w:top w:w="90" w:type="dxa"/>
              <w:start w:w="110" w:type="dxa"/>
              <w:bottom w:w="90" w:type="dxa"/>
              <w:end w:w="110" w:type="dxa"/>
            </w:tcMar>
            <w:vAlign w:val="center"/>
          </w:tcPr>
          <w:p>
            <w:pPr>
              <w:jc w:val="center"/>
            </w:pPr>
            <w:r>
              <w:rPr>
                <w:b/>
                <w:color w:val="FFFFFF"/>
                <w:sz w:val="16"/>
              </w:rPr>
              <w:t>Compound</w:t>
            </w:r>
          </w:p>
        </w:tc>
        <w:tc>
          <w:tcPr>
            <w:tcW w:type="dxa" w:w="1656"/>
            <w:shd w:fill="115E59"/>
            <w:tcMar>
              <w:top w:w="90" w:type="dxa"/>
              <w:start w:w="110" w:type="dxa"/>
              <w:bottom w:w="90" w:type="dxa"/>
              <w:end w:w="110" w:type="dxa"/>
            </w:tcMar>
            <w:vAlign w:val="center"/>
          </w:tcPr>
          <w:p>
            <w:pPr>
              <w:jc w:val="center"/>
            </w:pPr>
            <w:r>
              <w:rPr>
                <w:b/>
                <w:color w:val="FFFFFF"/>
                <w:sz w:val="16"/>
              </w:rPr>
              <w:t>Status</w:t>
            </w:r>
          </w:p>
        </w:tc>
        <w:tc>
          <w:tcPr>
            <w:tcW w:type="dxa" w:w="4464"/>
            <w:shd w:fill="115E59"/>
            <w:tcMar>
              <w:top w:w="90" w:type="dxa"/>
              <w:start w:w="110" w:type="dxa"/>
              <w:bottom w:w="90" w:type="dxa"/>
              <w:end w:w="110" w:type="dxa"/>
            </w:tcMar>
            <w:vAlign w:val="center"/>
          </w:tcPr>
          <w:p>
            <w:pPr>
              <w:jc w:val="center"/>
            </w:pPr>
            <w:r>
              <w:rPr>
                <w:b/>
                <w:color w:val="FFFFFF"/>
                <w:sz w:val="16"/>
              </w:rPr>
              <w:t>Dose context</w:t>
            </w:r>
          </w:p>
        </w:tc>
        <w:tc>
          <w:tcPr>
            <w:tcW w:type="dxa" w:w="2952"/>
            <w:shd w:fill="115E59"/>
            <w:tcMar>
              <w:top w:w="90" w:type="dxa"/>
              <w:start w:w="110" w:type="dxa"/>
              <w:bottom w:w="90" w:type="dxa"/>
              <w:end w:w="110" w:type="dxa"/>
            </w:tcMar>
            <w:vAlign w:val="center"/>
          </w:tcPr>
          <w:p>
            <w:pPr>
              <w:jc w:val="center"/>
            </w:pPr>
            <w:r>
              <w:rPr>
                <w:b/>
                <w:color w:val="FFFFFF"/>
                <w:sz w:val="16"/>
              </w:rPr>
              <w:t>Boundary</w:t>
            </w:r>
          </w:p>
        </w:tc>
      </w:tr>
      <w:tr>
        <w:trPr>
          <w:cantSplit/>
        </w:trPr>
        <w:tc>
          <w:tcPr>
            <w:tcW w:type="dxa" w:w="1728"/>
            <w:tcMar>
              <w:top w:w="90" w:type="dxa"/>
              <w:start w:w="110" w:type="dxa"/>
              <w:bottom w:w="90" w:type="dxa"/>
              <w:end w:w="110" w:type="dxa"/>
            </w:tcMar>
            <w:vAlign w:val="center"/>
          </w:tcPr>
          <w:p>
            <w:pPr>
              <w:spacing w:after="0" w:line="240" w:lineRule="auto"/>
            </w:pPr>
            <w:r>
              <w:rPr>
                <w:sz w:val="15"/>
              </w:rPr>
              <w:t>Semaglutide</w:t>
            </w:r>
          </w:p>
        </w:tc>
        <w:tc>
          <w:tcPr>
            <w:tcW w:type="dxa" w:w="1656"/>
            <w:tcMar>
              <w:top w:w="90" w:type="dxa"/>
              <w:start w:w="110" w:type="dxa"/>
              <w:bottom w:w="90" w:type="dxa"/>
              <w:end w:w="110" w:type="dxa"/>
            </w:tcMar>
            <w:vAlign w:val="center"/>
          </w:tcPr>
          <w:p>
            <w:pPr>
              <w:spacing w:after="0" w:line="240" w:lineRule="auto"/>
            </w:pPr>
            <w:r>
              <w:rPr>
                <w:sz w:val="15"/>
              </w:rPr>
              <w:t>Approved product</w:t>
            </w:r>
          </w:p>
        </w:tc>
        <w:tc>
          <w:tcPr>
            <w:tcW w:type="dxa" w:w="4464"/>
            <w:tcMar>
              <w:top w:w="90" w:type="dxa"/>
              <w:start w:w="110" w:type="dxa"/>
              <w:bottom w:w="90" w:type="dxa"/>
              <w:end w:w="110" w:type="dxa"/>
            </w:tcMar>
            <w:vAlign w:val="center"/>
          </w:tcPr>
          <w:p>
            <w:pPr>
              <w:spacing w:after="0" w:line="240" w:lineRule="auto"/>
            </w:pPr>
            <w:r>
              <w:rPr>
                <w:sz w:val="15"/>
              </w:rPr>
              <w:t>0.25 mg weekly start; stepwise 4-week escalation toward labeled maintenance.</w:t>
            </w:r>
          </w:p>
        </w:tc>
        <w:tc>
          <w:tcPr>
            <w:tcW w:type="dxa" w:w="2952"/>
            <w:tcMar>
              <w:top w:w="90" w:type="dxa"/>
              <w:start w:w="110" w:type="dxa"/>
              <w:bottom w:w="90" w:type="dxa"/>
              <w:end w:w="110" w:type="dxa"/>
            </w:tcMar>
            <w:vAlign w:val="center"/>
          </w:tcPr>
          <w:p>
            <w:pPr>
              <w:spacing w:after="0" w:line="240" w:lineRule="auto"/>
            </w:pPr>
            <w:r>
              <w:rPr>
                <w:sz w:val="15"/>
              </w:rPr>
              <w:t>Prescription product and current label only.</w:t>
            </w:r>
          </w:p>
        </w:tc>
      </w:tr>
      <w:tr>
        <w:trPr>
          <w:cantSplit/>
        </w:trPr>
        <w:tc>
          <w:tcPr>
            <w:tcW w:type="dxa" w:w="1728"/>
            <w:tcMar>
              <w:top w:w="90" w:type="dxa"/>
              <w:start w:w="110" w:type="dxa"/>
              <w:bottom w:w="90" w:type="dxa"/>
              <w:end w:w="110" w:type="dxa"/>
            </w:tcMar>
            <w:shd w:fill="F7F8FA"/>
            <w:vAlign w:val="center"/>
          </w:tcPr>
          <w:p>
            <w:pPr>
              <w:spacing w:after="0" w:line="240" w:lineRule="auto"/>
            </w:pPr>
            <w:r>
              <w:rPr>
                <w:sz w:val="15"/>
              </w:rPr>
              <w:t>Tirzepatide</w:t>
            </w:r>
          </w:p>
        </w:tc>
        <w:tc>
          <w:tcPr>
            <w:tcW w:type="dxa" w:w="1656"/>
            <w:tcMar>
              <w:top w:w="90" w:type="dxa"/>
              <w:start w:w="110" w:type="dxa"/>
              <w:bottom w:w="90" w:type="dxa"/>
              <w:end w:w="110" w:type="dxa"/>
            </w:tcMar>
            <w:shd w:fill="F7F8FA"/>
            <w:vAlign w:val="center"/>
          </w:tcPr>
          <w:p>
            <w:pPr>
              <w:spacing w:after="0" w:line="240" w:lineRule="auto"/>
            </w:pPr>
            <w:r>
              <w:rPr>
                <w:sz w:val="15"/>
              </w:rPr>
              <w:t>Approved product</w:t>
            </w:r>
          </w:p>
        </w:tc>
        <w:tc>
          <w:tcPr>
            <w:tcW w:type="dxa" w:w="4464"/>
            <w:tcMar>
              <w:top w:w="90" w:type="dxa"/>
              <w:start w:w="110" w:type="dxa"/>
              <w:bottom w:w="90" w:type="dxa"/>
              <w:end w:w="110" w:type="dxa"/>
            </w:tcMar>
            <w:shd w:fill="F7F8FA"/>
            <w:vAlign w:val="center"/>
          </w:tcPr>
          <w:p>
            <w:pPr>
              <w:spacing w:after="0" w:line="240" w:lineRule="auto"/>
            </w:pPr>
            <w:r>
              <w:rPr>
                <w:sz w:val="15"/>
              </w:rPr>
              <w:t>2.5 mg weekly start for 4 weeks; then 5 mg; 2.5 mg steps after at least 4 weeks.</w:t>
            </w:r>
          </w:p>
        </w:tc>
        <w:tc>
          <w:tcPr>
            <w:tcW w:type="dxa" w:w="2952"/>
            <w:tcMar>
              <w:top w:w="90" w:type="dxa"/>
              <w:start w:w="110" w:type="dxa"/>
              <w:bottom w:w="90" w:type="dxa"/>
              <w:end w:w="110" w:type="dxa"/>
            </w:tcMar>
            <w:shd w:fill="F7F8FA"/>
            <w:vAlign w:val="center"/>
          </w:tcPr>
          <w:p>
            <w:pPr>
              <w:spacing w:after="0" w:line="240" w:lineRule="auto"/>
            </w:pPr>
            <w:r>
              <w:rPr>
                <w:sz w:val="15"/>
              </w:rPr>
              <w:t>Prescription product and current label only.</w:t>
            </w:r>
          </w:p>
        </w:tc>
      </w:tr>
      <w:tr>
        <w:trPr>
          <w:cantSplit/>
        </w:trPr>
        <w:tc>
          <w:tcPr>
            <w:tcW w:type="dxa" w:w="1728"/>
            <w:tcMar>
              <w:top w:w="90" w:type="dxa"/>
              <w:start w:w="110" w:type="dxa"/>
              <w:bottom w:w="90" w:type="dxa"/>
              <w:end w:w="110" w:type="dxa"/>
            </w:tcMar>
            <w:vAlign w:val="center"/>
          </w:tcPr>
          <w:p>
            <w:pPr>
              <w:spacing w:after="0" w:line="240" w:lineRule="auto"/>
            </w:pPr>
            <w:r>
              <w:rPr>
                <w:sz w:val="15"/>
              </w:rPr>
              <w:t>Tesamorelin</w:t>
            </w:r>
          </w:p>
        </w:tc>
        <w:tc>
          <w:tcPr>
            <w:tcW w:type="dxa" w:w="1656"/>
            <w:tcMar>
              <w:top w:w="90" w:type="dxa"/>
              <w:start w:w="110" w:type="dxa"/>
              <w:bottom w:w="90" w:type="dxa"/>
              <w:end w:w="110" w:type="dxa"/>
            </w:tcMar>
            <w:vAlign w:val="center"/>
          </w:tcPr>
          <w:p>
            <w:pPr>
              <w:spacing w:after="0" w:line="240" w:lineRule="auto"/>
            </w:pPr>
            <w:r>
              <w:rPr>
                <w:sz w:val="15"/>
              </w:rPr>
              <w:t>Approved product</w:t>
            </w:r>
          </w:p>
        </w:tc>
        <w:tc>
          <w:tcPr>
            <w:tcW w:type="dxa" w:w="4464"/>
            <w:tcMar>
              <w:top w:w="90" w:type="dxa"/>
              <w:start w:w="110" w:type="dxa"/>
              <w:bottom w:w="90" w:type="dxa"/>
              <w:end w:w="110" w:type="dxa"/>
            </w:tcMar>
            <w:vAlign w:val="center"/>
          </w:tcPr>
          <w:p>
            <w:pPr>
              <w:spacing w:after="0" w:line="240" w:lineRule="auto"/>
            </w:pPr>
            <w:r>
              <w:rPr>
                <w:sz w:val="15"/>
              </w:rPr>
              <w:t>1.4 mg daily for the specified 2 mg-vial formulation.</w:t>
            </w:r>
          </w:p>
        </w:tc>
        <w:tc>
          <w:tcPr>
            <w:tcW w:type="dxa" w:w="2952"/>
            <w:tcMar>
              <w:top w:w="90" w:type="dxa"/>
              <w:start w:w="110" w:type="dxa"/>
              <w:bottom w:w="90" w:type="dxa"/>
              <w:end w:w="110" w:type="dxa"/>
            </w:tcMar>
            <w:vAlign w:val="center"/>
          </w:tcPr>
          <w:p>
            <w:pPr>
              <w:spacing w:after="0" w:line="240" w:lineRule="auto"/>
            </w:pPr>
            <w:r>
              <w:rPr>
                <w:sz w:val="15"/>
              </w:rPr>
              <w:t>HIV lipodystrophy indication, not general weight loss.</w:t>
            </w:r>
          </w:p>
        </w:tc>
      </w:tr>
      <w:tr>
        <w:trPr>
          <w:cantSplit/>
        </w:trPr>
        <w:tc>
          <w:tcPr>
            <w:tcW w:type="dxa" w:w="1728"/>
            <w:tcMar>
              <w:top w:w="90" w:type="dxa"/>
              <w:start w:w="110" w:type="dxa"/>
              <w:bottom w:w="90" w:type="dxa"/>
              <w:end w:w="110" w:type="dxa"/>
            </w:tcMar>
            <w:shd w:fill="F7F8FA"/>
            <w:vAlign w:val="center"/>
          </w:tcPr>
          <w:p>
            <w:pPr>
              <w:spacing w:after="0" w:line="240" w:lineRule="auto"/>
            </w:pPr>
            <w:r>
              <w:rPr>
                <w:sz w:val="15"/>
              </w:rPr>
              <w:t>Bremelanotide</w:t>
            </w:r>
          </w:p>
        </w:tc>
        <w:tc>
          <w:tcPr>
            <w:tcW w:type="dxa" w:w="1656"/>
            <w:tcMar>
              <w:top w:w="90" w:type="dxa"/>
              <w:start w:w="110" w:type="dxa"/>
              <w:bottom w:w="90" w:type="dxa"/>
              <w:end w:w="110" w:type="dxa"/>
            </w:tcMar>
            <w:shd w:fill="F7F8FA"/>
            <w:vAlign w:val="center"/>
          </w:tcPr>
          <w:p>
            <w:pPr>
              <w:spacing w:after="0" w:line="240" w:lineRule="auto"/>
            </w:pPr>
            <w:r>
              <w:rPr>
                <w:sz w:val="15"/>
              </w:rPr>
              <w:t>Approved product</w:t>
            </w:r>
          </w:p>
        </w:tc>
        <w:tc>
          <w:tcPr>
            <w:tcW w:type="dxa" w:w="4464"/>
            <w:tcMar>
              <w:top w:w="90" w:type="dxa"/>
              <w:start w:w="110" w:type="dxa"/>
              <w:bottom w:w="90" w:type="dxa"/>
              <w:end w:w="110" w:type="dxa"/>
            </w:tcMar>
            <w:shd w:fill="F7F8FA"/>
            <w:vAlign w:val="center"/>
          </w:tcPr>
          <w:p>
            <w:pPr>
              <w:spacing w:after="0" w:line="240" w:lineRule="auto"/>
            </w:pPr>
            <w:r>
              <w:rPr>
                <w:sz w:val="15"/>
              </w:rPr>
              <w:t>1.75 mg as needed; max one per 24 hours; &gt;8/month not recommended.</w:t>
            </w:r>
          </w:p>
        </w:tc>
        <w:tc>
          <w:tcPr>
            <w:tcW w:type="dxa" w:w="2952"/>
            <w:tcMar>
              <w:top w:w="90" w:type="dxa"/>
              <w:start w:w="110" w:type="dxa"/>
              <w:bottom w:w="90" w:type="dxa"/>
              <w:end w:w="110" w:type="dxa"/>
            </w:tcMar>
            <w:shd w:fill="F7F8FA"/>
            <w:vAlign w:val="center"/>
          </w:tcPr>
          <w:p>
            <w:pPr>
              <w:spacing w:after="0" w:line="240" w:lineRule="auto"/>
            </w:pPr>
            <w:r>
              <w:rPr>
                <w:sz w:val="15"/>
              </w:rPr>
              <w:t>Specific HSDD population; cardiovascular limits.</w:t>
            </w:r>
          </w:p>
        </w:tc>
      </w:tr>
      <w:tr>
        <w:trPr>
          <w:cantSplit/>
        </w:trPr>
        <w:tc>
          <w:tcPr>
            <w:tcW w:type="dxa" w:w="1728"/>
            <w:tcMar>
              <w:top w:w="90" w:type="dxa"/>
              <w:start w:w="110" w:type="dxa"/>
              <w:bottom w:w="90" w:type="dxa"/>
              <w:end w:w="110" w:type="dxa"/>
            </w:tcMar>
            <w:vAlign w:val="center"/>
          </w:tcPr>
          <w:p>
            <w:pPr>
              <w:spacing w:after="0" w:line="240" w:lineRule="auto"/>
            </w:pPr>
            <w:r>
              <w:rPr>
                <w:sz w:val="15"/>
              </w:rPr>
              <w:t>Teriparatide</w:t>
            </w:r>
          </w:p>
        </w:tc>
        <w:tc>
          <w:tcPr>
            <w:tcW w:type="dxa" w:w="1656"/>
            <w:tcMar>
              <w:top w:w="90" w:type="dxa"/>
              <w:start w:w="110" w:type="dxa"/>
              <w:bottom w:w="90" w:type="dxa"/>
              <w:end w:w="110" w:type="dxa"/>
            </w:tcMar>
            <w:vAlign w:val="center"/>
          </w:tcPr>
          <w:p>
            <w:pPr>
              <w:spacing w:after="0" w:line="240" w:lineRule="auto"/>
            </w:pPr>
            <w:r>
              <w:rPr>
                <w:sz w:val="15"/>
              </w:rPr>
              <w:t>Approved product</w:t>
            </w:r>
          </w:p>
        </w:tc>
        <w:tc>
          <w:tcPr>
            <w:tcW w:type="dxa" w:w="4464"/>
            <w:tcMar>
              <w:top w:w="90" w:type="dxa"/>
              <w:start w:w="110" w:type="dxa"/>
              <w:bottom w:w="90" w:type="dxa"/>
              <w:end w:w="110" w:type="dxa"/>
            </w:tcMar>
            <w:vAlign w:val="center"/>
          </w:tcPr>
          <w:p>
            <w:pPr>
              <w:spacing w:after="0" w:line="240" w:lineRule="auto"/>
            </w:pPr>
            <w:r>
              <w:rPr>
                <w:sz w:val="15"/>
              </w:rPr>
              <w:t>20 mcg subcutaneously once daily.</w:t>
            </w:r>
          </w:p>
        </w:tc>
        <w:tc>
          <w:tcPr>
            <w:tcW w:type="dxa" w:w="2952"/>
            <w:tcMar>
              <w:top w:w="90" w:type="dxa"/>
              <w:start w:w="110" w:type="dxa"/>
              <w:bottom w:w="90" w:type="dxa"/>
              <w:end w:w="110" w:type="dxa"/>
            </w:tcMar>
            <w:vAlign w:val="center"/>
          </w:tcPr>
          <w:p>
            <w:pPr>
              <w:spacing w:after="0" w:line="240" w:lineRule="auto"/>
            </w:pPr>
            <w:r>
              <w:rPr>
                <w:sz w:val="15"/>
              </w:rPr>
              <w:t>Osteoporosis indications and duration limits.</w:t>
            </w:r>
          </w:p>
        </w:tc>
      </w:tr>
      <w:tr>
        <w:trPr>
          <w:cantSplit/>
        </w:trPr>
        <w:tc>
          <w:tcPr>
            <w:tcW w:type="dxa" w:w="1728"/>
            <w:tcMar>
              <w:top w:w="90" w:type="dxa"/>
              <w:start w:w="110" w:type="dxa"/>
              <w:bottom w:w="90" w:type="dxa"/>
              <w:end w:w="110" w:type="dxa"/>
            </w:tcMar>
            <w:shd w:fill="F7F8FA"/>
            <w:vAlign w:val="center"/>
          </w:tcPr>
          <w:p>
            <w:pPr>
              <w:spacing w:after="0" w:line="240" w:lineRule="auto"/>
            </w:pPr>
            <w:r>
              <w:rPr>
                <w:sz w:val="15"/>
              </w:rPr>
              <w:t>Retatrutide</w:t>
            </w:r>
          </w:p>
        </w:tc>
        <w:tc>
          <w:tcPr>
            <w:tcW w:type="dxa" w:w="1656"/>
            <w:tcMar>
              <w:top w:w="90" w:type="dxa"/>
              <w:start w:w="110" w:type="dxa"/>
              <w:bottom w:w="90" w:type="dxa"/>
              <w:end w:w="110" w:type="dxa"/>
            </w:tcMar>
            <w:shd w:fill="F7F8FA"/>
            <w:vAlign w:val="center"/>
          </w:tcPr>
          <w:p>
            <w:pPr>
              <w:spacing w:after="0" w:line="240" w:lineRule="auto"/>
            </w:pPr>
            <w:r>
              <w:rPr>
                <w:sz w:val="15"/>
              </w:rPr>
              <w:t>Investigational</w:t>
            </w:r>
          </w:p>
        </w:tc>
        <w:tc>
          <w:tcPr>
            <w:tcW w:type="dxa" w:w="4464"/>
            <w:tcMar>
              <w:top w:w="90" w:type="dxa"/>
              <w:start w:w="110" w:type="dxa"/>
              <w:bottom w:w="90" w:type="dxa"/>
              <w:end w:w="110" w:type="dxa"/>
            </w:tcMar>
            <w:shd w:fill="F7F8FA"/>
            <w:vAlign w:val="center"/>
          </w:tcPr>
          <w:p>
            <w:pPr>
              <w:spacing w:after="0" w:line="240" w:lineRule="auto"/>
            </w:pPr>
            <w:r>
              <w:rPr>
                <w:sz w:val="15"/>
              </w:rPr>
              <w:t>Phase 2 studied 1, 4, 8 and 12 mg weekly with protocolized escalation.</w:t>
            </w:r>
          </w:p>
        </w:tc>
        <w:tc>
          <w:tcPr>
            <w:tcW w:type="dxa" w:w="2952"/>
            <w:tcMar>
              <w:top w:w="90" w:type="dxa"/>
              <w:start w:w="110" w:type="dxa"/>
              <w:bottom w:w="90" w:type="dxa"/>
              <w:end w:w="110" w:type="dxa"/>
            </w:tcMar>
            <w:shd w:fill="F7F8FA"/>
            <w:vAlign w:val="center"/>
          </w:tcPr>
          <w:p>
            <w:pPr>
              <w:spacing w:after="0" w:line="240" w:lineRule="auto"/>
            </w:pPr>
            <w:r>
              <w:rPr>
                <w:sz w:val="15"/>
              </w:rPr>
              <w:t>Trial exposure, not an approved regimen.</w:t>
            </w:r>
          </w:p>
        </w:tc>
      </w:tr>
      <w:tr>
        <w:trPr>
          <w:cantSplit/>
        </w:trPr>
        <w:tc>
          <w:tcPr>
            <w:tcW w:type="dxa" w:w="1728"/>
            <w:tcMar>
              <w:top w:w="90" w:type="dxa"/>
              <w:start w:w="110" w:type="dxa"/>
              <w:bottom w:w="90" w:type="dxa"/>
              <w:end w:w="110" w:type="dxa"/>
            </w:tcMar>
            <w:vAlign w:val="center"/>
          </w:tcPr>
          <w:p>
            <w:pPr>
              <w:spacing w:after="0" w:line="240" w:lineRule="auto"/>
            </w:pPr>
            <w:r>
              <w:rPr>
                <w:sz w:val="15"/>
              </w:rPr>
              <w:t>Cagrilintide</w:t>
            </w:r>
          </w:p>
        </w:tc>
        <w:tc>
          <w:tcPr>
            <w:tcW w:type="dxa" w:w="1656"/>
            <w:tcMar>
              <w:top w:w="90" w:type="dxa"/>
              <w:start w:w="110" w:type="dxa"/>
              <w:bottom w:w="90" w:type="dxa"/>
              <w:end w:w="110" w:type="dxa"/>
            </w:tcMar>
            <w:vAlign w:val="center"/>
          </w:tcPr>
          <w:p>
            <w:pPr>
              <w:spacing w:after="0" w:line="240" w:lineRule="auto"/>
            </w:pPr>
            <w:r>
              <w:rPr>
                <w:sz w:val="15"/>
              </w:rPr>
              <w:t>Investigational</w:t>
            </w:r>
          </w:p>
        </w:tc>
        <w:tc>
          <w:tcPr>
            <w:tcW w:type="dxa" w:w="4464"/>
            <w:tcMar>
              <w:top w:w="90" w:type="dxa"/>
              <w:start w:w="110" w:type="dxa"/>
              <w:bottom w:w="90" w:type="dxa"/>
              <w:end w:w="110" w:type="dxa"/>
            </w:tcMar>
            <w:vAlign w:val="center"/>
          </w:tcPr>
          <w:p>
            <w:pPr>
              <w:spacing w:after="0" w:line="240" w:lineRule="auto"/>
            </w:pPr>
            <w:r>
              <w:rPr>
                <w:sz w:val="15"/>
              </w:rPr>
              <w:t>Trials studied weekly dose-ranging; 2.4 mg appears in combination programs.</w:t>
            </w:r>
          </w:p>
        </w:tc>
        <w:tc>
          <w:tcPr>
            <w:tcW w:type="dxa" w:w="2952"/>
            <w:tcMar>
              <w:top w:w="90" w:type="dxa"/>
              <w:start w:w="110" w:type="dxa"/>
              <w:bottom w:w="90" w:type="dxa"/>
              <w:end w:w="110" w:type="dxa"/>
            </w:tcMar>
            <w:vAlign w:val="center"/>
          </w:tcPr>
          <w:p>
            <w:pPr>
              <w:spacing w:after="0" w:line="240" w:lineRule="auto"/>
            </w:pPr>
            <w:r>
              <w:rPr>
                <w:sz w:val="15"/>
              </w:rPr>
              <w:t>Trial exposure, not an approved regimen.</w:t>
            </w:r>
          </w:p>
        </w:tc>
      </w:tr>
      <w:tr>
        <w:trPr>
          <w:cantSplit/>
        </w:trPr>
        <w:tc>
          <w:tcPr>
            <w:tcW w:type="dxa" w:w="1728"/>
            <w:tcMar>
              <w:top w:w="90" w:type="dxa"/>
              <w:start w:w="110" w:type="dxa"/>
              <w:bottom w:w="90" w:type="dxa"/>
              <w:end w:w="110" w:type="dxa"/>
            </w:tcMar>
            <w:shd w:fill="F7F8FA"/>
            <w:vAlign w:val="center"/>
          </w:tcPr>
          <w:p>
            <w:pPr>
              <w:spacing w:after="0" w:line="240" w:lineRule="auto"/>
            </w:pPr>
            <w:r>
              <w:rPr>
                <w:sz w:val="15"/>
              </w:rPr>
              <w:t>BPC-157, TB-500, KPV</w:t>
            </w:r>
          </w:p>
        </w:tc>
        <w:tc>
          <w:tcPr>
            <w:tcW w:type="dxa" w:w="1656"/>
            <w:tcMar>
              <w:top w:w="90" w:type="dxa"/>
              <w:start w:w="110" w:type="dxa"/>
              <w:bottom w:w="90" w:type="dxa"/>
              <w:end w:w="110" w:type="dxa"/>
            </w:tcMar>
            <w:shd w:fill="F7F8FA"/>
            <w:vAlign w:val="center"/>
          </w:tcPr>
          <w:p>
            <w:pPr>
              <w:spacing w:after="0" w:line="240" w:lineRule="auto"/>
            </w:pPr>
            <w:r>
              <w:rPr>
                <w:sz w:val="15"/>
              </w:rPr>
              <w:t>Research only</w:t>
            </w:r>
          </w:p>
        </w:tc>
        <w:tc>
          <w:tcPr>
            <w:tcW w:type="dxa" w:w="4464"/>
            <w:tcMar>
              <w:top w:w="90" w:type="dxa"/>
              <w:start w:w="110" w:type="dxa"/>
              <w:bottom w:w="90" w:type="dxa"/>
              <w:end w:w="110" w:type="dxa"/>
            </w:tcMar>
            <w:shd w:fill="F7F8FA"/>
            <w:vAlign w:val="center"/>
          </w:tcPr>
          <w:p>
            <w:pPr>
              <w:spacing w:after="0" w:line="240" w:lineRule="auto"/>
            </w:pPr>
            <w:r>
              <w:rPr>
                <w:sz w:val="15"/>
              </w:rPr>
              <w:t>No established human dose.</w:t>
            </w:r>
          </w:p>
        </w:tc>
        <w:tc>
          <w:tcPr>
            <w:tcW w:type="dxa" w:w="2952"/>
            <w:tcMar>
              <w:top w:w="90" w:type="dxa"/>
              <w:start w:w="110" w:type="dxa"/>
              <w:bottom w:w="90" w:type="dxa"/>
              <w:end w:w="110" w:type="dxa"/>
            </w:tcMar>
            <w:shd w:fill="F7F8FA"/>
            <w:vAlign w:val="center"/>
          </w:tcPr>
          <w:p>
            <w:pPr>
              <w:spacing w:after="0" w:line="240" w:lineRule="auto"/>
            </w:pPr>
            <w:r>
              <w:rPr>
                <w:sz w:val="15"/>
              </w:rPr>
              <w:t>Do not treat archive or community values as clinical guidance.</w:t>
            </w:r>
          </w:p>
        </w:tc>
      </w:tr>
      <w:tr>
        <w:trPr>
          <w:cantSplit/>
        </w:trPr>
        <w:tc>
          <w:tcPr>
            <w:tcW w:type="dxa" w:w="1728"/>
            <w:tcMar>
              <w:top w:w="90" w:type="dxa"/>
              <w:start w:w="110" w:type="dxa"/>
              <w:bottom w:w="90" w:type="dxa"/>
              <w:end w:w="110" w:type="dxa"/>
            </w:tcMar>
            <w:vAlign w:val="center"/>
          </w:tcPr>
          <w:p>
            <w:pPr>
              <w:spacing w:after="0" w:line="240" w:lineRule="auto"/>
            </w:pPr>
            <w:r>
              <w:rPr>
                <w:sz w:val="15"/>
              </w:rPr>
              <w:t>CJC-1295, ipamorelin</w:t>
            </w:r>
          </w:p>
        </w:tc>
        <w:tc>
          <w:tcPr>
            <w:tcW w:type="dxa" w:w="1656"/>
            <w:tcMar>
              <w:top w:w="90" w:type="dxa"/>
              <w:start w:w="110" w:type="dxa"/>
              <w:bottom w:w="90" w:type="dxa"/>
              <w:end w:w="110" w:type="dxa"/>
            </w:tcMar>
            <w:vAlign w:val="center"/>
          </w:tcPr>
          <w:p>
            <w:pPr>
              <w:spacing w:after="0" w:line="240" w:lineRule="auto"/>
            </w:pPr>
            <w:r>
              <w:rPr>
                <w:sz w:val="15"/>
              </w:rPr>
              <w:t>Research only</w:t>
            </w:r>
          </w:p>
        </w:tc>
        <w:tc>
          <w:tcPr>
            <w:tcW w:type="dxa" w:w="4464"/>
            <w:tcMar>
              <w:top w:w="90" w:type="dxa"/>
              <w:start w:w="110" w:type="dxa"/>
              <w:bottom w:w="90" w:type="dxa"/>
              <w:end w:w="110" w:type="dxa"/>
            </w:tcMar>
            <w:vAlign w:val="center"/>
          </w:tcPr>
          <w:p>
            <w:pPr>
              <w:spacing w:after="0" w:line="240" w:lineRule="auto"/>
            </w:pPr>
            <w:r>
              <w:rPr>
                <w:sz w:val="15"/>
              </w:rPr>
              <w:t>No established general-use human dose.</w:t>
            </w:r>
          </w:p>
        </w:tc>
        <w:tc>
          <w:tcPr>
            <w:tcW w:type="dxa" w:w="2952"/>
            <w:tcMar>
              <w:top w:w="90" w:type="dxa"/>
              <w:start w:w="110" w:type="dxa"/>
              <w:bottom w:w="90" w:type="dxa"/>
              <w:end w:w="110" w:type="dxa"/>
            </w:tcMar>
            <w:vAlign w:val="center"/>
          </w:tcPr>
          <w:p>
            <w:pPr>
              <w:spacing w:after="0" w:line="240" w:lineRule="auto"/>
            </w:pPr>
            <w:r>
              <w:rPr>
                <w:sz w:val="15"/>
              </w:rPr>
              <w:t>Different molecular forms and routes cannot be interchanged.</w:t>
            </w:r>
          </w:p>
        </w:tc>
      </w:tr>
      <w:tr>
        <w:trPr>
          <w:cantSplit/>
        </w:trPr>
        <w:tc>
          <w:tcPr>
            <w:tcW w:type="dxa" w:w="1728"/>
            <w:tcMar>
              <w:top w:w="90" w:type="dxa"/>
              <w:start w:w="110" w:type="dxa"/>
              <w:bottom w:w="90" w:type="dxa"/>
              <w:end w:w="110" w:type="dxa"/>
            </w:tcMar>
            <w:shd w:fill="F7F8FA"/>
            <w:vAlign w:val="center"/>
          </w:tcPr>
          <w:p>
            <w:pPr>
              <w:spacing w:after="0" w:line="240" w:lineRule="auto"/>
            </w:pPr>
            <w:r>
              <w:rPr>
                <w:sz w:val="15"/>
              </w:rPr>
              <w:t>MOTS-c, Semax, Selank</w:t>
            </w:r>
          </w:p>
        </w:tc>
        <w:tc>
          <w:tcPr>
            <w:tcW w:type="dxa" w:w="1656"/>
            <w:tcMar>
              <w:top w:w="90" w:type="dxa"/>
              <w:start w:w="110" w:type="dxa"/>
              <w:bottom w:w="90" w:type="dxa"/>
              <w:end w:w="110" w:type="dxa"/>
            </w:tcMar>
            <w:shd w:fill="F7F8FA"/>
            <w:vAlign w:val="center"/>
          </w:tcPr>
          <w:p>
            <w:pPr>
              <w:spacing w:after="0" w:line="240" w:lineRule="auto"/>
            </w:pPr>
            <w:r>
              <w:rPr>
                <w:sz w:val="15"/>
              </w:rPr>
              <w:t>Research only</w:t>
            </w:r>
          </w:p>
        </w:tc>
        <w:tc>
          <w:tcPr>
            <w:tcW w:type="dxa" w:w="4464"/>
            <w:tcMar>
              <w:top w:w="90" w:type="dxa"/>
              <w:start w:w="110" w:type="dxa"/>
              <w:bottom w:w="90" w:type="dxa"/>
              <w:end w:w="110" w:type="dxa"/>
            </w:tcMar>
            <w:shd w:fill="F7F8FA"/>
            <w:vAlign w:val="center"/>
          </w:tcPr>
          <w:p>
            <w:pPr>
              <w:spacing w:after="0" w:line="240" w:lineRule="auto"/>
            </w:pPr>
            <w:r>
              <w:rPr>
                <w:sz w:val="15"/>
              </w:rPr>
              <w:t>No established U.S. clinical dose.</w:t>
            </w:r>
          </w:p>
        </w:tc>
        <w:tc>
          <w:tcPr>
            <w:tcW w:type="dxa" w:w="2952"/>
            <w:tcMar>
              <w:top w:w="90" w:type="dxa"/>
              <w:start w:w="110" w:type="dxa"/>
              <w:bottom w:w="90" w:type="dxa"/>
              <w:end w:w="110" w:type="dxa"/>
            </w:tcMar>
            <w:shd w:fill="F7F8FA"/>
            <w:vAlign w:val="center"/>
          </w:tcPr>
          <w:p>
            <w:pPr>
              <w:spacing w:after="0" w:line="240" w:lineRule="auto"/>
            </w:pPr>
            <w:r>
              <w:rPr>
                <w:sz w:val="15"/>
              </w:rPr>
              <w:t>Human safety and product standardization are insufficient.</w:t>
            </w:r>
          </w:p>
        </w:tc>
      </w:tr>
      <w:tr>
        <w:trPr>
          <w:cantSplit/>
        </w:trPr>
        <w:tc>
          <w:tcPr>
            <w:tcW w:type="dxa" w:w="1728"/>
            <w:tcMar>
              <w:top w:w="90" w:type="dxa"/>
              <w:start w:w="110" w:type="dxa"/>
              <w:bottom w:w="90" w:type="dxa"/>
              <w:end w:w="110" w:type="dxa"/>
            </w:tcMar>
            <w:vAlign w:val="center"/>
          </w:tcPr>
          <w:p>
            <w:pPr>
              <w:spacing w:after="0" w:line="240" w:lineRule="auto"/>
            </w:pPr>
            <w:r>
              <w:rPr>
                <w:sz w:val="15"/>
              </w:rPr>
              <w:t>SARMs</w:t>
            </w:r>
          </w:p>
        </w:tc>
        <w:tc>
          <w:tcPr>
            <w:tcW w:type="dxa" w:w="1656"/>
            <w:tcMar>
              <w:top w:w="90" w:type="dxa"/>
              <w:start w:w="110" w:type="dxa"/>
              <w:bottom w:w="90" w:type="dxa"/>
              <w:end w:w="110" w:type="dxa"/>
            </w:tcMar>
            <w:vAlign w:val="center"/>
          </w:tcPr>
          <w:p>
            <w:pPr>
              <w:spacing w:after="0" w:line="240" w:lineRule="auto"/>
            </w:pPr>
            <w:r>
              <w:rPr>
                <w:sz w:val="15"/>
              </w:rPr>
              <w:t>Unapproved drugs</w:t>
            </w:r>
          </w:p>
        </w:tc>
        <w:tc>
          <w:tcPr>
            <w:tcW w:type="dxa" w:w="4464"/>
            <w:tcMar>
              <w:top w:w="90" w:type="dxa"/>
              <w:start w:w="110" w:type="dxa"/>
              <w:bottom w:w="90" w:type="dxa"/>
              <w:end w:w="110" w:type="dxa"/>
            </w:tcMar>
            <w:vAlign w:val="center"/>
          </w:tcPr>
          <w:p>
            <w:pPr>
              <w:spacing w:after="0" w:line="240" w:lineRule="auto"/>
            </w:pPr>
            <w:r>
              <w:rPr>
                <w:sz w:val="15"/>
              </w:rPr>
              <w:t>Trial exposures differ by compound; no approved performance dose.</w:t>
            </w:r>
          </w:p>
        </w:tc>
        <w:tc>
          <w:tcPr>
            <w:tcW w:type="dxa" w:w="2952"/>
            <w:tcMar>
              <w:top w:w="90" w:type="dxa"/>
              <w:start w:w="110" w:type="dxa"/>
              <w:bottom w:w="90" w:type="dxa"/>
              <w:end w:w="110" w:type="dxa"/>
            </w:tcMar>
            <w:vAlign w:val="center"/>
          </w:tcPr>
          <w:p>
            <w:pPr>
              <w:spacing w:after="0" w:line="240" w:lineRule="auto"/>
            </w:pPr>
            <w:r>
              <w:rPr>
                <w:sz w:val="15"/>
              </w:rPr>
              <w:t>Hormonal, liver, lipid and cardiovascular risks; prohibited in sport.</w:t>
            </w:r>
          </w:p>
        </w:tc>
      </w:tr>
    </w:tbl>
    <w:p>
      <w:pPr>
        <w:spacing w:after="20"/>
      </w:pPr>
    </w:p>
    <w:p>
      <w:pPr>
        <w:pStyle w:val="Heading2"/>
      </w:pPr>
      <w:r>
        <w:t>The four quantities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trPr>
        <w:tc>
          <w:tcPr>
            <w:tcW w:type="dxa" w:w="1800"/>
            <w:shd w:fill="115E59"/>
            <w:tcMar>
              <w:top w:w="90" w:type="dxa"/>
              <w:start w:w="110" w:type="dxa"/>
              <w:bottom w:w="90" w:type="dxa"/>
              <w:end w:w="110" w:type="dxa"/>
            </w:tcMar>
            <w:vAlign w:val="center"/>
          </w:tcPr>
          <w:p>
            <w:pPr>
              <w:jc w:val="center"/>
            </w:pPr>
            <w:r>
              <w:rPr>
                <w:b/>
                <w:color w:val="FFFFFF"/>
                <w:sz w:val="16"/>
              </w:rPr>
              <w:t>Quantity</w:t>
            </w:r>
          </w:p>
        </w:tc>
        <w:tc>
          <w:tcPr>
            <w:tcW w:type="dxa" w:w="4320"/>
            <w:shd w:fill="115E59"/>
            <w:tcMar>
              <w:top w:w="90" w:type="dxa"/>
              <w:start w:w="110" w:type="dxa"/>
              <w:bottom w:w="90" w:type="dxa"/>
              <w:end w:w="110" w:type="dxa"/>
            </w:tcMar>
            <w:vAlign w:val="center"/>
          </w:tcPr>
          <w:p>
            <w:pPr>
              <w:jc w:val="center"/>
            </w:pPr>
            <w:r>
              <w:rPr>
                <w:b/>
                <w:color w:val="FFFFFF"/>
                <w:sz w:val="16"/>
              </w:rPr>
              <w:t>Meaning</w:t>
            </w:r>
          </w:p>
        </w:tc>
        <w:tc>
          <w:tcPr>
            <w:tcW w:type="dxa" w:w="4680"/>
            <w:shd w:fill="115E59"/>
            <w:tcMar>
              <w:top w:w="90" w:type="dxa"/>
              <w:start w:w="110" w:type="dxa"/>
              <w:bottom w:w="90" w:type="dxa"/>
              <w:end w:w="110" w:type="dxa"/>
            </w:tcMar>
            <w:vAlign w:val="center"/>
          </w:tcPr>
          <w:p>
            <w:pPr>
              <w:jc w:val="center"/>
            </w:pPr>
            <w:r>
              <w:rPr>
                <w:b/>
                <w:color w:val="FFFFFF"/>
                <w:sz w:val="16"/>
              </w:rPr>
              <w:t>Example</w:t>
            </w:r>
          </w:p>
        </w:tc>
      </w:tr>
      <w:tr>
        <w:trPr>
          <w:cantSplit/>
        </w:trPr>
        <w:tc>
          <w:tcPr>
            <w:tcW w:type="dxa" w:w="1800"/>
            <w:tcMar>
              <w:top w:w="90" w:type="dxa"/>
              <w:start w:w="110" w:type="dxa"/>
              <w:bottom w:w="90" w:type="dxa"/>
              <w:end w:w="110" w:type="dxa"/>
            </w:tcMar>
            <w:vAlign w:val="center"/>
          </w:tcPr>
          <w:p>
            <w:pPr>
              <w:spacing w:after="0" w:line="240" w:lineRule="auto"/>
            </w:pPr>
            <w:r>
              <w:rPr>
                <w:sz w:val="16"/>
              </w:rPr>
              <w:t>Vial mass</w:t>
            </w:r>
          </w:p>
        </w:tc>
        <w:tc>
          <w:tcPr>
            <w:tcW w:type="dxa" w:w="4320"/>
            <w:tcMar>
              <w:top w:w="90" w:type="dxa"/>
              <w:start w:w="110" w:type="dxa"/>
              <w:bottom w:w="90" w:type="dxa"/>
              <w:end w:w="110" w:type="dxa"/>
            </w:tcMar>
            <w:vAlign w:val="center"/>
          </w:tcPr>
          <w:p>
            <w:pPr>
              <w:spacing w:after="0" w:line="240" w:lineRule="auto"/>
            </w:pPr>
            <w:r>
              <w:rPr>
                <w:sz w:val="16"/>
              </w:rPr>
              <w:t>Total material stated on the vial</w:t>
            </w:r>
          </w:p>
        </w:tc>
        <w:tc>
          <w:tcPr>
            <w:tcW w:type="dxa" w:w="4680"/>
            <w:tcMar>
              <w:top w:w="90" w:type="dxa"/>
              <w:start w:w="110" w:type="dxa"/>
              <w:bottom w:w="90" w:type="dxa"/>
              <w:end w:w="110" w:type="dxa"/>
            </w:tcMar>
            <w:vAlign w:val="center"/>
          </w:tcPr>
          <w:p>
            <w:pPr>
              <w:spacing w:after="0" w:line="240" w:lineRule="auto"/>
            </w:pPr>
            <w:r>
              <w:rPr>
                <w:sz w:val="16"/>
              </w:rPr>
              <w:t>5 mg = 5,000 mcg</w:t>
            </w:r>
          </w:p>
        </w:tc>
      </w:tr>
      <w:tr>
        <w:trPr>
          <w:cantSplit/>
        </w:trPr>
        <w:tc>
          <w:tcPr>
            <w:tcW w:type="dxa" w:w="1800"/>
            <w:tcMar>
              <w:top w:w="90" w:type="dxa"/>
              <w:start w:w="110" w:type="dxa"/>
              <w:bottom w:w="90" w:type="dxa"/>
              <w:end w:w="110" w:type="dxa"/>
            </w:tcMar>
            <w:shd w:fill="F7F8FA"/>
            <w:vAlign w:val="center"/>
          </w:tcPr>
          <w:p>
            <w:pPr>
              <w:spacing w:after="0" w:line="240" w:lineRule="auto"/>
            </w:pPr>
            <w:r>
              <w:rPr>
                <w:sz w:val="16"/>
              </w:rPr>
              <w:t>Diluent volume</w:t>
            </w:r>
          </w:p>
        </w:tc>
        <w:tc>
          <w:tcPr>
            <w:tcW w:type="dxa" w:w="4320"/>
            <w:tcMar>
              <w:top w:w="90" w:type="dxa"/>
              <w:start w:w="110" w:type="dxa"/>
              <w:bottom w:w="90" w:type="dxa"/>
              <w:end w:w="110" w:type="dxa"/>
            </w:tcMar>
            <w:shd w:fill="F7F8FA"/>
            <w:vAlign w:val="center"/>
          </w:tcPr>
          <w:p>
            <w:pPr>
              <w:spacing w:after="0" w:line="240" w:lineRule="auto"/>
            </w:pPr>
            <w:r>
              <w:rPr>
                <w:sz w:val="16"/>
              </w:rPr>
              <w:t>Total liquid added</w:t>
            </w:r>
          </w:p>
        </w:tc>
        <w:tc>
          <w:tcPr>
            <w:tcW w:type="dxa" w:w="4680"/>
            <w:tcMar>
              <w:top w:w="90" w:type="dxa"/>
              <w:start w:w="110" w:type="dxa"/>
              <w:bottom w:w="90" w:type="dxa"/>
              <w:end w:w="110" w:type="dxa"/>
            </w:tcMar>
            <w:shd w:fill="F7F8FA"/>
            <w:vAlign w:val="center"/>
          </w:tcPr>
          <w:p>
            <w:pPr>
              <w:spacing w:after="0" w:line="240" w:lineRule="auto"/>
            </w:pPr>
            <w:r>
              <w:rPr>
                <w:sz w:val="16"/>
              </w:rPr>
              <w:t>2 mL</w:t>
            </w:r>
          </w:p>
        </w:tc>
      </w:tr>
      <w:tr>
        <w:trPr>
          <w:cantSplit/>
        </w:trPr>
        <w:tc>
          <w:tcPr>
            <w:tcW w:type="dxa" w:w="1800"/>
            <w:tcMar>
              <w:top w:w="90" w:type="dxa"/>
              <w:start w:w="110" w:type="dxa"/>
              <w:bottom w:w="90" w:type="dxa"/>
              <w:end w:w="110" w:type="dxa"/>
            </w:tcMar>
            <w:vAlign w:val="center"/>
          </w:tcPr>
          <w:p>
            <w:pPr>
              <w:spacing w:after="0" w:line="240" w:lineRule="auto"/>
            </w:pPr>
            <w:r>
              <w:rPr>
                <w:sz w:val="16"/>
              </w:rPr>
              <w:t>Concentration</w:t>
            </w:r>
          </w:p>
        </w:tc>
        <w:tc>
          <w:tcPr>
            <w:tcW w:type="dxa" w:w="4320"/>
            <w:tcMar>
              <w:top w:w="90" w:type="dxa"/>
              <w:start w:w="110" w:type="dxa"/>
              <w:bottom w:w="90" w:type="dxa"/>
              <w:end w:w="110" w:type="dxa"/>
            </w:tcMar>
            <w:vAlign w:val="center"/>
          </w:tcPr>
          <w:p>
            <w:pPr>
              <w:spacing w:after="0" w:line="240" w:lineRule="auto"/>
            </w:pPr>
            <w:r>
              <w:rPr>
                <w:sz w:val="16"/>
              </w:rPr>
              <w:t>Mass per mL</w:t>
            </w:r>
          </w:p>
        </w:tc>
        <w:tc>
          <w:tcPr>
            <w:tcW w:type="dxa" w:w="4680"/>
            <w:tcMar>
              <w:top w:w="90" w:type="dxa"/>
              <w:start w:w="110" w:type="dxa"/>
              <w:bottom w:w="90" w:type="dxa"/>
              <w:end w:w="110" w:type="dxa"/>
            </w:tcMar>
            <w:vAlign w:val="center"/>
          </w:tcPr>
          <w:p>
            <w:pPr>
              <w:spacing w:after="0" w:line="240" w:lineRule="auto"/>
            </w:pPr>
            <w:r>
              <w:rPr>
                <w:sz w:val="16"/>
              </w:rPr>
              <w:t>5,000 mcg / 2 mL = 2,500 mcg/mL</w:t>
            </w:r>
          </w:p>
        </w:tc>
      </w:tr>
      <w:tr>
        <w:trPr>
          <w:cantSplit/>
        </w:trPr>
        <w:tc>
          <w:tcPr>
            <w:tcW w:type="dxa" w:w="1800"/>
            <w:tcMar>
              <w:top w:w="90" w:type="dxa"/>
              <w:start w:w="110" w:type="dxa"/>
              <w:bottom w:w="90" w:type="dxa"/>
              <w:end w:w="110" w:type="dxa"/>
            </w:tcMar>
            <w:shd w:fill="F7F8FA"/>
            <w:vAlign w:val="center"/>
          </w:tcPr>
          <w:p>
            <w:pPr>
              <w:spacing w:after="0" w:line="240" w:lineRule="auto"/>
            </w:pPr>
            <w:r>
              <w:rPr>
                <w:sz w:val="16"/>
              </w:rPr>
              <w:t>Draw volume</w:t>
            </w:r>
          </w:p>
        </w:tc>
        <w:tc>
          <w:tcPr>
            <w:tcW w:type="dxa" w:w="4320"/>
            <w:tcMar>
              <w:top w:w="90" w:type="dxa"/>
              <w:start w:w="110" w:type="dxa"/>
              <w:bottom w:w="90" w:type="dxa"/>
              <w:end w:w="110" w:type="dxa"/>
            </w:tcMar>
            <w:shd w:fill="F7F8FA"/>
            <w:vAlign w:val="center"/>
          </w:tcPr>
          <w:p>
            <w:pPr>
              <w:spacing w:after="0" w:line="240" w:lineRule="auto"/>
            </w:pPr>
            <w:r>
              <w:rPr>
                <w:sz w:val="16"/>
              </w:rPr>
              <w:t>Target mass divided by concentration</w:t>
            </w:r>
          </w:p>
        </w:tc>
        <w:tc>
          <w:tcPr>
            <w:tcW w:type="dxa" w:w="4680"/>
            <w:tcMar>
              <w:top w:w="90" w:type="dxa"/>
              <w:start w:w="110" w:type="dxa"/>
              <w:bottom w:w="90" w:type="dxa"/>
              <w:end w:w="110" w:type="dxa"/>
            </w:tcMar>
            <w:shd w:fill="F7F8FA"/>
            <w:vAlign w:val="center"/>
          </w:tcPr>
          <w:p>
            <w:pPr>
              <w:spacing w:after="0" w:line="240" w:lineRule="auto"/>
            </w:pPr>
            <w:r>
              <w:rPr>
                <w:sz w:val="16"/>
              </w:rPr>
              <w:t>250 mcg / 2,500 mcg/mL = 0.10 mL</w:t>
            </w:r>
          </w:p>
        </w:tc>
      </w:tr>
    </w:tbl>
    <w:p>
      <w:pPr>
        <w:spacing w:after="20"/>
      </w:pPr>
    </w:p>
    <w:p>
      <w:r>
        <w:t>For a U-100 syringe, 100 marked units equal 1 mL, so 0.10 mL equals 10 marked units. Syringe units are volume marks, not milligrams, micrograms, or international units.</w:t>
      </w:r>
    </w:p>
    <w:p>
      <w:pPr>
        <w:spacing w:before="80" w:after="140"/>
        <w:ind w:left="230" w:right="230"/>
        <w:shd w:fill="E7F5F3"/>
      </w:pPr>
      <w:r>
        <w:rPr>
          <w:b/>
          <w:color w:val="B42318"/>
        </w:rPr>
        <w:t xml:space="preserve">Do not use this math to invent a dose. </w:t>
      </w:r>
      <w:r>
        <w:t>It only converts a dose that has already been validly specified for the exact product and formulation. Approved prefilled pens and autoinjectors should be used exactly as labeled, not emptied, diluted, or transferred.</w:t>
      </w:r>
    </w:p>
    <w:p>
      <w:pPr>
        <w:pStyle w:val="Heading2"/>
      </w:pPr>
      <w:r>
        <w:t>Laboratory calculation formulas</w:t>
      </w:r>
    </w:p>
    <w:p>
      <w:pPr>
        <w:pStyle w:val="ListBullet"/>
        <w:spacing w:after="40"/>
      </w:pPr>
      <w:r>
        <w:t>Concentration in mcg/mL = vial mass in mg x 1,000 / diluent volume in mL.</w:t>
      </w:r>
    </w:p>
    <w:p>
      <w:pPr>
        <w:pStyle w:val="ListBullet"/>
        <w:spacing w:after="40"/>
      </w:pPr>
      <w:r>
        <w:t>Draw volume in mL = target mass in mcg / concentration in mcg/mL.</w:t>
      </w:r>
    </w:p>
    <w:p>
      <w:pPr>
        <w:pStyle w:val="ListBullet"/>
        <w:spacing w:after="40"/>
      </w:pPr>
      <w:r>
        <w:t>U-100 marked units = draw volume in mL x 100.</w:t>
      </w:r>
    </w:p>
    <w:p>
      <w:pPr>
        <w:pStyle w:val="ListBullet"/>
        <w:spacing w:after="40"/>
      </w:pPr>
      <w:r>
        <w:t>Theoretical doses per vial = vial mass in mcg / target mass in mcg. Real recovery may be lower because of residual volume and handling loss.</w:t>
      </w:r>
    </w:p>
    <w:p>
      <w:bookmarkStart w:id="9" w:name="decisions"/>
      <w:pPr>
        <w:pStyle w:val="Heading1"/>
        <w:spacing w:before="240" w:after="160"/>
        <w:ind w:left="0" w:right="0"/>
        <w:shd w:fill="115E59"/>
        <w:spacing w:before="150" w:after="150"/>
      </w:pPr>
      <w:r>
        <w:rPr>
          <w:color w:val="FFFFFF"/>
        </w:rPr>
        <w:t>9 Better decisions before any protocol</w:t>
      </w:r>
      <w:bookmarkEnd w:id="9"/>
    </w:p>
    <w:p>
      <w:pPr>
        <w:pStyle w:val="Heading2"/>
      </w:pPr>
      <w:r>
        <w:t>Questions for a prescribing clinician</w:t>
      </w:r>
    </w:p>
    <w:p>
      <w:pPr>
        <w:pStyle w:val="ListBullet"/>
        <w:spacing w:after="40"/>
      </w:pPr>
      <w:r>
        <w:t>What diagnosis or measurable problem are we treating, and what is the evidence for this specific product?</w:t>
      </w:r>
    </w:p>
    <w:p>
      <w:pPr>
        <w:pStyle w:val="ListBullet"/>
        <w:spacing w:after="40"/>
      </w:pPr>
      <w:r>
        <w:t>Is there an FDA-approved option with known manufacturing controls, labeling, and pharmacovigilance?</w:t>
      </w:r>
    </w:p>
    <w:p>
      <w:pPr>
        <w:pStyle w:val="ListBullet"/>
        <w:spacing w:after="40"/>
      </w:pPr>
      <w:r>
        <w:t>What baseline labs, vital signs, or history change the risk-benefit decision?</w:t>
      </w:r>
    </w:p>
    <w:p>
      <w:pPr>
        <w:pStyle w:val="ListBullet"/>
        <w:spacing w:after="40"/>
      </w:pPr>
      <w:r>
        <w:t>Which adverse effects require stopping, urgent evaluation, or dose adjustment?</w:t>
      </w:r>
    </w:p>
    <w:p>
      <w:pPr>
        <w:pStyle w:val="ListBullet"/>
        <w:spacing w:after="40"/>
      </w:pPr>
      <w:r>
        <w:t>What is the review date and the definition of success or failure?</w:t>
      </w:r>
    </w:p>
    <w:p>
      <w:pPr>
        <w:pStyle w:val="ListBullet"/>
        <w:spacing w:after="40"/>
      </w:pPr>
      <w:r>
        <w:t>Could this interact with insulin, sulfonylureas, antihypertensives, anticoagulants, fertility drugs, cancer therapy, or psychiatric medication?</w:t>
      </w:r>
    </w:p>
    <w:p>
      <w:pPr>
        <w:pStyle w:val="Heading2"/>
      </w:pPr>
      <w:r>
        <w:t>Questions for a veterinarian</w:t>
      </w:r>
    </w:p>
    <w:p>
      <w:pPr>
        <w:pStyle w:val="ListBullet"/>
        <w:spacing w:after="40"/>
      </w:pPr>
      <w:r>
        <w:t>What established veterinary diagnoses could explain the change in mobility, recovery, skin, coat, appetite, or behavior?</w:t>
      </w:r>
    </w:p>
    <w:p>
      <w:pPr>
        <w:pStyle w:val="ListBullet"/>
        <w:spacing w:after="40"/>
      </w:pPr>
      <w:r>
        <w:t>Which approved veterinary treatments have evidence for this species, breed, age, and condition?</w:t>
      </w:r>
    </w:p>
    <w:p>
      <w:pPr>
        <w:pStyle w:val="ListBullet"/>
        <w:spacing w:after="40"/>
      </w:pPr>
      <w:r>
        <w:t>Could kidney, liver, endocrine, cardiac, neurologic, or cancer risk change the plan?</w:t>
      </w:r>
    </w:p>
    <w:p>
      <w:pPr>
        <w:pStyle w:val="ListBullet"/>
        <w:spacing w:after="40"/>
      </w:pPr>
      <w:r>
        <w:t>What objective baseline should we record: gait video, pain score, weight, activity, lab work, or imaging?</w:t>
      </w:r>
    </w:p>
    <w:p>
      <w:pPr>
        <w:pStyle w:val="Heading2"/>
      </w:pPr>
      <w:r>
        <w:t>Where EVLV fits</w:t>
      </w:r>
    </w:p>
    <w:p>
      <w:pPr>
        <w:spacing w:after="80"/>
      </w:pPr>
      <w:r>
        <w:rPr>
          <w:b/>
          <w:color w:val="111827"/>
        </w:rPr>
        <w:t xml:space="preserve">For research procurement and batch documentation </w:t>
      </w:r>
      <w:hyperlink r:id="rId11">
        <w:r>
          <w:rPr>
            <w:color w:val="115E59"/>
            <w:u w:val="single"/>
            <w:b/>
          </w:rPr>
          <w:t>evlvpeptides.com</w:t>
        </w:r>
      </w:hyperlink>
    </w:p>
    <w:p>
      <w:pPr>
        <w:spacing w:after="80"/>
      </w:pPr>
      <w:r>
        <w:rPr>
          <w:b/>
          <w:color w:val="111827"/>
        </w:rPr>
        <w:t xml:space="preserve">For education before a clinician conversation </w:t>
      </w:r>
      <w:hyperlink r:id="rId12">
        <w:r>
          <w:rPr>
            <w:color w:val="115E59"/>
            <w:u w:val="single"/>
            <w:b/>
          </w:rPr>
          <w:t>Book the free EVLV wellness optimization call</w:t>
        </w:r>
      </w:hyperlink>
    </w:p>
    <w:p>
      <w:pPr>
        <w:spacing w:after="80"/>
      </w:pPr>
      <w:r>
        <w:rPr>
          <w:b/>
          <w:color w:val="111827"/>
        </w:rPr>
        <w:t xml:space="preserve">For canine research information and records </w:t>
      </w:r>
      <w:hyperlink r:id="rId13">
        <w:r>
          <w:rPr>
            <w:color w:val="115E59"/>
            <w:u w:val="single"/>
            <w:b/>
          </w:rPr>
          <w:t>zoonetics.co</w:t>
        </w:r>
      </w:hyperlink>
    </w:p>
    <w:p>
      <w:r>
        <w:t>These paths serve different purposes. Research suppliers do not replace licensed medical or veterinary care, and educational sessions do not diagnose, prescribe, or set doses.</w:t>
      </w:r>
    </w:p>
    <w:p>
      <w:r>
        <w:br w:type="page"/>
      </w:r>
    </w:p>
    <w:p>
      <w:pPr>
        <w:pStyle w:val="Heading1"/>
      </w:pPr>
      <w:r>
        <w:t>Research notes and primary links</w:t>
      </w:r>
    </w:p>
    <w:p>
      <w:r>
        <w:t>Accessed 19 October 2026. Regulatory labels change; always use the current version for a prescribed product.</w:t>
      </w:r>
    </w:p>
    <w:p>
      <w:pPr>
        <w:pStyle w:val="Small"/>
        <w:ind w:left="259" w:hanging="259"/>
      </w:pPr>
      <w:r>
        <w:t xml:space="preserve">1. </w:t>
      </w:r>
      <w:hyperlink r:id="rId16">
        <w:r>
          <w:rPr>
            <w:color w:val="115E59"/>
            <w:u w:val="single"/>
          </w:rPr>
          <w:t>Semaglutide prescribing information, DailyMed</w:t>
        </w:r>
      </w:hyperlink>
    </w:p>
    <w:p>
      <w:pPr>
        <w:pStyle w:val="Small"/>
        <w:ind w:left="259" w:hanging="259"/>
      </w:pPr>
      <w:r>
        <w:t xml:space="preserve">2. </w:t>
      </w:r>
      <w:hyperlink r:id="rId17">
        <w:r>
          <w:rPr>
            <w:color w:val="115E59"/>
            <w:u w:val="single"/>
          </w:rPr>
          <w:t>Tirzepatide prescribing information, DailyMed</w:t>
        </w:r>
      </w:hyperlink>
    </w:p>
    <w:p>
      <w:pPr>
        <w:pStyle w:val="Small"/>
        <w:ind w:left="259" w:hanging="259"/>
      </w:pPr>
      <w:r>
        <w:t xml:space="preserve">3. </w:t>
      </w:r>
      <w:hyperlink r:id="rId18">
        <w:r>
          <w:rPr>
            <w:color w:val="115E59"/>
            <w:u w:val="single"/>
          </w:rPr>
          <w:t>Tesamorelin prescribing information, DailyMed</w:t>
        </w:r>
      </w:hyperlink>
    </w:p>
    <w:p>
      <w:pPr>
        <w:pStyle w:val="Small"/>
        <w:ind w:left="259" w:hanging="259"/>
      </w:pPr>
      <w:r>
        <w:t xml:space="preserve">4. </w:t>
      </w:r>
      <w:hyperlink r:id="rId19">
        <w:r>
          <w:rPr>
            <w:color w:val="115E59"/>
            <w:u w:val="single"/>
          </w:rPr>
          <w:t>Bremelanotide prescribing information, DailyMed</w:t>
        </w:r>
      </w:hyperlink>
    </w:p>
    <w:p>
      <w:pPr>
        <w:pStyle w:val="Small"/>
        <w:ind w:left="259" w:hanging="259"/>
      </w:pPr>
      <w:r>
        <w:t xml:space="preserve">5. </w:t>
      </w:r>
      <w:hyperlink r:id="rId20">
        <w:r>
          <w:rPr>
            <w:color w:val="115E59"/>
            <w:u w:val="single"/>
          </w:rPr>
          <w:t>Teriparatide prescribing information, DailyMed</w:t>
        </w:r>
      </w:hyperlink>
    </w:p>
    <w:p>
      <w:pPr>
        <w:pStyle w:val="Small"/>
        <w:ind w:left="259" w:hanging="259"/>
      </w:pPr>
      <w:r>
        <w:t xml:space="preserve">6. </w:t>
      </w:r>
      <w:hyperlink r:id="rId21">
        <w:r>
          <w:rPr>
            <w:color w:val="115E59"/>
            <w:u w:val="single"/>
          </w:rPr>
          <w:t>Retatrutide phase 2 obesity trial, New England Journal of Medicine</w:t>
        </w:r>
      </w:hyperlink>
    </w:p>
    <w:p>
      <w:pPr>
        <w:pStyle w:val="Small"/>
        <w:ind w:left="259" w:hanging="259"/>
      </w:pPr>
      <w:r>
        <w:t xml:space="preserve">7. </w:t>
      </w:r>
      <w:hyperlink r:id="rId22">
        <w:r>
          <w:rPr>
            <w:color w:val="115E59"/>
            <w:u w:val="single"/>
          </w:rPr>
          <w:t>Cagrilintide dose-finding phase 2 trial, The Lancet</w:t>
        </w:r>
      </w:hyperlink>
    </w:p>
    <w:p>
      <w:pPr>
        <w:pStyle w:val="Small"/>
        <w:ind w:left="259" w:hanging="259"/>
      </w:pPr>
      <w:r>
        <w:t xml:space="preserve">8. </w:t>
      </w:r>
      <w:hyperlink r:id="rId23">
        <w:r>
          <w:rPr>
            <w:color w:val="115E59"/>
            <w:u w:val="single"/>
          </w:rPr>
          <w:t>FDA list of bulk substances that may present significant safety risks</w:t>
        </w:r>
      </w:hyperlink>
    </w:p>
    <w:p>
      <w:pPr>
        <w:pStyle w:val="Small"/>
        <w:ind w:left="259" w:hanging="259"/>
      </w:pPr>
      <w:r>
        <w:t xml:space="preserve">9. </w:t>
      </w:r>
      <w:hyperlink r:id="rId24">
        <w:r>
          <w:rPr>
            <w:color w:val="115E59"/>
            <w:u w:val="single"/>
          </w:rPr>
          <w:t>FDA 2026 Pharmacy Compounding Advisory Committee materials</w:t>
        </w:r>
      </w:hyperlink>
    </w:p>
    <w:p>
      <w:pPr>
        <w:pStyle w:val="Small"/>
        <w:ind w:left="259" w:hanging="259"/>
      </w:pPr>
      <w:r>
        <w:t xml:space="preserve">10. </w:t>
      </w:r>
      <w:hyperlink r:id="rId25">
        <w:r>
          <w:rPr>
            <w:color w:val="115E59"/>
            <w:u w:val="single"/>
          </w:rPr>
          <w:t>2026 World Anti-Doping Agency Prohibited List</w:t>
        </w:r>
      </w:hyperlink>
    </w:p>
    <w:p>
      <w:pPr>
        <w:pStyle w:val="Small"/>
        <w:ind w:left="259" w:hanging="259"/>
      </w:pPr>
      <w:r>
        <w:t xml:space="preserve">11. </w:t>
      </w:r>
      <w:hyperlink r:id="rId26">
        <w:r>
          <w:rPr>
            <w:color w:val="115E59"/>
            <w:u w:val="single"/>
          </w:rPr>
          <w:t>BPC-157 investigational review, PubMed</w:t>
        </w:r>
      </w:hyperlink>
    </w:p>
    <w:p>
      <w:pPr>
        <w:pStyle w:val="Small"/>
        <w:ind w:left="259" w:hanging="259"/>
      </w:pPr>
      <w:r>
        <w:t xml:space="preserve">12. </w:t>
      </w:r>
      <w:hyperlink r:id="rId27">
        <w:r>
          <w:rPr>
            <w:color w:val="115E59"/>
            <w:u w:val="single"/>
          </w:rPr>
          <w:t>FDA warning on SARMs in bodybuilding products</w:t>
        </w:r>
      </w:hyperlink>
    </w:p>
    <w:p>
      <w:pPr>
        <w:pStyle w:val="Small"/>
        <w:ind w:left="259" w:hanging="259"/>
      </w:pPr>
      <w:r>
        <w:t xml:space="preserve">13. </w:t>
      </w:r>
      <w:hyperlink r:id="rId28">
        <w:r>
          <w:rPr>
            <w:color w:val="115E59"/>
            <w:u w:val="single"/>
          </w:rPr>
          <w:t>Enobosarm randomized phase 2 trial, PubMed</w:t>
        </w:r>
      </w:hyperlink>
    </w:p>
    <w:p>
      <w:pPr>
        <w:pStyle w:val="Small"/>
        <w:ind w:left="259" w:hanging="259"/>
      </w:pPr>
      <w:r>
        <w:t xml:space="preserve">14. </w:t>
      </w:r>
      <w:hyperlink r:id="rId29">
        <w:r>
          <w:rPr>
            <w:color w:val="115E59"/>
            <w:u w:val="single"/>
          </w:rPr>
          <w:t>Enobosarm cancer-cachexia phase 2 trial, PubMed</w:t>
        </w:r>
      </w:hyperlink>
    </w:p>
    <w:p>
      <w:pPr>
        <w:pStyle w:val="Small"/>
        <w:ind w:left="259" w:hanging="259"/>
      </w:pPr>
      <w:r>
        <w:t xml:space="preserve">15. </w:t>
      </w:r>
      <w:hyperlink r:id="rId30">
        <w:r>
          <w:rPr>
            <w:color w:val="115E59"/>
            <w:u w:val="single"/>
          </w:rPr>
          <w:t>LGD-4033 randomized trial, PubMed</w:t>
        </w:r>
      </w:hyperlink>
    </w:p>
    <w:p>
      <w:pPr>
        <w:pStyle w:val="Small"/>
        <w:ind w:left="259" w:hanging="259"/>
      </w:pPr>
      <w:r>
        <w:t xml:space="preserve">16. </w:t>
      </w:r>
      <w:hyperlink r:id="rId31">
        <w:r>
          <w:rPr>
            <w:color w:val="115E59"/>
            <w:u w:val="single"/>
          </w:rPr>
          <w:t>MK-677 randomized trial in older adults, PubMed</w:t>
        </w:r>
      </w:hyperlink>
    </w:p>
    <w:p>
      <w:pPr>
        <w:pStyle w:val="Small"/>
        <w:ind w:left="259" w:hanging="259"/>
      </w:pPr>
      <w:r>
        <w:t xml:space="preserve">17. </w:t>
      </w:r>
      <w:hyperlink r:id="rId32">
        <w:r>
          <w:rPr>
            <w:color w:val="115E59"/>
            <w:u w:val="single"/>
          </w:rPr>
          <w:t>EVLV research-use policy and catalogue</w:t>
        </w:r>
      </w:hyperlink>
    </w:p>
    <w:p>
      <w:pPr>
        <w:pStyle w:val="Small"/>
        <w:ind w:left="259" w:hanging="259"/>
      </w:pPr>
      <w:r>
        <w:t xml:space="preserve">18. </w:t>
      </w:r>
      <w:hyperlink r:id="rId33">
        <w:r>
          <w:rPr>
            <w:color w:val="115E59"/>
            <w:u w:val="single"/>
          </w:rPr>
          <w:t>EVLV Today wellness education</w:t>
        </w:r>
      </w:hyperlink>
    </w:p>
    <w:p>
      <w:pPr>
        <w:pStyle w:val="Small"/>
        <w:ind w:left="259" w:hanging="259"/>
      </w:pPr>
      <w:r>
        <w:t xml:space="preserve">19. </w:t>
      </w:r>
      <w:hyperlink r:id="rId13">
        <w:r>
          <w:rPr>
            <w:color w:val="115E59"/>
            <w:u w:val="single"/>
          </w:rPr>
          <w:t>Zoonetics canine research</w:t>
        </w:r>
      </w:hyperlink>
    </w:p>
    <w:p>
      <w:pPr>
        <w:pStyle w:val="Heading2"/>
      </w:pPr>
      <w:r>
        <w:t>Editorial note</w:t>
      </w:r>
    </w:p>
    <w:p>
      <w:r>
        <w:t>Claims and dose context were developed from current regulatory labels, primary trials, and explicit evidence grading. Community-reference values are shown only to explain why they should not be mistaken for established dosing.</w:t>
      </w:r>
    </w:p>
    <w:p>
      <w:pPr>
        <w:pStyle w:val="Heading2"/>
      </w:pPr>
      <w:r>
        <w:t>Final disclaimer</w:t>
      </w:r>
    </w:p>
    <w:p>
      <w:r>
        <w:t>This guide is educational and does not provide medical or veterinary advice, diagnosis, prescribing, individualized dosing, or a treatment plan. Research-use-only materials are not intended for human or animal administration. Consult a licensed healthcare professional for personal medical decisions and a veterinarian for animal-health decisions. In an emergency, contact local emergency services or poison control.</w:t>
      </w:r>
    </w:p>
    <w:sectPr w:rsidR="00FC693F" w:rsidRPr="0006063C" w:rsidSect="00034616">
      <w:footerReference w:type="default" r:id="rId9"/>
      <w:pgSz w:w="12240" w:h="15840"/>
      <w:pgMar w:top="1037" w:right="1094" w:bottom="1037"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5"/>
      </w:rPr>
      <w:t xml:space="preserve">EVLV Peptide Research and Wellness Guide 2026  |  Education only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15E59"/>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F76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00"/>
    </w:pPr>
    <w:rPr>
      <w:rFonts w:ascii="Arial" w:hAnsi="Arial"/>
      <w:b/>
      <w:color w:val="115E59"/>
      <w:sz w:val="16"/>
    </w:rPr>
  </w:style>
  <w:style w:type="paragraph" w:customStyle="1" w:styleId="Small">
    <w:name w:val="Small"/>
    <w:pPr>
      <w:spacing w:after="80"/>
    </w:pPr>
    <w:rPr>
      <w:rFonts w:ascii="Arial" w:hAnsi="Arial"/>
      <w:color w:val="4B556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evlvpeptides.com" TargetMode="External"/><Relationship Id="rId12" Type="http://schemas.openxmlformats.org/officeDocument/2006/relationships/hyperlink" Target="https://evlvtoday.com/book" TargetMode="External"/><Relationship Id="rId13" Type="http://schemas.openxmlformats.org/officeDocument/2006/relationships/hyperlink" Target="https://zoonetics.co"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yperlink" Target="https://dailymed.nlm.nih.gov/dailymed/drugInfo.cfm?setid=ee06186f-2aa3-4990-a760-757579d8f77b" TargetMode="External"/><Relationship Id="rId17" Type="http://schemas.openxmlformats.org/officeDocument/2006/relationships/hyperlink" Target="https://dailymed.nlm.nih.gov/dailymed/fda/fdaDrugXsl.cfm?setid=487cd7e7-434c-4925-99fa-aa80b1cc776b" TargetMode="External"/><Relationship Id="rId18" Type="http://schemas.openxmlformats.org/officeDocument/2006/relationships/hyperlink" Target="https://dailymed.nlm.nih.gov/dailymed/drugInfo.cfm?setid=3d783378-b02d-4f19-99dd-0fc91a042224" TargetMode="External"/><Relationship Id="rId19" Type="http://schemas.openxmlformats.org/officeDocument/2006/relationships/hyperlink" Target="https://dailymed.nlm.nih.gov/dailymed/drugInfo.cfm?setid=f1d0c1b5-2f39-4bad-a6a4-0066e3ad5dcf" TargetMode="External"/><Relationship Id="rId20" Type="http://schemas.openxmlformats.org/officeDocument/2006/relationships/hyperlink" Target="https://www.dailymed.nlm.nih.gov/dailymed/fda/fdaDrugXsl.cfm?setid=ab322675-4769-45b0-b146-14fbaa3135d0&amp;type=display" TargetMode="External"/><Relationship Id="rId21" Type="http://schemas.openxmlformats.org/officeDocument/2006/relationships/hyperlink" Target="https://www.nejm.org/doi/full/10.1056/NEJMoa2301972" TargetMode="External"/><Relationship Id="rId22" Type="http://schemas.openxmlformats.org/officeDocument/2006/relationships/hyperlink" Target="https://www.sciencedirect.com/science/article/pii/S0140673621017517" TargetMode="External"/><Relationship Id="rId23" Type="http://schemas.openxmlformats.org/officeDocument/2006/relationships/hyperlink" Target="https://www.fda.gov/drugs/human-drug-compounding/certain-bulk-drug-substances-use-compounding-may-present-significant-safety-risks" TargetMode="External"/><Relationship Id="rId24" Type="http://schemas.openxmlformats.org/officeDocument/2006/relationships/hyperlink" Target="https://www.fda.gov/advisory-committees/advisory-committee-calendar/july-23-24-2026-meeting-pharmacy-compounding-advisory-committee-07232026" TargetMode="External"/><Relationship Id="rId25" Type="http://schemas.openxmlformats.org/officeDocument/2006/relationships/hyperlink" Target="https://www.wada-ama.org/sites/default/files/2025-09/2026list_en_final_clean_september_2025.pdf" TargetMode="External"/><Relationship Id="rId26" Type="http://schemas.openxmlformats.org/officeDocument/2006/relationships/hyperlink" Target="https://pubmed.ncbi.nlm.nih.gov/42198317/" TargetMode="External"/><Relationship Id="rId27" Type="http://schemas.openxmlformats.org/officeDocument/2006/relationships/hyperlink" Target="https://www.fda.gov/drugs/fraudulent-products/certain-bodybuilding-products-put-consumers-risk-heart-attack-stroke-serious-liver-damage-and-more" TargetMode="External"/><Relationship Id="rId28" Type="http://schemas.openxmlformats.org/officeDocument/2006/relationships/hyperlink" Target="https://pubmed.ncbi.nlm.nih.gov/22031847/" TargetMode="External"/><Relationship Id="rId29" Type="http://schemas.openxmlformats.org/officeDocument/2006/relationships/hyperlink" Target="https://pubmed.ncbi.nlm.nih.gov/23499390/" TargetMode="External"/><Relationship Id="rId30" Type="http://schemas.openxmlformats.org/officeDocument/2006/relationships/hyperlink" Target="https://pubmed.ncbi.nlm.nih.gov/22459616/" TargetMode="External"/><Relationship Id="rId31" Type="http://schemas.openxmlformats.org/officeDocument/2006/relationships/hyperlink" Target="https://pubmed.ncbi.nlm.nih.gov/18981485/" TargetMode="External"/><Relationship Id="rId32" Type="http://schemas.openxmlformats.org/officeDocument/2006/relationships/hyperlink" Target="https://www.evlvpeptides.com/research-peptides-usa" TargetMode="External"/><Relationship Id="rId33" Type="http://schemas.openxmlformats.org/officeDocument/2006/relationships/hyperlink" Target="https://evlvtoda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EVLV Peptide Research and Wellness Guide 2026</dc:title>
  <dc:subject>Evidence, dosing context, safety boundaries and EVLV resources</dc:subject>
  <dc:creator>EVLV</dc:creator>
  <cp:keywords>peptides, research, wellness, dosing context, evidence</cp:keywords>
  <dc:description>generated by python-docx</dc:description>
  <cp:lastModifiedBy/>
  <cp:revision>1</cp:revision>
  <dcterms:created xsi:type="dcterms:W3CDTF">2013-12-23T23:15:00Z</dcterms:created>
  <dcterms:modified xsi:type="dcterms:W3CDTF">2013-12-23T23:15:00Z</dcterms:modified>
  <cp:category/>
</cp:coreProperties>
</file>