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y5nimpd9bhkq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         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 Note: The dataset used for this analysis was limited by the absence of geographic data, which restricted market-level segmentation and regional performance assessment. All findings and recommendations are therefore based on global aggregate trends.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4cm0er8qhxwz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                   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jmzazkl5n0r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                                          Operational Efficiency for Olivia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Insight:</w:t>
        <w:br w:type="textWrapping"/>
        <w:t xml:space="preserve"> Gross margin improved from 11.6% (2017) to 25.5% (2023), but efficiency gains have started to level off as R&amp;D spending has grown significantly faster than total revenue, and the ad segment remains structurally unprofitable.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Issues: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 Segment loses roughly €40M annually.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R&amp;D spending increased 444% with no proportional ROI.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Cost per MAU is rising despite scale growth.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Actions: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Rationalizing R&amp;D to reduce costs below 10% of total Costs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Renegotiate content licensing costs and reduce Ad Segment  expenses by 30–40%.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Optimize marketing spend and accelerate process automation for support and admin functions.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Medium-Term (3–12 months):</w:t>
        <w:br w:type="textWrapping"/>
        <w:t xml:space="preserve"> Optimize infrastructure and marketing efficiency to reduce cost per user and sustain operating margins.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(12–24 months):</w:t>
        <w:br w:type="textWrapping"/>
        <w:t xml:space="preserve"> Transition to a variable cost structure and expand direct artist relationships to reduce label dependency and improve long-term margins.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