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           </w:t>
      </w:r>
      <w:r w:rsidDel="00000000" w:rsidR="00000000" w:rsidRPr="00000000">
        <w:rPr>
          <w:rtl w:val="0"/>
        </w:rPr>
        <w:t xml:space="preserve">Key Message for all three :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  <w:t xml:space="preserve"> Spotify’s traditional “growth-through-scale” model has reached maturity — user and revenue expansion no longer guarantee profit. Sustained success requires strategic alignment across Sarah, Mark, and Olivia’s domains through integrated action on three fronts: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 Fix the conversion funnel (Sarah): Raise premium penetration above 43%(45%).</w:t>
        <w:br w:type="textWrapping"/>
        <w:t xml:space="preserve">2️  Recover ARPU and diversify revenue (Mark): Reduce reliance on low-margin and ad-based streams.</w:t>
        <w:br w:type="textWrapping"/>
        <w:t xml:space="preserve">3️  Optimize cost structure and R&amp;D (Olivia): Free up resources for reinvestment and profitability.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Unified Goal:</w:t>
        <w:br w:type="textWrapping"/>
        <w:t xml:space="preserve"> Achieve sustainable profitability by Q2 2025 through smarter user monetization, dynamic pricing, and operational efficiency — transforming Spotify from a fast-growth company into a scalable, high-margin digital platform.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