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6y7vf2tvgnn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 Note: The dataset used for this analysis was limited by the absence of geographic data, which restricted market-level segmentation and regional performance assessment. All findings and recommendations are therefore based on global aggregate trends.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nd292empv4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b718yaoyd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vaqjbw8yj1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                     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Revenue Optimization for Mark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</w:t>
        <w:br w:type="textWrapping"/>
        <w:t xml:space="preserve"> Total revenue grew 237% since 2017, but Premium ARPU fell by 21% and ad revenue remains unprofitable, masking underlying margin erosion.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Issues: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€1.14 decline in ARPU equals roughly ~€1000 annual revenue loss.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Ad-supported tier loses money (–€10 per quarter).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.Premium Revenue makes up the dominant share of Total Revenue (≈85–90%).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 Revenue is growing faster, but remains unprofitable.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Actions: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Launch a Premium ARPU Recovery Program (price testing, tiered pricing, and family plan optimization).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Fix Ad segment economics through cost cuts, format changes (video/podcast ads), or regional ad removal.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Medium-Term (3–12 months):</w:t>
        <w:br w:type="textWrapping"/>
        <w:t xml:space="preserve"> Implement dynamic, market-based pricing and create new monetization channels via partnerships, devices, and enterprise licensing.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(12–24 months):</w:t>
        <w:br w:type="textWrapping"/>
        <w:t xml:space="preserve"> Achieve 15% revenue diversification beyond subscriptions through podcasts, audiobooks, events, and B2B licensing streams.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