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Note: The dataset used for this analysis was limited by the absence of geographic data, which restricted market-level segmentation and regional performance assessment. All findings and recommendations are therefore based on global aggregate trends.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wsep3ivom6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Strategic Growth Overview for Sarah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Insight:</w:t>
        <w:br w:type="textWrapping"/>
        <w:t xml:space="preserve"> Spotify achieved impressive user growth (293% since 2017), but premium conversion has stagnated at between 40% &amp; 45%, growth is decelerating, and the user base is increasingly skewed toward lower-value ad-supported users.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Issues: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conversion has remained flat for over four years.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User growth rates dropped from ~40%+ to ~15% YoY.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 ARPU and Market saturation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Actions: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Launch a systematic conversion optimization program ( trial pricing and new “freemium-premium” plans).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localized market strategies – retention and ARPU focus in mature regions, aggressive acquisition in growth markets.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Medium-Term (3–12 months):</w:t>
        <w:br w:type="textWrapping"/>
        <w:t xml:space="preserve"> Diversify the platform through podcasts, audiobooks, and partnership bundles to drive new engagement and monetization streams.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(12–24 months):</w:t>
        <w:br w:type="textWrapping"/>
        <w:t xml:space="preserve"> Build an AI-driven, personalized audio ecosystem with direct artist relationships and expansion into high-growth markets (India, Africa, Southeast Asia).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