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keepNext/>
        <w:keepLines/>
        <w:widowControl/>
      </w:pPr>
      <w:r>
        <w:rPr>
          <w:rFonts w:ascii="Times New Roman" w:hAnsi="Times New Roman" w:eastAsia="Times New Roman"/>
          <w:b/>
          <w:color w:val="000000"/>
          <w:sz w:val="32"/>
        </w:rPr>
        <w:t>МЕМОРАНДУМ</w:t>
      </w:r>
    </w:p>
    <w:p>
      <w:pPr>
        <w:spacing w:before="0" w:after="40"/>
        <w:jc w:val="center"/>
        <w:keepNext/>
        <w:keepLines/>
        <w:widowControl/>
      </w:pPr>
      <w:r>
        <w:rPr>
          <w:rFonts w:ascii="Times New Roman" w:hAnsi="Times New Roman" w:eastAsia="Times New Roman"/>
          <w:b/>
          <w:color w:val="000000"/>
          <w:sz w:val="26"/>
        </w:rPr>
        <w:t>ЗА ОБЩИ НАМЕРЕНИЯ И ПРЕДУЧРЕДИТЕЛНО СЪТРУДНИЧЕСТВО</w:t>
      </w:r>
    </w:p>
    <w:p>
      <w:pPr>
        <w:spacing w:before="0" w:after="320"/>
        <w:jc w:val="center"/>
        <w:keepNext/>
        <w:keepLines/>
        <w:widowControl/>
      </w:pPr>
      <w:r>
        <w:rPr>
          <w:rFonts w:ascii="Times New Roman" w:hAnsi="Times New Roman" w:eastAsia="Times New Roman"/>
          <w:b/>
          <w:color w:val="444444"/>
          <w:sz w:val="24"/>
        </w:rPr>
        <w:t>ПО ПРОЕКТ „ORGOfly“</w:t>
      </w:r>
    </w:p>
    <w:p>
      <w:pPr>
        <w:pStyle w:val="BodyLegal"/>
        <w:spacing w:before="0" w:after="120" w:line="276" w:lineRule="auto"/>
        <w:jc w:val="left"/>
        <w:keepLines/>
        <w:widowControl/>
      </w:pPr>
      <w:r>
        <w:rPr>
          <w:rFonts w:ascii="Times New Roman" w:hAnsi="Times New Roman" w:eastAsia="Times New Roman"/>
          <w:i w:val="0"/>
          <w:color w:val="000000"/>
          <w:sz w:val="23"/>
        </w:rPr>
        <w:t xml:space="preserve">Днес, </w:t>
      </w:r>
      <w:r>
        <w:rPr>
          <w:rFonts w:ascii="Times New Roman" w:hAnsi="Times New Roman" w:eastAsia="Times New Roman"/>
          <w:b/>
          <w:i w:val="0"/>
          <w:color w:val="000000"/>
          <w:sz w:val="23"/>
        </w:rPr>
        <w:t>5 август 2026 г.</w:t>
      </w:r>
      <w:r>
        <w:rPr>
          <w:rFonts w:ascii="Times New Roman" w:hAnsi="Times New Roman" w:eastAsia="Times New Roman"/>
          <w:i w:val="0"/>
          <w:color w:val="000000"/>
          <w:sz w:val="23"/>
        </w:rPr>
        <w:t xml:space="preserve">, в гр. </w:t>
      </w:r>
      <w:r>
        <w:rPr>
          <w:rFonts w:ascii="Times New Roman" w:hAnsi="Times New Roman" w:eastAsia="Times New Roman"/>
          <w:b/>
          <w:color w:val="333333"/>
          <w:sz w:val="23"/>
          <w:shd w:val="clear" w:color="auto" w:fill="E7E6E6"/>
        </w:rPr>
        <w:t>[НАСЕЛЕНО МЯСТО]</w:t>
      </w:r>
      <w:r>
        <w:rPr>
          <w:rFonts w:ascii="Times New Roman" w:hAnsi="Times New Roman" w:eastAsia="Times New Roman"/>
          <w:i w:val="0"/>
          <w:color w:val="000000"/>
          <w:sz w:val="23"/>
        </w:rPr>
        <w:t>, настоящият Меморандум е подписан от:</w:t>
      </w:r>
    </w:p>
    <w:p>
      <w:pPr>
        <w:pStyle w:val="BodyLegal"/>
        <w:spacing w:before="0" w:after="120" w:line="276" w:lineRule="auto"/>
        <w:jc w:val="both"/>
        <w:numPr>
          <w:ilvl w:val="0"/>
          <w:numId w:val="10"/>
        </w:numPr>
        <w:keepLines/>
        <w:widowControl/>
      </w:pPr>
      <w:r>
        <w:rPr>
          <w:rFonts w:ascii="Times New Roman" w:hAnsi="Times New Roman" w:eastAsia="Times New Roman"/>
          <w:b/>
          <w:color w:val="333333"/>
          <w:sz w:val="23"/>
          <w:shd w:val="clear" w:color="auto" w:fill="E7E6E6"/>
        </w:rPr>
        <w:t>[ТРИ ИМЕНА]</w:t>
      </w:r>
      <w:r>
        <w:rPr>
          <w:rFonts w:ascii="Times New Roman" w:hAnsi="Times New Roman" w:eastAsia="Times New Roman"/>
          <w:i w:val="0"/>
          <w:color w:val="000000"/>
          <w:sz w:val="23"/>
        </w:rPr>
        <w:t xml:space="preserve">, гражданство </w:t>
      </w:r>
      <w:r>
        <w:rPr>
          <w:rFonts w:ascii="Times New Roman" w:hAnsi="Times New Roman" w:eastAsia="Times New Roman"/>
          <w:b/>
          <w:color w:val="333333"/>
          <w:sz w:val="23"/>
          <w:shd w:val="clear" w:color="auto" w:fill="E7E6E6"/>
        </w:rPr>
        <w:t>[ГРАЖДАНСТВО]</w:t>
      </w:r>
      <w:r>
        <w:rPr>
          <w:rFonts w:ascii="Times New Roman" w:hAnsi="Times New Roman" w:eastAsia="Times New Roman"/>
          <w:i w:val="0"/>
          <w:color w:val="000000"/>
          <w:sz w:val="23"/>
        </w:rPr>
        <w:t xml:space="preserve">, ЕГН/ЛНЧ/друг идентификатор </w:t>
      </w:r>
      <w:r>
        <w:rPr>
          <w:rFonts w:ascii="Times New Roman" w:hAnsi="Times New Roman" w:eastAsia="Times New Roman"/>
          <w:b/>
          <w:color w:val="333333"/>
          <w:sz w:val="23"/>
          <w:shd w:val="clear" w:color="auto" w:fill="E7E6E6"/>
        </w:rPr>
        <w:t>[ИДЕНТИФИКАТОР]</w:t>
      </w:r>
      <w:r>
        <w:rPr>
          <w:rFonts w:ascii="Times New Roman" w:hAnsi="Times New Roman" w:eastAsia="Times New Roman"/>
          <w:i w:val="0"/>
          <w:color w:val="000000"/>
          <w:sz w:val="23"/>
        </w:rPr>
        <w:t xml:space="preserve">, документ за самоличност </w:t>
      </w:r>
      <w:r>
        <w:rPr>
          <w:rFonts w:ascii="Times New Roman" w:hAnsi="Times New Roman" w:eastAsia="Times New Roman"/>
          <w:b/>
          <w:color w:val="333333"/>
          <w:sz w:val="23"/>
          <w:shd w:val="clear" w:color="auto" w:fill="E7E6E6"/>
        </w:rPr>
        <w:t>[ВИД, НОМЕР, ДАТА И ОРГАН НА ИЗДАВАНЕ]</w:t>
      </w:r>
      <w:r>
        <w:rPr>
          <w:rFonts w:ascii="Times New Roman" w:hAnsi="Times New Roman" w:eastAsia="Times New Roman"/>
          <w:i w:val="0"/>
          <w:color w:val="000000"/>
          <w:sz w:val="23"/>
        </w:rPr>
        <w:t xml:space="preserve">, адрес </w:t>
      </w:r>
      <w:r>
        <w:rPr>
          <w:rFonts w:ascii="Times New Roman" w:hAnsi="Times New Roman" w:eastAsia="Times New Roman"/>
          <w:b/>
          <w:color w:val="333333"/>
          <w:sz w:val="23"/>
          <w:shd w:val="clear" w:color="auto" w:fill="E7E6E6"/>
        </w:rPr>
        <w:t>[АДРЕС]</w:t>
      </w:r>
      <w:r>
        <w:rPr>
          <w:rFonts w:ascii="Times New Roman" w:hAnsi="Times New Roman" w:eastAsia="Times New Roman"/>
          <w:i w:val="0"/>
          <w:color w:val="000000"/>
          <w:sz w:val="23"/>
        </w:rPr>
        <w:t xml:space="preserve">, електронна поща </w:t>
      </w:r>
      <w:r>
        <w:rPr>
          <w:rFonts w:ascii="Times New Roman" w:hAnsi="Times New Roman" w:eastAsia="Times New Roman"/>
          <w:b/>
          <w:color w:val="333333"/>
          <w:sz w:val="23"/>
          <w:shd w:val="clear" w:color="auto" w:fill="E7E6E6"/>
        </w:rPr>
        <w:t>[ЕЛЕКТРОННА ПОЩА]</w:t>
      </w:r>
      <w:r>
        <w:rPr>
          <w:rFonts w:ascii="Times New Roman" w:hAnsi="Times New Roman" w:eastAsia="Times New Roman"/>
          <w:i w:val="0"/>
          <w:color w:val="000000"/>
          <w:sz w:val="23"/>
        </w:rPr>
        <w:t>.</w:t>
      </w:r>
    </w:p>
    <w:p>
      <w:pPr>
        <w:pStyle w:val="BodyLegal"/>
        <w:spacing w:before="0" w:after="120" w:line="276" w:lineRule="auto"/>
        <w:jc w:val="both"/>
        <w:numPr>
          <w:ilvl w:val="0"/>
          <w:numId w:val="10"/>
        </w:numPr>
        <w:keepLines/>
        <w:widowControl/>
      </w:pPr>
      <w:r>
        <w:rPr>
          <w:rFonts w:ascii="Times New Roman" w:hAnsi="Times New Roman" w:eastAsia="Times New Roman"/>
          <w:b/>
          <w:color w:val="333333"/>
          <w:sz w:val="23"/>
          <w:shd w:val="clear" w:color="auto" w:fill="E7E6E6"/>
        </w:rPr>
        <w:t>[ТРИ ИМЕНА]</w:t>
      </w:r>
      <w:r>
        <w:rPr>
          <w:rFonts w:ascii="Times New Roman" w:hAnsi="Times New Roman" w:eastAsia="Times New Roman"/>
          <w:i w:val="0"/>
          <w:color w:val="000000"/>
          <w:sz w:val="23"/>
        </w:rPr>
        <w:t xml:space="preserve">, гражданство </w:t>
      </w:r>
      <w:r>
        <w:rPr>
          <w:rFonts w:ascii="Times New Roman" w:hAnsi="Times New Roman" w:eastAsia="Times New Roman"/>
          <w:b/>
          <w:color w:val="333333"/>
          <w:sz w:val="23"/>
          <w:shd w:val="clear" w:color="auto" w:fill="E7E6E6"/>
        </w:rPr>
        <w:t>[ГРАЖДАНСТВО]</w:t>
      </w:r>
      <w:r>
        <w:rPr>
          <w:rFonts w:ascii="Times New Roman" w:hAnsi="Times New Roman" w:eastAsia="Times New Roman"/>
          <w:i w:val="0"/>
          <w:color w:val="000000"/>
          <w:sz w:val="23"/>
        </w:rPr>
        <w:t xml:space="preserve">, ЕГН/ЛНЧ/друг идентификатор </w:t>
      </w:r>
      <w:r>
        <w:rPr>
          <w:rFonts w:ascii="Times New Roman" w:hAnsi="Times New Roman" w:eastAsia="Times New Roman"/>
          <w:b/>
          <w:color w:val="333333"/>
          <w:sz w:val="23"/>
          <w:shd w:val="clear" w:color="auto" w:fill="E7E6E6"/>
        </w:rPr>
        <w:t>[ИДЕНТИФИКАТОР]</w:t>
      </w:r>
      <w:r>
        <w:rPr>
          <w:rFonts w:ascii="Times New Roman" w:hAnsi="Times New Roman" w:eastAsia="Times New Roman"/>
          <w:i w:val="0"/>
          <w:color w:val="000000"/>
          <w:sz w:val="23"/>
        </w:rPr>
        <w:t xml:space="preserve">, документ за самоличност </w:t>
      </w:r>
      <w:r>
        <w:rPr>
          <w:rFonts w:ascii="Times New Roman" w:hAnsi="Times New Roman" w:eastAsia="Times New Roman"/>
          <w:b/>
          <w:color w:val="333333"/>
          <w:sz w:val="23"/>
          <w:shd w:val="clear" w:color="auto" w:fill="E7E6E6"/>
        </w:rPr>
        <w:t>[ВИД, НОМЕР, ДАТА И ОРГАН НА ИЗДАВАНЕ]</w:t>
      </w:r>
      <w:r>
        <w:rPr>
          <w:rFonts w:ascii="Times New Roman" w:hAnsi="Times New Roman" w:eastAsia="Times New Roman"/>
          <w:i w:val="0"/>
          <w:color w:val="000000"/>
          <w:sz w:val="23"/>
        </w:rPr>
        <w:t xml:space="preserve">, адрес </w:t>
      </w:r>
      <w:r>
        <w:rPr>
          <w:rFonts w:ascii="Times New Roman" w:hAnsi="Times New Roman" w:eastAsia="Times New Roman"/>
          <w:b/>
          <w:color w:val="333333"/>
          <w:sz w:val="23"/>
          <w:shd w:val="clear" w:color="auto" w:fill="E7E6E6"/>
        </w:rPr>
        <w:t>[АДРЕС]</w:t>
      </w:r>
      <w:r>
        <w:rPr>
          <w:rFonts w:ascii="Times New Roman" w:hAnsi="Times New Roman" w:eastAsia="Times New Roman"/>
          <w:i w:val="0"/>
          <w:color w:val="000000"/>
          <w:sz w:val="23"/>
        </w:rPr>
        <w:t xml:space="preserve">, електронна поща </w:t>
      </w:r>
      <w:r>
        <w:rPr>
          <w:rFonts w:ascii="Times New Roman" w:hAnsi="Times New Roman" w:eastAsia="Times New Roman"/>
          <w:b/>
          <w:color w:val="333333"/>
          <w:sz w:val="23"/>
          <w:shd w:val="clear" w:color="auto" w:fill="E7E6E6"/>
        </w:rPr>
        <w:t>[ЕЛЕКТРОННА ПОЩА]</w:t>
      </w:r>
      <w:r>
        <w:rPr>
          <w:rFonts w:ascii="Times New Roman" w:hAnsi="Times New Roman" w:eastAsia="Times New Roman"/>
          <w:i w:val="0"/>
          <w:color w:val="000000"/>
          <w:sz w:val="23"/>
        </w:rPr>
        <w:t>.</w:t>
      </w:r>
    </w:p>
    <w:p>
      <w:pPr>
        <w:pStyle w:val="BodyLegal"/>
        <w:spacing w:before="0" w:after="120" w:line="276" w:lineRule="auto"/>
        <w:jc w:val="both"/>
        <w:numPr>
          <w:ilvl w:val="0"/>
          <w:numId w:val="10"/>
        </w:numPr>
        <w:keepLines/>
        <w:widowControl/>
      </w:pPr>
      <w:r>
        <w:rPr>
          <w:rFonts w:ascii="Times New Roman" w:hAnsi="Times New Roman" w:eastAsia="Times New Roman"/>
          <w:b/>
          <w:color w:val="333333"/>
          <w:sz w:val="23"/>
          <w:shd w:val="clear" w:color="auto" w:fill="E7E6E6"/>
        </w:rPr>
        <w:t>[ТРИ ИМЕНА]</w:t>
      </w:r>
      <w:r>
        <w:rPr>
          <w:rFonts w:ascii="Times New Roman" w:hAnsi="Times New Roman" w:eastAsia="Times New Roman"/>
          <w:i w:val="0"/>
          <w:color w:val="000000"/>
          <w:sz w:val="23"/>
        </w:rPr>
        <w:t xml:space="preserve">, гражданство </w:t>
      </w:r>
      <w:r>
        <w:rPr>
          <w:rFonts w:ascii="Times New Roman" w:hAnsi="Times New Roman" w:eastAsia="Times New Roman"/>
          <w:b/>
          <w:color w:val="333333"/>
          <w:sz w:val="23"/>
          <w:shd w:val="clear" w:color="auto" w:fill="E7E6E6"/>
        </w:rPr>
        <w:t>[ГРАЖДАНСТВО]</w:t>
      </w:r>
      <w:r>
        <w:rPr>
          <w:rFonts w:ascii="Times New Roman" w:hAnsi="Times New Roman" w:eastAsia="Times New Roman"/>
          <w:i w:val="0"/>
          <w:color w:val="000000"/>
          <w:sz w:val="23"/>
        </w:rPr>
        <w:t xml:space="preserve">, ЕГН/ЛНЧ/друг идентификатор </w:t>
      </w:r>
      <w:r>
        <w:rPr>
          <w:rFonts w:ascii="Times New Roman" w:hAnsi="Times New Roman" w:eastAsia="Times New Roman"/>
          <w:b/>
          <w:color w:val="333333"/>
          <w:sz w:val="23"/>
          <w:shd w:val="clear" w:color="auto" w:fill="E7E6E6"/>
        </w:rPr>
        <w:t>[ИДЕНТИФИКАТОР]</w:t>
      </w:r>
      <w:r>
        <w:rPr>
          <w:rFonts w:ascii="Times New Roman" w:hAnsi="Times New Roman" w:eastAsia="Times New Roman"/>
          <w:i w:val="0"/>
          <w:color w:val="000000"/>
          <w:sz w:val="23"/>
        </w:rPr>
        <w:t xml:space="preserve">, документ за самоличност </w:t>
      </w:r>
      <w:r>
        <w:rPr>
          <w:rFonts w:ascii="Times New Roman" w:hAnsi="Times New Roman" w:eastAsia="Times New Roman"/>
          <w:b/>
          <w:color w:val="333333"/>
          <w:sz w:val="23"/>
          <w:shd w:val="clear" w:color="auto" w:fill="E7E6E6"/>
        </w:rPr>
        <w:t>[ВИД, НОМЕР, ДАТА И ОРГАН НА ИЗДАВАНЕ]</w:t>
      </w:r>
      <w:r>
        <w:rPr>
          <w:rFonts w:ascii="Times New Roman" w:hAnsi="Times New Roman" w:eastAsia="Times New Roman"/>
          <w:i w:val="0"/>
          <w:color w:val="000000"/>
          <w:sz w:val="23"/>
        </w:rPr>
        <w:t xml:space="preserve">, адрес </w:t>
      </w:r>
      <w:r>
        <w:rPr>
          <w:rFonts w:ascii="Times New Roman" w:hAnsi="Times New Roman" w:eastAsia="Times New Roman"/>
          <w:b/>
          <w:color w:val="333333"/>
          <w:sz w:val="23"/>
          <w:shd w:val="clear" w:color="auto" w:fill="E7E6E6"/>
        </w:rPr>
        <w:t>[АДРЕС]</w:t>
      </w:r>
      <w:r>
        <w:rPr>
          <w:rFonts w:ascii="Times New Roman" w:hAnsi="Times New Roman" w:eastAsia="Times New Roman"/>
          <w:i w:val="0"/>
          <w:color w:val="000000"/>
          <w:sz w:val="23"/>
        </w:rPr>
        <w:t xml:space="preserve">, електронна поща </w:t>
      </w:r>
      <w:r>
        <w:rPr>
          <w:rFonts w:ascii="Times New Roman" w:hAnsi="Times New Roman" w:eastAsia="Times New Roman"/>
          <w:b/>
          <w:color w:val="333333"/>
          <w:sz w:val="23"/>
          <w:shd w:val="clear" w:color="auto" w:fill="E7E6E6"/>
        </w:rPr>
        <w:t>[ЕЛЕКТРОННА ПОЩА]</w:t>
      </w:r>
      <w:r>
        <w:rPr>
          <w:rFonts w:ascii="Times New Roman" w:hAnsi="Times New Roman" w:eastAsia="Times New Roman"/>
          <w:i w:val="0"/>
          <w:color w:val="000000"/>
          <w:sz w:val="23"/>
        </w:rPr>
        <w:t>.</w:t>
      </w:r>
    </w:p>
    <w:p>
      <w:pPr>
        <w:pStyle w:val="BodyLegal"/>
        <w:spacing w:before="0" w:after="120" w:line="276" w:lineRule="auto"/>
        <w:jc w:val="both"/>
        <w:numPr>
          <w:ilvl w:val="0"/>
          <w:numId w:val="10"/>
        </w:numPr>
        <w:keepLines/>
        <w:widowControl/>
      </w:pPr>
      <w:r>
        <w:rPr>
          <w:rFonts w:ascii="Times New Roman" w:hAnsi="Times New Roman" w:eastAsia="Times New Roman"/>
          <w:b/>
          <w:color w:val="333333"/>
          <w:sz w:val="23"/>
          <w:shd w:val="clear" w:color="auto" w:fill="E7E6E6"/>
        </w:rPr>
        <w:t>[ТРИ ИМЕНА]</w:t>
      </w:r>
      <w:r>
        <w:rPr>
          <w:rFonts w:ascii="Times New Roman" w:hAnsi="Times New Roman" w:eastAsia="Times New Roman"/>
          <w:i w:val="0"/>
          <w:color w:val="000000"/>
          <w:sz w:val="23"/>
        </w:rPr>
        <w:t xml:space="preserve">, гражданство </w:t>
      </w:r>
      <w:r>
        <w:rPr>
          <w:rFonts w:ascii="Times New Roman" w:hAnsi="Times New Roman" w:eastAsia="Times New Roman"/>
          <w:b/>
          <w:color w:val="333333"/>
          <w:sz w:val="23"/>
          <w:shd w:val="clear" w:color="auto" w:fill="E7E6E6"/>
        </w:rPr>
        <w:t>[ГРАЖДАНСТВО]</w:t>
      </w:r>
      <w:r>
        <w:rPr>
          <w:rFonts w:ascii="Times New Roman" w:hAnsi="Times New Roman" w:eastAsia="Times New Roman"/>
          <w:i w:val="0"/>
          <w:color w:val="000000"/>
          <w:sz w:val="23"/>
        </w:rPr>
        <w:t xml:space="preserve">, ЕГН/ЛНЧ/друг идентификатор </w:t>
      </w:r>
      <w:r>
        <w:rPr>
          <w:rFonts w:ascii="Times New Roman" w:hAnsi="Times New Roman" w:eastAsia="Times New Roman"/>
          <w:b/>
          <w:color w:val="333333"/>
          <w:sz w:val="23"/>
          <w:shd w:val="clear" w:color="auto" w:fill="E7E6E6"/>
        </w:rPr>
        <w:t>[ИДЕНТИФИКАТОР]</w:t>
      </w:r>
      <w:r>
        <w:rPr>
          <w:rFonts w:ascii="Times New Roman" w:hAnsi="Times New Roman" w:eastAsia="Times New Roman"/>
          <w:i w:val="0"/>
          <w:color w:val="000000"/>
          <w:sz w:val="23"/>
        </w:rPr>
        <w:t xml:space="preserve">, документ за самоличност </w:t>
      </w:r>
      <w:r>
        <w:rPr>
          <w:rFonts w:ascii="Times New Roman" w:hAnsi="Times New Roman" w:eastAsia="Times New Roman"/>
          <w:b/>
          <w:color w:val="333333"/>
          <w:sz w:val="23"/>
          <w:shd w:val="clear" w:color="auto" w:fill="E7E6E6"/>
        </w:rPr>
        <w:t>[ВИД, НОМЕР, ДАТА И ОРГАН НА ИЗДАВАНЕ]</w:t>
      </w:r>
      <w:r>
        <w:rPr>
          <w:rFonts w:ascii="Times New Roman" w:hAnsi="Times New Roman" w:eastAsia="Times New Roman"/>
          <w:i w:val="0"/>
          <w:color w:val="000000"/>
          <w:sz w:val="23"/>
        </w:rPr>
        <w:t xml:space="preserve">, адрес </w:t>
      </w:r>
      <w:r>
        <w:rPr>
          <w:rFonts w:ascii="Times New Roman" w:hAnsi="Times New Roman" w:eastAsia="Times New Roman"/>
          <w:b/>
          <w:color w:val="333333"/>
          <w:sz w:val="23"/>
          <w:shd w:val="clear" w:color="auto" w:fill="E7E6E6"/>
        </w:rPr>
        <w:t>[АДРЕС]</w:t>
      </w:r>
      <w:r>
        <w:rPr>
          <w:rFonts w:ascii="Times New Roman" w:hAnsi="Times New Roman" w:eastAsia="Times New Roman"/>
          <w:i w:val="0"/>
          <w:color w:val="000000"/>
          <w:sz w:val="23"/>
        </w:rPr>
        <w:t xml:space="preserve">, електронна поща </w:t>
      </w:r>
      <w:r>
        <w:rPr>
          <w:rFonts w:ascii="Times New Roman" w:hAnsi="Times New Roman" w:eastAsia="Times New Roman"/>
          <w:b/>
          <w:color w:val="333333"/>
          <w:sz w:val="23"/>
          <w:shd w:val="clear" w:color="auto" w:fill="E7E6E6"/>
        </w:rPr>
        <w:t>[ЕЛЕКТРОННА ПОЩА]</w:t>
      </w:r>
      <w:r>
        <w:rPr>
          <w:rFonts w:ascii="Times New Roman" w:hAnsi="Times New Roman" w:eastAsia="Times New Roman"/>
          <w:i w:val="0"/>
          <w:color w:val="000000"/>
          <w:sz w:val="23"/>
        </w:rPr>
        <w:t>.</w:t>
      </w:r>
    </w:p>
    <w:p>
      <w:pPr>
        <w:pStyle w:val="BodyLegal"/>
        <w:spacing w:before="0" w:after="200" w:line="276" w:lineRule="auto"/>
        <w:jc w:val="both"/>
        <w:widowControl/>
      </w:pPr>
      <w:r>
        <w:rPr>
          <w:rFonts w:ascii="Times New Roman" w:hAnsi="Times New Roman" w:eastAsia="Times New Roman"/>
          <w:i w:val="0"/>
          <w:color w:val="000000"/>
          <w:sz w:val="23"/>
        </w:rPr>
        <w:t xml:space="preserve">Посочените лица са наричани по-долу заедно </w:t>
      </w:r>
      <w:r>
        <w:rPr>
          <w:rFonts w:ascii="Times New Roman" w:hAnsi="Times New Roman" w:eastAsia="Times New Roman"/>
          <w:b/>
          <w:i w:val="0"/>
          <w:color w:val="000000"/>
          <w:sz w:val="23"/>
        </w:rPr>
        <w:t>„Основателите“</w:t>
      </w:r>
      <w:r>
        <w:rPr>
          <w:rFonts w:ascii="Times New Roman" w:hAnsi="Times New Roman" w:eastAsia="Times New Roman"/>
          <w:i w:val="0"/>
          <w:color w:val="000000"/>
          <w:sz w:val="23"/>
        </w:rPr>
        <w:t>, като това обозначение е използвано единствено за удобство и не им придава само по себе си качество на съдружници в търговско дружество.</w:t>
      </w:r>
    </w:p>
    <w:p>
      <w:pPr>
        <w:pStyle w:val="BodyLegal"/>
        <w:spacing w:before="0" w:after="100" w:line="276" w:lineRule="auto"/>
        <w:jc w:val="left"/>
        <w:keepLines/>
        <w:widowControl/>
      </w:pPr>
      <w:r>
        <w:rPr>
          <w:rFonts w:ascii="Times New Roman" w:hAnsi="Times New Roman" w:eastAsia="Times New Roman"/>
          <w:b/>
          <w:i w:val="0"/>
          <w:color w:val="000000"/>
          <w:sz w:val="23"/>
        </w:rPr>
        <w:t>КАТО ВЗЕХА ПРЕДВИД, ЧЕ:</w:t>
      </w:r>
    </w:p>
    <w:p>
      <w:pPr>
        <w:pStyle w:val="BodyLegal"/>
        <w:spacing w:before="0" w:after="120" w:line="276" w:lineRule="auto"/>
        <w:jc w:val="both"/>
        <w:numPr>
          <w:ilvl w:val="0"/>
          <w:numId w:val="11"/>
        </w:numPr>
        <w:keepLines/>
        <w:widowControl/>
      </w:pPr>
      <w:r>
        <w:rPr>
          <w:rFonts w:ascii="Times New Roman" w:hAnsi="Times New Roman" w:eastAsia="Times New Roman"/>
          <w:i w:val="0"/>
          <w:color w:val="000000"/>
          <w:sz w:val="23"/>
        </w:rPr>
        <w:t>Основателите споделят намерение да развиват под работното наименование „ORGOfly“ технологичен и стопански проект с гражданско и отбранително приложение;</w:t>
      </w:r>
    </w:p>
    <w:p>
      <w:pPr>
        <w:pStyle w:val="BodyLegal"/>
        <w:spacing w:before="0" w:after="120" w:line="276" w:lineRule="auto"/>
        <w:jc w:val="both"/>
        <w:numPr>
          <w:ilvl w:val="0"/>
          <w:numId w:val="11"/>
        </w:numPr>
        <w:keepLines/>
        <w:widowControl/>
      </w:pPr>
      <w:r>
        <w:rPr>
          <w:rFonts w:ascii="Times New Roman" w:hAnsi="Times New Roman" w:eastAsia="Times New Roman"/>
          <w:i w:val="0"/>
          <w:color w:val="000000"/>
          <w:sz w:val="23"/>
        </w:rPr>
        <w:t>проектът е насочен към проектиране, разработване, изпитване, сертифициране, производство и използване на хибридна безпилотна въздухоплавателна система за превоз на полезен товар, включително за спешна медицинска и друга критична логистика;</w:t>
      </w:r>
    </w:p>
    <w:p>
      <w:pPr>
        <w:pStyle w:val="BodyLegal"/>
        <w:spacing w:before="0" w:after="120" w:line="276" w:lineRule="auto"/>
        <w:jc w:val="both"/>
        <w:numPr>
          <w:ilvl w:val="0"/>
          <w:numId w:val="11"/>
        </w:numPr>
        <w:keepLines/>
        <w:widowControl/>
      </w:pPr>
      <w:r>
        <w:rPr>
          <w:rFonts w:ascii="Times New Roman" w:hAnsi="Times New Roman" w:eastAsia="Times New Roman"/>
          <w:i w:val="0"/>
          <w:color w:val="000000"/>
          <w:sz w:val="23"/>
        </w:rPr>
        <w:t>преди създаването на дружество Основателите желаят да запишат общото си текущо разбиране за принципите на сътрудничество и за темите, които да бъдат уредени в окончателните учредителни и съдружнически документи;</w:t>
      </w:r>
    </w:p>
    <w:p>
      <w:pPr>
        <w:pStyle w:val="BodyLegal"/>
        <w:spacing w:before="0" w:after="120" w:line="276" w:lineRule="auto"/>
        <w:jc w:val="both"/>
        <w:numPr>
          <w:ilvl w:val="0"/>
          <w:numId w:val="11"/>
        </w:numPr>
        <w:keepLines/>
        <w:widowControl/>
      </w:pPr>
      <w:r>
        <w:rPr>
          <w:rFonts w:ascii="Times New Roman" w:hAnsi="Times New Roman" w:eastAsia="Times New Roman"/>
          <w:i w:val="0"/>
          <w:color w:val="000000"/>
          <w:sz w:val="23"/>
        </w:rPr>
        <w:t>настоящият Меморандум е предназначен да служи и като работно задание към избран български адвокат при подготовката на тези документи.</w:t>
      </w:r>
    </w:p>
    <w:p>
      <w:pPr>
        <w:pStyle w:val="BodyLegal"/>
        <w:spacing w:before="0" w:after="160" w:line="276" w:lineRule="auto"/>
        <w:jc w:val="both"/>
        <w:widowControl/>
      </w:pPr>
      <w:r>
        <w:rPr>
          <w:rFonts w:ascii="Times New Roman" w:hAnsi="Times New Roman" w:eastAsia="Times New Roman"/>
          <w:i w:val="0"/>
          <w:color w:val="000000"/>
          <w:sz w:val="23"/>
        </w:rPr>
        <w:t>Основателите изразяват следните общи разбирания и намерения:</w:t>
      </w:r>
    </w:p>
    <w:p>
      <w:pPr>
        <w:pStyle w:val="HeadingLegal"/>
        <w:spacing w:before="240" w:after="120" w:line="240" w:lineRule="auto"/>
        <w:jc w:val="left"/>
        <w:keepNext/>
        <w:keepLines/>
        <w:widowControl/>
      </w:pPr>
      <w:r>
        <w:rPr>
          <w:rFonts w:ascii="Times New Roman" w:hAnsi="Times New Roman" w:eastAsia="Times New Roman"/>
          <w:b/>
          <w:color w:val="000000"/>
          <w:sz w:val="25"/>
        </w:rPr>
        <w:t>I. ПРЕДНАЗНАЧЕНИЕ И ДЕКЛАРАТИВЕН ХАРАКТЕР</w:t>
      </w:r>
    </w:p>
    <w:p>
      <w:pPr>
        <w:pStyle w:val="BodyLegal"/>
        <w:spacing w:before="0" w:after="120" w:line="276" w:lineRule="auto"/>
        <w:jc w:val="both"/>
        <w:numPr>
          <w:ilvl w:val="0"/>
          <w:numId w:val="12"/>
        </w:numPr>
        <w:keepLines/>
        <w:widowControl/>
      </w:pPr>
      <w:r>
        <w:rPr>
          <w:rFonts w:ascii="Times New Roman" w:hAnsi="Times New Roman" w:eastAsia="Times New Roman"/>
          <w:i w:val="0"/>
          <w:color w:val="000000"/>
          <w:sz w:val="23"/>
        </w:rPr>
        <w:t>Настоящият Меморандум записва текуща рамка за преговори, планиране и координация по проекта. Той не е окончателен учредителен документ или споразумение между съдружници.</w:t>
      </w:r>
    </w:p>
    <w:p>
      <w:pPr>
        <w:pStyle w:val="BodyLegal"/>
        <w:spacing w:before="0" w:after="120" w:line="276" w:lineRule="auto"/>
        <w:jc w:val="both"/>
        <w:numPr>
          <w:ilvl w:val="0"/>
          <w:numId w:val="12"/>
        </w:numPr>
        <w:keepLines/>
        <w:widowControl/>
      </w:pPr>
      <w:r>
        <w:rPr>
          <w:rFonts w:ascii="Times New Roman" w:hAnsi="Times New Roman" w:eastAsia="Times New Roman"/>
          <w:i w:val="0"/>
          <w:color w:val="000000"/>
          <w:sz w:val="23"/>
        </w:rPr>
        <w:t xml:space="preserve">Меморандумът има </w:t>
      </w:r>
      <w:r>
        <w:rPr>
          <w:rFonts w:ascii="Times New Roman" w:hAnsi="Times New Roman" w:eastAsia="Times New Roman"/>
          <w:b/>
          <w:i w:val="0"/>
          <w:color w:val="000000"/>
          <w:sz w:val="23"/>
        </w:rPr>
        <w:t>изцяло декларативен, рамков и намеренчески характер</w:t>
      </w:r>
      <w:r>
        <w:rPr>
          <w:rFonts w:ascii="Times New Roman" w:hAnsi="Times New Roman" w:eastAsia="Times New Roman"/>
          <w:i w:val="0"/>
          <w:color w:val="000000"/>
          <w:sz w:val="23"/>
        </w:rPr>
        <w:t>. Той не представлява договор и не създава облигационни, корпоративни, трудови, финансови, вещни или други правно обвързващи права и задължения за Основателите.</w:t>
      </w:r>
    </w:p>
    <w:p>
      <w:pPr>
        <w:pStyle w:val="BodyLegal"/>
        <w:spacing w:before="0" w:after="120" w:line="276" w:lineRule="auto"/>
        <w:jc w:val="both"/>
        <w:numPr>
          <w:ilvl w:val="0"/>
          <w:numId w:val="12"/>
        </w:numPr>
        <w:keepLines/>
        <w:widowControl/>
      </w:pPr>
      <w:r>
        <w:rPr>
          <w:rFonts w:ascii="Times New Roman" w:hAnsi="Times New Roman" w:eastAsia="Times New Roman"/>
          <w:i w:val="0"/>
          <w:color w:val="000000"/>
          <w:sz w:val="23"/>
        </w:rPr>
        <w:t>Меморандумът не представлява предварителен договор по чл. 19 от Закона за задълженията и договорите, договор за гражданско дружество по чл. 357 и сл. от същия закон, дружествен договор по Търговския закон, договор за съвместно предприятие, трудов или управленски договор, пълномощие, представителство или обещание за сключване на бъдеща сделка.</w:t>
      </w:r>
    </w:p>
    <w:p>
      <w:pPr>
        <w:pStyle w:val="BodyLegal"/>
        <w:spacing w:before="0" w:after="120" w:line="276" w:lineRule="auto"/>
        <w:jc w:val="both"/>
        <w:numPr>
          <w:ilvl w:val="0"/>
          <w:numId w:val="12"/>
        </w:numPr>
        <w:keepLines/>
        <w:widowControl/>
      </w:pPr>
      <w:r>
        <w:rPr>
          <w:rFonts w:ascii="Times New Roman" w:hAnsi="Times New Roman" w:eastAsia="Times New Roman"/>
          <w:i w:val="0"/>
          <w:color w:val="000000"/>
          <w:sz w:val="23"/>
        </w:rPr>
        <w:t>С подписването не възникват дружество, общ капитал, общо имущество, настоящи дялове, право на печалба, представителна власт, изключителност, забрана за конкуренция, задължение за труд, финансиране, прехвърляне на права или сключване на окончателни документи.</w:t>
      </w:r>
    </w:p>
    <w:p>
      <w:pPr>
        <w:pStyle w:val="BodyLegal"/>
        <w:spacing w:before="0" w:after="120" w:line="276" w:lineRule="auto"/>
        <w:jc w:val="both"/>
        <w:numPr>
          <w:ilvl w:val="0"/>
          <w:numId w:val="12"/>
        </w:numPr>
        <w:keepLines/>
        <w:widowControl/>
      </w:pPr>
      <w:r>
        <w:rPr>
          <w:rFonts w:ascii="Times New Roman" w:hAnsi="Times New Roman" w:eastAsia="Times New Roman"/>
          <w:i w:val="0"/>
          <w:color w:val="000000"/>
          <w:sz w:val="23"/>
        </w:rPr>
        <w:t xml:space="preserve">Посочените в Меморандума проценти, срокове, етапи, правила за обсъждане, бъдещи роли и възможни последици при напускане са </w:t>
      </w:r>
      <w:r>
        <w:rPr>
          <w:rFonts w:ascii="Times New Roman" w:hAnsi="Times New Roman" w:eastAsia="Times New Roman"/>
          <w:b/>
          <w:i w:val="0"/>
          <w:color w:val="000000"/>
          <w:sz w:val="23"/>
        </w:rPr>
        <w:t>целеви параметри за бъдещи преговори</w:t>
      </w:r>
      <w:r>
        <w:rPr>
          <w:rFonts w:ascii="Times New Roman" w:hAnsi="Times New Roman" w:eastAsia="Times New Roman"/>
          <w:i w:val="0"/>
          <w:color w:val="000000"/>
          <w:sz w:val="23"/>
        </w:rPr>
        <w:t>, а не изискуеми престации, падежи или санкции. Непостигането им не поражда право на реално изпълнение, обезщетение, неустойка, отнемане или автоматично прехвърляне на дял или право.</w:t>
      </w:r>
    </w:p>
    <w:p>
      <w:pPr>
        <w:pStyle w:val="BodyLegal"/>
        <w:spacing w:before="0" w:after="120" w:line="276" w:lineRule="auto"/>
        <w:jc w:val="both"/>
        <w:numPr>
          <w:ilvl w:val="0"/>
          <w:numId w:val="12"/>
        </w:numPr>
        <w:keepLines/>
        <w:widowControl/>
      </w:pPr>
      <w:r>
        <w:rPr>
          <w:rFonts w:ascii="Times New Roman" w:hAnsi="Times New Roman" w:eastAsia="Times New Roman"/>
          <w:i w:val="0"/>
          <w:color w:val="000000"/>
          <w:sz w:val="23"/>
        </w:rPr>
        <w:t>Правно обвързващи отношения по разглежданите теми биха възникнали само въз основа на отделни документи, които изрично са определени като обвързващи, съдържат окончателни условия и са подписани в изискуемата от закона форма. Писмените допълнения към този Меморандум запазват неговия декларативен характер.</w:t>
      </w:r>
    </w:p>
    <w:p>
      <w:pPr>
        <w:pStyle w:val="BodyLegal"/>
        <w:spacing w:before="0" w:after="120" w:line="276" w:lineRule="auto"/>
        <w:jc w:val="both"/>
        <w:numPr>
          <w:ilvl w:val="0"/>
          <w:numId w:val="12"/>
        </w:numPr>
        <w:keepLines/>
        <w:widowControl/>
      </w:pPr>
      <w:r>
        <w:rPr>
          <w:rFonts w:ascii="Times New Roman" w:hAnsi="Times New Roman" w:eastAsia="Times New Roman"/>
          <w:i w:val="0"/>
          <w:color w:val="000000"/>
          <w:sz w:val="23"/>
        </w:rPr>
        <w:t>Нищо в Меморандума не се тълкува като изключване на приложими императивни правни норми, включително законовия принцип на добросъвестност при водене на преговори.</w:t>
      </w:r>
    </w:p>
    <w:p>
      <w:pPr>
        <w:pStyle w:val="HeadingLegal"/>
        <w:spacing w:before="240" w:after="120" w:line="240" w:lineRule="auto"/>
        <w:jc w:val="left"/>
        <w:keepNext/>
        <w:keepLines/>
        <w:widowControl/>
      </w:pPr>
      <w:r>
        <w:rPr>
          <w:rFonts w:ascii="Times New Roman" w:hAnsi="Times New Roman" w:eastAsia="Times New Roman"/>
          <w:b/>
          <w:color w:val="000000"/>
          <w:sz w:val="25"/>
        </w:rPr>
        <w:t>II. ОБЩА ЦЕЛ И ОБХВАТ НА ПРОЕКТА</w:t>
      </w:r>
    </w:p>
    <w:p>
      <w:pPr>
        <w:pStyle w:val="BodyLegal"/>
        <w:spacing w:before="0" w:after="120" w:line="276" w:lineRule="auto"/>
        <w:jc w:val="both"/>
        <w:numPr>
          <w:ilvl w:val="0"/>
          <w:numId w:val="13"/>
        </w:numPr>
        <w:keepLines/>
        <w:widowControl/>
      </w:pPr>
      <w:r>
        <w:rPr>
          <w:rFonts w:ascii="Times New Roman" w:hAnsi="Times New Roman" w:eastAsia="Times New Roman"/>
          <w:i w:val="0"/>
          <w:color w:val="000000"/>
          <w:sz w:val="23"/>
        </w:rPr>
        <w:t xml:space="preserve">Работното наименование на инициативата е </w:t>
      </w:r>
      <w:r>
        <w:rPr>
          <w:rFonts w:ascii="Times New Roman" w:hAnsi="Times New Roman" w:eastAsia="Times New Roman"/>
          <w:b/>
          <w:i w:val="0"/>
          <w:color w:val="000000"/>
          <w:sz w:val="23"/>
        </w:rPr>
        <w:t>„ORGOfly“</w:t>
      </w:r>
      <w:r>
        <w:rPr>
          <w:rFonts w:ascii="Times New Roman" w:hAnsi="Times New Roman" w:eastAsia="Times New Roman"/>
          <w:i w:val="0"/>
          <w:color w:val="000000"/>
          <w:sz w:val="23"/>
        </w:rPr>
        <w:t xml:space="preserve"> („Проектът“). Общата цел е създаване на технически, регулаторно подготвен и търговски приложим продукт, основан на хибридна безпилотна въздухоплавателна система с възможност за вертикално излитане и кацане и превоз на полезен товар.</w:t>
      </w:r>
    </w:p>
    <w:p>
      <w:pPr>
        <w:pStyle w:val="BodyLegal"/>
        <w:spacing w:before="0" w:after="120" w:line="276" w:lineRule="auto"/>
        <w:jc w:val="both"/>
        <w:numPr>
          <w:ilvl w:val="0"/>
          <w:numId w:val="13"/>
        </w:numPr>
        <w:keepLines/>
        <w:widowControl/>
      </w:pPr>
      <w:r>
        <w:rPr>
          <w:rFonts w:ascii="Times New Roman" w:hAnsi="Times New Roman" w:eastAsia="Times New Roman"/>
          <w:i w:val="0"/>
          <w:color w:val="000000"/>
          <w:sz w:val="23"/>
        </w:rPr>
        <w:t>Предвижданите направления включват конструктивно и аеродинамично проектиране, задвижване и енергийна система, авионика и управление, софтуер, полезен товар и температурно контролирана среда, прототипиране, наземни и летателни изпитвания, документация, сертификационна подготовка, производство и стопанско използване.</w:t>
      </w:r>
    </w:p>
    <w:p>
      <w:pPr>
        <w:pStyle w:val="BodyLegal"/>
        <w:spacing w:before="0" w:after="120" w:line="276" w:lineRule="auto"/>
        <w:jc w:val="both"/>
        <w:numPr>
          <w:ilvl w:val="0"/>
          <w:numId w:val="13"/>
        </w:numPr>
        <w:keepLines/>
        <w:widowControl/>
      </w:pPr>
      <w:r>
        <w:rPr>
          <w:rFonts w:ascii="Times New Roman" w:hAnsi="Times New Roman" w:eastAsia="Times New Roman"/>
          <w:i w:val="0"/>
          <w:color w:val="000000"/>
          <w:sz w:val="23"/>
        </w:rPr>
        <w:t>Гражданското приложение е насочено основно към спешна медицинска логистика, включително кръв, плазма, проби, медикаменти, органи и други чувствителни товари. Потенциалното приложение в областта на отбраната и сигурността включва медицинско снабдяване и логистична поддръжка на разпръснати звена, полеви медицински пунктове, гражданска защита и действия при бедствия.</w:t>
      </w:r>
    </w:p>
    <w:p>
      <w:pPr>
        <w:pStyle w:val="BodyLegal"/>
        <w:spacing w:before="0" w:after="120" w:line="276" w:lineRule="auto"/>
        <w:jc w:val="both"/>
        <w:numPr>
          <w:ilvl w:val="0"/>
          <w:numId w:val="13"/>
        </w:numPr>
        <w:keepLines/>
        <w:widowControl/>
      </w:pPr>
      <w:r>
        <w:rPr>
          <w:rFonts w:ascii="Times New Roman" w:hAnsi="Times New Roman" w:eastAsia="Times New Roman"/>
          <w:i w:val="0"/>
          <w:color w:val="000000"/>
          <w:sz w:val="23"/>
        </w:rPr>
        <w:t>Разработването и използването на продукта се разглеждат при съобразяване с приложимите режими за безпилотни въздухоплавателни системи, безопасност и изпитвания, защита на данни и мрежи, контрол на изделия и технологии с двойна употреба, продукти, свързани с отбраната, и ограничения за износ и техническа помощ.</w:t>
      </w:r>
    </w:p>
    <w:p>
      <w:pPr>
        <w:pStyle w:val="BodyLegal"/>
        <w:spacing w:before="0" w:after="120" w:line="276" w:lineRule="auto"/>
        <w:jc w:val="both"/>
        <w:numPr>
          <w:ilvl w:val="0"/>
          <w:numId w:val="13"/>
        </w:numPr>
        <w:keepLines/>
        <w:widowControl/>
      </w:pPr>
      <w:r>
        <w:rPr>
          <w:rFonts w:ascii="Times New Roman" w:hAnsi="Times New Roman" w:eastAsia="Times New Roman"/>
          <w:i w:val="0"/>
          <w:color w:val="000000"/>
          <w:sz w:val="23"/>
        </w:rPr>
        <w:t>Меморандумът не определя собственост върху самата стопанска идея или върху права, които по закон не подлежат на такава закрила. Конкретните защитими резултати и правата върху тях се разглеждат отделно в раздел VIII.</w:t>
      </w:r>
    </w:p>
    <w:p>
      <w:pPr>
        <w:pStyle w:val="HeadingLegal"/>
        <w:spacing w:before="240" w:after="120" w:line="240" w:lineRule="auto"/>
        <w:jc w:val="left"/>
        <w:keepNext/>
        <w:keepLines/>
        <w:widowControl/>
      </w:pPr>
      <w:r>
        <w:rPr>
          <w:rFonts w:ascii="Times New Roman" w:hAnsi="Times New Roman" w:eastAsia="Times New Roman"/>
          <w:b/>
          <w:color w:val="000000"/>
          <w:sz w:val="25"/>
        </w:rPr>
        <w:t>III. НАМЕРЕНИЕ ЗА УЧРЕДЯВАНЕ НА ДРУЖЕСТВО</w:t>
      </w:r>
    </w:p>
    <w:p>
      <w:pPr>
        <w:pStyle w:val="BodyLegal"/>
        <w:spacing w:before="0" w:after="120" w:line="276" w:lineRule="auto"/>
        <w:jc w:val="both"/>
        <w:numPr>
          <w:ilvl w:val="0"/>
          <w:numId w:val="14"/>
        </w:numPr>
        <w:keepLines/>
        <w:widowControl/>
      </w:pPr>
      <w:r>
        <w:rPr>
          <w:rFonts w:ascii="Times New Roman" w:hAnsi="Times New Roman" w:eastAsia="Times New Roman"/>
          <w:i w:val="0"/>
          <w:color w:val="000000"/>
          <w:sz w:val="23"/>
        </w:rPr>
        <w:t xml:space="preserve">Общото намерение е при наличие на достатъчна техническа, стопанска и финансова готовност да бъде учредено </w:t>
      </w:r>
      <w:r>
        <w:rPr>
          <w:rFonts w:ascii="Times New Roman" w:hAnsi="Times New Roman" w:eastAsia="Times New Roman"/>
          <w:b/>
          <w:i w:val="0"/>
          <w:color w:val="000000"/>
          <w:sz w:val="23"/>
        </w:rPr>
        <w:t>дружество с ограничена отговорност (ООД) по българското право</w:t>
      </w:r>
      <w:r>
        <w:rPr>
          <w:rFonts w:ascii="Times New Roman" w:hAnsi="Times New Roman" w:eastAsia="Times New Roman"/>
          <w:i w:val="0"/>
          <w:color w:val="000000"/>
          <w:sz w:val="23"/>
        </w:rPr>
        <w:t>, което да развива Проекта.</w:t>
      </w:r>
    </w:p>
    <w:p>
      <w:pPr>
        <w:pStyle w:val="BodyLegal"/>
        <w:spacing w:before="0" w:after="120" w:line="276" w:lineRule="auto"/>
        <w:jc w:val="both"/>
        <w:numPr>
          <w:ilvl w:val="0"/>
          <w:numId w:val="14"/>
        </w:numPr>
        <w:keepLines/>
        <w:widowControl/>
      </w:pPr>
      <w:r>
        <w:rPr>
          <w:rFonts w:ascii="Times New Roman" w:hAnsi="Times New Roman" w:eastAsia="Times New Roman"/>
          <w:i w:val="0"/>
          <w:color w:val="000000"/>
          <w:sz w:val="23"/>
        </w:rPr>
        <w:t xml:space="preserve">Целевият период за подготовка и учредяване е шест месеца от подписването, с </w:t>
      </w:r>
      <w:r>
        <w:rPr>
          <w:rFonts w:ascii="Times New Roman" w:hAnsi="Times New Roman" w:eastAsia="Times New Roman"/>
          <w:b/>
          <w:i w:val="0"/>
          <w:color w:val="000000"/>
          <w:sz w:val="23"/>
        </w:rPr>
        <w:t>ориентировъчна крайна дата 5 февруари 2027 г.</w:t>
      </w:r>
      <w:r>
        <w:rPr>
          <w:rFonts w:ascii="Times New Roman" w:hAnsi="Times New Roman" w:eastAsia="Times New Roman"/>
          <w:i w:val="0"/>
          <w:color w:val="000000"/>
          <w:sz w:val="23"/>
        </w:rPr>
        <w:t xml:space="preserve"> Тази дата е организационна цел, а не изискуем падеж.</w:t>
      </w:r>
    </w:p>
    <w:p>
      <w:pPr>
        <w:pStyle w:val="BodyLegal"/>
        <w:spacing w:before="0" w:after="120" w:line="276" w:lineRule="auto"/>
        <w:jc w:val="both"/>
        <w:numPr>
          <w:ilvl w:val="0"/>
          <w:numId w:val="14"/>
        </w:numPr>
        <w:keepLines/>
        <w:widowControl/>
      </w:pPr>
      <w:r>
        <w:rPr>
          <w:rFonts w:ascii="Times New Roman" w:hAnsi="Times New Roman" w:eastAsia="Times New Roman"/>
          <w:i w:val="0"/>
          <w:color w:val="000000"/>
          <w:sz w:val="23"/>
        </w:rPr>
        <w:t>По-ранно учредяване се предвижда, ако прототип, инвестиция, безвъзмездно финансиране, договор с клиент или регулаторна процедура го наложат. Удължаване се предвижда при недостатъчно финансиране или приходи, техническо забавяне, незавършен прототип, необходимост от допълнителна проверка или друга обективна причина.</w:t>
      </w:r>
    </w:p>
    <w:p>
      <w:pPr>
        <w:pStyle w:val="BodyLegal"/>
        <w:spacing w:before="0" w:after="120" w:line="276" w:lineRule="auto"/>
        <w:jc w:val="both"/>
        <w:numPr>
          <w:ilvl w:val="0"/>
          <w:numId w:val="14"/>
        </w:numPr>
        <w:keepLines/>
        <w:widowControl/>
      </w:pPr>
      <w:r>
        <w:rPr>
          <w:rFonts w:ascii="Times New Roman" w:hAnsi="Times New Roman" w:eastAsia="Times New Roman"/>
          <w:i w:val="0"/>
          <w:color w:val="000000"/>
          <w:sz w:val="23"/>
        </w:rPr>
        <w:t>Промяна на целевата дата може да бъде отразена с писмено допълнение (анекс), подписано от четиримата Основатели. Такова допълнение има същия необвързващ характер и не поражда просрочие или отговорност.</w:t>
      </w:r>
    </w:p>
    <w:p>
      <w:pPr>
        <w:pStyle w:val="BodyLegal"/>
        <w:spacing w:before="0" w:after="120" w:line="276" w:lineRule="auto"/>
        <w:jc w:val="both"/>
        <w:numPr>
          <w:ilvl w:val="0"/>
          <w:numId w:val="14"/>
        </w:numPr>
        <w:keepLines/>
        <w:widowControl/>
      </w:pPr>
      <w:r>
        <w:rPr>
          <w:rFonts w:ascii="Times New Roman" w:hAnsi="Times New Roman" w:eastAsia="Times New Roman"/>
          <w:i w:val="0"/>
          <w:color w:val="000000"/>
          <w:sz w:val="23"/>
        </w:rPr>
        <w:t>До целевата дата Основателите възнамеряват да предоставят настоящия Меморандум и събраната проектна документация на адвокат с опит в българското дружествено право, инвестиционни сделки и интелектуална собственост, който да подготви окончателния пакет.</w:t>
      </w:r>
    </w:p>
    <w:p>
      <w:pPr>
        <w:pStyle w:val="BodyLegal"/>
        <w:spacing w:before="0" w:after="120" w:line="276" w:lineRule="auto"/>
        <w:jc w:val="both"/>
        <w:numPr>
          <w:ilvl w:val="0"/>
          <w:numId w:val="14"/>
        </w:numPr>
        <w:keepLines/>
        <w:widowControl/>
      </w:pPr>
      <w:r>
        <w:rPr>
          <w:rFonts w:ascii="Times New Roman" w:hAnsi="Times New Roman" w:eastAsia="Times New Roman"/>
          <w:i w:val="0"/>
          <w:color w:val="000000"/>
          <w:sz w:val="23"/>
        </w:rPr>
        <w:t>Предвижданият пакет включва най-малко:</w:t>
      </w:r>
    </w:p>
    <w:p>
      <w:pPr>
        <w:pStyle w:val="BodyLegal"/>
        <w:spacing w:before="0" w:after="120" w:line="276" w:lineRule="auto"/>
        <w:jc w:val="both"/>
        <w:numPr>
          <w:ilvl w:val="0"/>
          <w:numId w:val="15"/>
        </w:numPr>
        <w:keepLines/>
        <w:widowControl/>
      </w:pPr>
      <w:r>
        <w:rPr>
          <w:rFonts w:ascii="Times New Roman" w:hAnsi="Times New Roman" w:eastAsia="Times New Roman"/>
          <w:i w:val="0"/>
          <w:color w:val="000000"/>
          <w:sz w:val="23"/>
        </w:rPr>
        <w:t>дружествен договор на ООД — учредителният документ на дружеството;</w:t>
      </w:r>
    </w:p>
    <w:p>
      <w:pPr>
        <w:pStyle w:val="BodyLegal"/>
        <w:spacing w:before="0" w:after="120" w:line="276" w:lineRule="auto"/>
        <w:jc w:val="both"/>
        <w:numPr>
          <w:ilvl w:val="0"/>
          <w:numId w:val="15"/>
        </w:numPr>
        <w:keepLines/>
        <w:widowControl/>
      </w:pPr>
      <w:r>
        <w:rPr>
          <w:rFonts w:ascii="Times New Roman" w:hAnsi="Times New Roman" w:eastAsia="Times New Roman"/>
          <w:i w:val="0"/>
          <w:color w:val="000000"/>
          <w:sz w:val="23"/>
        </w:rPr>
        <w:t>отделно споразумение между съдружниците с поверителните и по-гъвкави правила на отношенията им;</w:t>
      </w:r>
    </w:p>
    <w:p>
      <w:pPr>
        <w:pStyle w:val="BodyLegal"/>
        <w:spacing w:before="0" w:after="120" w:line="276" w:lineRule="auto"/>
        <w:jc w:val="both"/>
        <w:numPr>
          <w:ilvl w:val="0"/>
          <w:numId w:val="15"/>
        </w:numPr>
        <w:keepLines/>
        <w:widowControl/>
      </w:pPr>
      <w:r>
        <w:rPr>
          <w:rFonts w:ascii="Times New Roman" w:hAnsi="Times New Roman" w:eastAsia="Times New Roman"/>
          <w:i w:val="0"/>
          <w:color w:val="000000"/>
          <w:sz w:val="23"/>
        </w:rPr>
        <w:t>решения на учредителното събрание, избор и правомощия на управител, представителство, капитал и регистрационни документи;</w:t>
      </w:r>
    </w:p>
    <w:p>
      <w:pPr>
        <w:pStyle w:val="BodyLegal"/>
        <w:spacing w:before="0" w:after="120" w:line="276" w:lineRule="auto"/>
        <w:jc w:val="both"/>
        <w:numPr>
          <w:ilvl w:val="0"/>
          <w:numId w:val="15"/>
        </w:numPr>
        <w:keepLines/>
        <w:widowControl/>
      </w:pPr>
      <w:r>
        <w:rPr>
          <w:rFonts w:ascii="Times New Roman" w:hAnsi="Times New Roman" w:eastAsia="Times New Roman"/>
          <w:i w:val="0"/>
          <w:color w:val="000000"/>
          <w:sz w:val="23"/>
        </w:rPr>
        <w:t>опис на предварително съществуващите и създадените за Проекта права, както и отделни договори за прехвърляне, лицензиране или предоставяне на права;</w:t>
      </w:r>
    </w:p>
    <w:p>
      <w:pPr>
        <w:pStyle w:val="BodyLegal"/>
        <w:spacing w:before="0" w:after="120" w:line="276" w:lineRule="auto"/>
        <w:jc w:val="both"/>
        <w:numPr>
          <w:ilvl w:val="0"/>
          <w:numId w:val="15"/>
        </w:numPr>
        <w:keepLines/>
        <w:widowControl/>
      </w:pPr>
      <w:r>
        <w:rPr>
          <w:rFonts w:ascii="Times New Roman" w:hAnsi="Times New Roman" w:eastAsia="Times New Roman"/>
          <w:i w:val="0"/>
          <w:color w:val="000000"/>
          <w:sz w:val="23"/>
        </w:rPr>
        <w:t>законосъобразен механизъм за поетапно придобиване или запазване на дялово участие, напускане, изкупуване, оценяване и прехвърляне на дялове;</w:t>
      </w:r>
    </w:p>
    <w:p>
      <w:pPr>
        <w:pStyle w:val="BodyLegal"/>
        <w:spacing w:before="0" w:after="120" w:line="276" w:lineRule="auto"/>
        <w:jc w:val="both"/>
        <w:numPr>
          <w:ilvl w:val="0"/>
          <w:numId w:val="15"/>
        </w:numPr>
        <w:keepLines/>
        <w:widowControl/>
      </w:pPr>
      <w:r>
        <w:rPr>
          <w:rFonts w:ascii="Times New Roman" w:hAnsi="Times New Roman" w:eastAsia="Times New Roman"/>
          <w:i w:val="0"/>
          <w:color w:val="000000"/>
          <w:sz w:val="23"/>
        </w:rPr>
        <w:t>трудови, управленски или други договори за лична работа след финансиране;</w:t>
      </w:r>
    </w:p>
    <w:p>
      <w:pPr>
        <w:pStyle w:val="BodyLegal"/>
        <w:spacing w:before="0" w:after="120" w:line="276" w:lineRule="auto"/>
        <w:jc w:val="both"/>
        <w:numPr>
          <w:ilvl w:val="0"/>
          <w:numId w:val="15"/>
        </w:numPr>
        <w:keepLines/>
        <w:widowControl/>
      </w:pPr>
      <w:r>
        <w:rPr>
          <w:rFonts w:ascii="Times New Roman" w:hAnsi="Times New Roman" w:eastAsia="Times New Roman"/>
          <w:i w:val="0"/>
          <w:color w:val="000000"/>
          <w:sz w:val="23"/>
        </w:rPr>
        <w:t>правила за поверителност, защита на търговска тайна, използване на външни технологии и спазване на приложимите регулаторни режими.</w:t>
      </w:r>
    </w:p>
    <w:p>
      <w:pPr>
        <w:pStyle w:val="BodyLegal"/>
        <w:spacing w:before="0" w:after="120" w:line="276" w:lineRule="auto"/>
        <w:jc w:val="both"/>
        <w:numPr>
          <w:ilvl w:val="0"/>
          <w:numId w:val="16"/>
        </w:numPr>
        <w:keepLines/>
        <w:widowControl/>
      </w:pPr>
      <w:r>
        <w:rPr>
          <w:rFonts w:ascii="Times New Roman" w:hAnsi="Times New Roman" w:eastAsia="Times New Roman"/>
          <w:i w:val="0"/>
          <w:color w:val="000000"/>
          <w:sz w:val="23"/>
        </w:rPr>
        <w:t xml:space="preserve">Основателите отчитат, че при ООД правилният учредителен документ е </w:t>
      </w:r>
      <w:r>
        <w:rPr>
          <w:rFonts w:ascii="Times New Roman" w:hAnsi="Times New Roman" w:eastAsia="Times New Roman"/>
          <w:b/>
          <w:i w:val="0"/>
          <w:color w:val="000000"/>
          <w:sz w:val="23"/>
        </w:rPr>
        <w:t>дружествен договор</w:t>
      </w:r>
      <w:r>
        <w:rPr>
          <w:rFonts w:ascii="Times New Roman" w:hAnsi="Times New Roman" w:eastAsia="Times New Roman"/>
          <w:i w:val="0"/>
          <w:color w:val="000000"/>
          <w:sz w:val="23"/>
        </w:rPr>
        <w:t>, а не учредителен акт, който е присъщ на ЕООД. Дружественият договор се обявява в Търговския регистър и е публичен; отделното споразумение между съдружниците по правило остава непублично. Уговорки, които трябва да имат действие в корпоративното управление, се предвижда да бъдат съгласувани и, когато е необходимо, отразени и в дружествения договор.</w:t>
      </w:r>
    </w:p>
    <w:p>
      <w:pPr>
        <w:pStyle w:val="BodyLegal"/>
        <w:spacing w:before="0" w:after="120" w:line="276" w:lineRule="auto"/>
        <w:jc w:val="both"/>
        <w:numPr>
          <w:ilvl w:val="0"/>
          <w:numId w:val="16"/>
        </w:numPr>
        <w:keepLines/>
        <w:widowControl/>
      </w:pPr>
      <w:r>
        <w:rPr>
          <w:rFonts w:ascii="Times New Roman" w:hAnsi="Times New Roman" w:eastAsia="Times New Roman"/>
          <w:i w:val="0"/>
          <w:color w:val="000000"/>
          <w:sz w:val="23"/>
        </w:rPr>
        <w:t>До вписването на дружеството никой не получава представителна власт по силата на този Меморандум. При евентуални действия от името на дружество в процес на учредяване следва предварително да се оцени личната и солидарната отговорност на действащите лица по чл. 69 от Търговския закон.</w:t>
      </w:r>
    </w:p>
    <w:p>
      <w:pPr>
        <w:pStyle w:val="HeadingLegal"/>
        <w:spacing w:before="240" w:after="120" w:line="240" w:lineRule="auto"/>
        <w:jc w:val="left"/>
        <w:keepNext/>
        <w:keepLines/>
        <w:widowControl/>
      </w:pPr>
      <w:r>
        <w:rPr>
          <w:rFonts w:ascii="Times New Roman" w:hAnsi="Times New Roman" w:eastAsia="Times New Roman"/>
          <w:b/>
          <w:color w:val="000000"/>
          <w:sz w:val="25"/>
        </w:rPr>
        <w:t>IV. ЦЕЛЕВО ДЯЛОВО УЧАСТИЕ, РАВЕН ГЛАС И УПРАВЛЕНИЕ</w:t>
      </w:r>
    </w:p>
    <w:p>
      <w:pPr>
        <w:pStyle w:val="BodyLegal"/>
        <w:spacing w:before="0" w:after="120" w:line="276" w:lineRule="auto"/>
        <w:jc w:val="both"/>
        <w:numPr>
          <w:ilvl w:val="0"/>
          <w:numId w:val="17"/>
        </w:numPr>
        <w:keepLines/>
        <w:widowControl/>
      </w:pPr>
      <w:r>
        <w:rPr>
          <w:rFonts w:ascii="Times New Roman" w:hAnsi="Times New Roman" w:eastAsia="Times New Roman"/>
          <w:i w:val="0"/>
          <w:color w:val="000000"/>
          <w:sz w:val="23"/>
        </w:rPr>
        <w:t xml:space="preserve">Изходното намерение е при учредяването всеки от четиримата Основатели да придобие </w:t>
      </w:r>
      <w:r>
        <w:rPr>
          <w:rFonts w:ascii="Times New Roman" w:hAnsi="Times New Roman" w:eastAsia="Times New Roman"/>
          <w:b/>
          <w:i w:val="0"/>
          <w:color w:val="000000"/>
          <w:sz w:val="23"/>
        </w:rPr>
        <w:t>25% от капитала</w:t>
      </w:r>
      <w:r>
        <w:rPr>
          <w:rFonts w:ascii="Times New Roman" w:hAnsi="Times New Roman" w:eastAsia="Times New Roman"/>
          <w:i w:val="0"/>
          <w:color w:val="000000"/>
          <w:sz w:val="23"/>
        </w:rPr>
        <w:t>, или общо 100%, при равно икономическо участие. Това е целева начална структура и не представлява настоящо притежание.</w:t>
      </w:r>
    </w:p>
    <w:p>
      <w:pPr>
        <w:pStyle w:val="BodyLegal"/>
        <w:spacing w:before="0" w:after="120" w:line="276" w:lineRule="auto"/>
        <w:jc w:val="both"/>
        <w:numPr>
          <w:ilvl w:val="0"/>
          <w:numId w:val="17"/>
        </w:numPr>
        <w:keepLines/>
        <w:widowControl/>
      </w:pPr>
      <w:r>
        <w:rPr>
          <w:rFonts w:ascii="Times New Roman" w:hAnsi="Times New Roman" w:eastAsia="Times New Roman"/>
          <w:i w:val="0"/>
          <w:color w:val="000000"/>
          <w:sz w:val="23"/>
        </w:rPr>
        <w:t>Изходното намерение е всеки Основател да има равен глас. До учредяването това означава по един консултативен глас при вътрешните обсъждания; след учредяването правото на глас и законовите мнозинства се уреждат в дружествения договор съобразно Търговския закон.</w:t>
      </w:r>
    </w:p>
    <w:p>
      <w:pPr>
        <w:pStyle w:val="BodyLegal"/>
        <w:spacing w:before="0" w:after="120" w:line="276" w:lineRule="auto"/>
        <w:jc w:val="both"/>
        <w:numPr>
          <w:ilvl w:val="0"/>
          <w:numId w:val="17"/>
        </w:numPr>
        <w:keepLines/>
        <w:widowControl/>
      </w:pPr>
      <w:r>
        <w:rPr>
          <w:rFonts w:ascii="Times New Roman" w:hAnsi="Times New Roman" w:eastAsia="Times New Roman"/>
          <w:i w:val="0"/>
          <w:color w:val="000000"/>
          <w:sz w:val="23"/>
        </w:rPr>
        <w:t>Като работна рамка преди учредяването се предвижда текущите технически и оперативни решения да се подкрепят от най-малко трима от четиримата Основатели, след предоставяне на еднаква информация и разумна възможност за обсъждане.</w:t>
      </w:r>
    </w:p>
    <w:p>
      <w:pPr>
        <w:pStyle w:val="BodyLegal"/>
        <w:spacing w:before="0" w:after="120" w:line="276" w:lineRule="auto"/>
        <w:jc w:val="both"/>
        <w:numPr>
          <w:ilvl w:val="0"/>
          <w:numId w:val="17"/>
        </w:numPr>
        <w:keepLines/>
        <w:widowControl/>
      </w:pPr>
      <w:r>
        <w:rPr>
          <w:rFonts w:ascii="Times New Roman" w:hAnsi="Times New Roman" w:eastAsia="Times New Roman"/>
          <w:i w:val="0"/>
          <w:color w:val="000000"/>
          <w:sz w:val="23"/>
        </w:rPr>
        <w:t>Като въпроси за единодушно предварително одобрение в бъдещите документи се разглеждат:</w:t>
      </w:r>
    </w:p>
    <w:p>
      <w:pPr>
        <w:pStyle w:val="BodyLegal"/>
        <w:spacing w:before="0" w:after="120" w:line="276" w:lineRule="auto"/>
        <w:jc w:val="both"/>
        <w:numPr>
          <w:ilvl w:val="0"/>
          <w:numId w:val="18"/>
        </w:numPr>
        <w:keepLines/>
        <w:widowControl/>
      </w:pPr>
      <w:r>
        <w:rPr>
          <w:rFonts w:ascii="Times New Roman" w:hAnsi="Times New Roman" w:eastAsia="Times New Roman"/>
          <w:i w:val="0"/>
          <w:color w:val="000000"/>
          <w:sz w:val="23"/>
        </w:rPr>
        <w:t>окончателните учредителни документи, размерът и разпределението на капитала;</w:t>
      </w:r>
    </w:p>
    <w:p>
      <w:pPr>
        <w:pStyle w:val="BodyLegal"/>
        <w:spacing w:before="0" w:after="120" w:line="276" w:lineRule="auto"/>
        <w:jc w:val="both"/>
        <w:numPr>
          <w:ilvl w:val="0"/>
          <w:numId w:val="18"/>
        </w:numPr>
        <w:keepLines/>
        <w:widowControl/>
      </w:pPr>
      <w:r>
        <w:rPr>
          <w:rFonts w:ascii="Times New Roman" w:hAnsi="Times New Roman" w:eastAsia="Times New Roman"/>
          <w:i w:val="0"/>
          <w:color w:val="000000"/>
          <w:sz w:val="23"/>
        </w:rPr>
        <w:t>приемане на нов основател, съдружник или инвеститор и всяка промяна или обременяване на дялово участие;</w:t>
      </w:r>
    </w:p>
    <w:p>
      <w:pPr>
        <w:pStyle w:val="BodyLegal"/>
        <w:spacing w:before="0" w:after="120" w:line="276" w:lineRule="auto"/>
        <w:jc w:val="both"/>
        <w:numPr>
          <w:ilvl w:val="0"/>
          <w:numId w:val="18"/>
        </w:numPr>
        <w:keepLines/>
        <w:widowControl/>
      </w:pPr>
      <w:r>
        <w:rPr>
          <w:rFonts w:ascii="Times New Roman" w:hAnsi="Times New Roman" w:eastAsia="Times New Roman"/>
          <w:i w:val="0"/>
          <w:color w:val="000000"/>
          <w:sz w:val="23"/>
        </w:rPr>
        <w:t>инвестиционни условия, оценка на дружеството, съществено размиване на участията и емитиране на нови дялове;</w:t>
      </w:r>
    </w:p>
    <w:p>
      <w:pPr>
        <w:pStyle w:val="BodyLegal"/>
        <w:spacing w:before="0" w:after="120" w:line="276" w:lineRule="auto"/>
        <w:jc w:val="both"/>
        <w:numPr>
          <w:ilvl w:val="0"/>
          <w:numId w:val="18"/>
        </w:numPr>
        <w:keepLines/>
        <w:widowControl/>
      </w:pPr>
      <w:r>
        <w:rPr>
          <w:rFonts w:ascii="Times New Roman" w:hAnsi="Times New Roman" w:eastAsia="Times New Roman"/>
          <w:i w:val="0"/>
          <w:color w:val="000000"/>
          <w:sz w:val="23"/>
        </w:rPr>
        <w:t>прехвърляне, изключително лицензиране или обременяване на съществена интелектуална собственост;</w:t>
      </w:r>
    </w:p>
    <w:p>
      <w:pPr>
        <w:pStyle w:val="BodyLegal"/>
        <w:spacing w:before="0" w:after="120" w:line="276" w:lineRule="auto"/>
        <w:jc w:val="both"/>
        <w:numPr>
          <w:ilvl w:val="0"/>
          <w:numId w:val="18"/>
        </w:numPr>
        <w:keepLines/>
        <w:widowControl/>
      </w:pPr>
      <w:r>
        <w:rPr>
          <w:rFonts w:ascii="Times New Roman" w:hAnsi="Times New Roman" w:eastAsia="Times New Roman"/>
          <w:i w:val="0"/>
          <w:color w:val="000000"/>
          <w:sz w:val="23"/>
        </w:rPr>
        <w:t>поемане на съществен дълг, гаранция, обезпечение или необичаен дългосрочен ангажимент;</w:t>
      </w:r>
    </w:p>
    <w:p>
      <w:pPr>
        <w:pStyle w:val="BodyLegal"/>
        <w:spacing w:before="0" w:after="120" w:line="276" w:lineRule="auto"/>
        <w:jc w:val="both"/>
        <w:numPr>
          <w:ilvl w:val="0"/>
          <w:numId w:val="18"/>
        </w:numPr>
        <w:keepLines/>
        <w:widowControl/>
      </w:pPr>
      <w:r>
        <w:rPr>
          <w:rFonts w:ascii="Times New Roman" w:hAnsi="Times New Roman" w:eastAsia="Times New Roman"/>
          <w:i w:val="0"/>
          <w:color w:val="000000"/>
          <w:sz w:val="23"/>
        </w:rPr>
        <w:t>промяна на основната цел на Проекта, продажба на предприятието или съществените му активи, преобразуване, прекратяване или ликвидация;</w:t>
      </w:r>
    </w:p>
    <w:p>
      <w:pPr>
        <w:pStyle w:val="BodyLegal"/>
        <w:spacing w:before="0" w:after="120" w:line="276" w:lineRule="auto"/>
        <w:jc w:val="both"/>
        <w:numPr>
          <w:ilvl w:val="0"/>
          <w:numId w:val="18"/>
        </w:numPr>
        <w:keepLines/>
        <w:widowControl/>
      </w:pPr>
      <w:r>
        <w:rPr>
          <w:rFonts w:ascii="Times New Roman" w:hAnsi="Times New Roman" w:eastAsia="Times New Roman"/>
          <w:i w:val="0"/>
          <w:color w:val="000000"/>
          <w:sz w:val="23"/>
        </w:rPr>
        <w:t>сделка със свързано лице или друга сделка с очевиден конфликт на интереси.</w:t>
      </w:r>
    </w:p>
    <w:p>
      <w:pPr>
        <w:pStyle w:val="BodyLegal"/>
        <w:spacing w:before="0" w:after="120" w:line="276" w:lineRule="auto"/>
        <w:jc w:val="both"/>
        <w:numPr>
          <w:ilvl w:val="0"/>
          <w:numId w:val="19"/>
        </w:numPr>
        <w:keepLines/>
        <w:widowControl/>
      </w:pPr>
      <w:r>
        <w:rPr>
          <w:rFonts w:ascii="Times New Roman" w:hAnsi="Times New Roman" w:eastAsia="Times New Roman"/>
          <w:i w:val="0"/>
          <w:color w:val="000000"/>
          <w:sz w:val="23"/>
        </w:rPr>
        <w:t>При блокирано решение предпочитаният ред е последователно обсъждане на писмено изложени позиции, втора среща след кратък период за преценка и, при необходимост, доброволно съдействие от независим технически, стопански или правен съветник или медиатор. До изясняване на въпроса се запазва текущото положение, освен при непосредствен риск за безопасността или запазването на актив.</w:t>
      </w:r>
    </w:p>
    <w:p>
      <w:pPr>
        <w:pStyle w:val="BodyLegal"/>
        <w:spacing w:before="0" w:after="120" w:line="276" w:lineRule="auto"/>
        <w:jc w:val="both"/>
        <w:numPr>
          <w:ilvl w:val="0"/>
          <w:numId w:val="19"/>
        </w:numPr>
        <w:keepLines/>
        <w:widowControl/>
      </w:pPr>
      <w:r>
        <w:rPr>
          <w:rFonts w:ascii="Times New Roman" w:hAnsi="Times New Roman" w:eastAsia="Times New Roman"/>
          <w:i w:val="0"/>
          <w:color w:val="000000"/>
          <w:sz w:val="23"/>
        </w:rPr>
        <w:t>Ролите остават гъвкави. Планира се да бъдат разпределени водещи области по стопанска стратегия и финансиране, конструкция и аеродинамика, задвижване и производство, авионика, управление и софтуер, без разпределението само по себе си да променя равното целево участие.</w:t>
      </w:r>
    </w:p>
    <w:p>
      <w:pPr>
        <w:pStyle w:val="HeadingLegal"/>
        <w:spacing w:before="240" w:after="120" w:line="240" w:lineRule="auto"/>
        <w:jc w:val="left"/>
        <w:keepNext/>
        <w:keepLines/>
        <w:widowControl/>
      </w:pPr>
      <w:r>
        <w:rPr>
          <w:rFonts w:ascii="Times New Roman" w:hAnsi="Times New Roman" w:eastAsia="Times New Roman"/>
          <w:b/>
          <w:color w:val="000000"/>
          <w:sz w:val="25"/>
        </w:rPr>
        <w:t>V. ДОБРОСЪВЕСТНОСТ И УЧАСТИЕ ПРЕДИ ВЪНШНО ФИНАНСИРАНЕ</w:t>
      </w:r>
    </w:p>
    <w:p>
      <w:pPr>
        <w:pStyle w:val="BodyLegal"/>
        <w:spacing w:before="0" w:after="120" w:line="276" w:lineRule="auto"/>
        <w:jc w:val="both"/>
        <w:numPr>
          <w:ilvl w:val="0"/>
          <w:numId w:val="20"/>
        </w:numPr>
        <w:keepLines/>
        <w:widowControl/>
      </w:pPr>
      <w:r>
        <w:rPr>
          <w:rFonts w:ascii="Times New Roman" w:hAnsi="Times New Roman" w:eastAsia="Times New Roman"/>
          <w:i w:val="0"/>
          <w:color w:val="000000"/>
          <w:sz w:val="23"/>
        </w:rPr>
        <w:t>Общото намерение е Проектът да се развива чрез добросъвестно, активно и прозрачно участие, своевременно споделяне на съществена информация и ранно съобщаване за технически, финансови, правни или лични пречки.</w:t>
      </w:r>
    </w:p>
    <w:p>
      <w:pPr>
        <w:pStyle w:val="BodyLegal"/>
        <w:spacing w:before="0" w:after="120" w:line="276" w:lineRule="auto"/>
        <w:jc w:val="both"/>
        <w:numPr>
          <w:ilvl w:val="0"/>
          <w:numId w:val="20"/>
        </w:numPr>
        <w:keepLines/>
        <w:widowControl/>
      </w:pPr>
      <w:r>
        <w:rPr>
          <w:rFonts w:ascii="Times New Roman" w:hAnsi="Times New Roman" w:eastAsia="Times New Roman"/>
          <w:i w:val="0"/>
          <w:color w:val="000000"/>
          <w:sz w:val="23"/>
        </w:rPr>
        <w:t xml:space="preserve">Като ориентир преди външно финансиране се разглежда средна лична ангажираност от приблизително </w:t>
      </w:r>
      <w:r>
        <w:rPr>
          <w:rFonts w:ascii="Times New Roman" w:hAnsi="Times New Roman" w:eastAsia="Times New Roman"/>
          <w:b/>
          <w:i w:val="0"/>
          <w:color w:val="000000"/>
          <w:sz w:val="23"/>
        </w:rPr>
        <w:t>осем часа седмично за всеки Основател</w:t>
      </w:r>
      <w:r>
        <w:rPr>
          <w:rFonts w:ascii="Times New Roman" w:hAnsi="Times New Roman" w:eastAsia="Times New Roman"/>
          <w:i w:val="0"/>
          <w:color w:val="000000"/>
          <w:sz w:val="23"/>
        </w:rPr>
        <w:t>, съобразена с ролята, текущия етап и обективната възможност на лицето. Това не е дължима минимална норма и отклонение от нея не поражда санкция по Меморандума.</w:t>
      </w:r>
    </w:p>
    <w:p>
      <w:pPr>
        <w:pStyle w:val="BodyLegal"/>
        <w:spacing w:before="0" w:after="120" w:line="276" w:lineRule="auto"/>
        <w:jc w:val="both"/>
        <w:numPr>
          <w:ilvl w:val="0"/>
          <w:numId w:val="20"/>
        </w:numPr>
        <w:keepLines/>
        <w:widowControl/>
      </w:pPr>
      <w:r>
        <w:rPr>
          <w:rFonts w:ascii="Times New Roman" w:hAnsi="Times New Roman" w:eastAsia="Times New Roman"/>
          <w:i w:val="0"/>
          <w:color w:val="000000"/>
          <w:sz w:val="23"/>
        </w:rPr>
        <w:t>Предпочитаният начин на работа включва кратък общ план за следващите приблизително три месеца, ясно разпределени водещи задачи, общо хранилище на актуалната документация, проследимост на техническите решения и периодичен преглед на напредъка.</w:t>
      </w:r>
    </w:p>
    <w:p>
      <w:pPr>
        <w:pStyle w:val="BodyLegal"/>
        <w:spacing w:before="0" w:after="120" w:line="276" w:lineRule="auto"/>
        <w:jc w:val="both"/>
        <w:numPr>
          <w:ilvl w:val="0"/>
          <w:numId w:val="20"/>
        </w:numPr>
        <w:keepLines/>
        <w:widowControl/>
      </w:pPr>
      <w:r>
        <w:rPr>
          <w:rFonts w:ascii="Times New Roman" w:hAnsi="Times New Roman" w:eastAsia="Times New Roman"/>
          <w:i w:val="0"/>
          <w:color w:val="000000"/>
          <w:sz w:val="23"/>
        </w:rPr>
        <w:t>Всеки Основател се насърчава да разкрие навреме съществуващо трудово, служебно, договорно или академично отношение, което може да ограничи участието му или да породи права на работодател, възложител, университет или друго трето лице върху резултат от работата.</w:t>
      </w:r>
    </w:p>
    <w:p>
      <w:pPr>
        <w:pStyle w:val="BodyLegal"/>
        <w:spacing w:before="0" w:after="120" w:line="276" w:lineRule="auto"/>
        <w:jc w:val="both"/>
        <w:numPr>
          <w:ilvl w:val="0"/>
          <w:numId w:val="20"/>
        </w:numPr>
        <w:keepLines/>
        <w:widowControl/>
      </w:pPr>
      <w:r>
        <w:rPr>
          <w:rFonts w:ascii="Times New Roman" w:hAnsi="Times New Roman" w:eastAsia="Times New Roman"/>
          <w:i w:val="0"/>
          <w:color w:val="000000"/>
          <w:sz w:val="23"/>
        </w:rPr>
        <w:t>Не се предвижда задължителна парична вноска преди или след учредяването без отделно единодушно и обвързващо решение в приложимата форма. До отделна писмена уговорка всеки понася лично направените от него разходи и не може да задължава останалите.</w:t>
      </w:r>
    </w:p>
    <w:p>
      <w:pPr>
        <w:pStyle w:val="BodyLegal"/>
        <w:spacing w:before="0" w:after="120" w:line="276" w:lineRule="auto"/>
        <w:jc w:val="both"/>
        <w:numPr>
          <w:ilvl w:val="0"/>
          <w:numId w:val="20"/>
        </w:numPr>
        <w:keepLines/>
        <w:widowControl/>
      </w:pPr>
      <w:r>
        <w:rPr>
          <w:rFonts w:ascii="Times New Roman" w:hAnsi="Times New Roman" w:eastAsia="Times New Roman"/>
          <w:i w:val="0"/>
          <w:color w:val="000000"/>
          <w:sz w:val="23"/>
        </w:rPr>
        <w:t>Не се предполага възнаграждение за предучредителната работа, освен ако за конкретна дейност не бъде сключен отделен договор. Придобити материали, компоненти и оборудване се предвижда да бъдат описвани с посочване на платеца и собственика.</w:t>
      </w:r>
    </w:p>
    <w:p>
      <w:pPr>
        <w:pStyle w:val="HeadingLegal"/>
        <w:spacing w:before="240" w:after="120" w:line="240" w:lineRule="auto"/>
        <w:jc w:val="left"/>
        <w:keepNext/>
        <w:keepLines/>
        <w:widowControl/>
      </w:pPr>
      <w:r>
        <w:rPr>
          <w:rFonts w:ascii="Times New Roman" w:hAnsi="Times New Roman" w:eastAsia="Times New Roman"/>
          <w:b/>
          <w:color w:val="000000"/>
          <w:sz w:val="25"/>
        </w:rPr>
        <w:t>VI. ИНВЕСТИЦИЯ И ПЪЛНА РАБОТНА АНГАЖИРАНОСТ</w:t>
      </w:r>
    </w:p>
    <w:p>
      <w:pPr>
        <w:pStyle w:val="BodyLegal"/>
        <w:spacing w:before="0" w:after="120" w:line="276" w:lineRule="auto"/>
        <w:jc w:val="both"/>
        <w:numPr>
          <w:ilvl w:val="0"/>
          <w:numId w:val="21"/>
        </w:numPr>
        <w:keepLines/>
        <w:widowControl/>
      </w:pPr>
      <w:r>
        <w:rPr>
          <w:rFonts w:ascii="Times New Roman" w:hAnsi="Times New Roman" w:eastAsia="Times New Roman"/>
          <w:i w:val="0"/>
          <w:color w:val="000000"/>
          <w:sz w:val="23"/>
        </w:rPr>
        <w:t>При приключен инвестиционен кръг от бизнес ангел, фонд за рисков капитал, стратегически инвеститор или друг източник и реално получено финансиране, което според одобрен бюджет осигурява приблизително дванадесет месеца работа на Проекта и разумни възнаграждения за основния екип, общото намерение е да започне преход към пълна работна ангажираност.</w:t>
      </w:r>
    </w:p>
    <w:p>
      <w:pPr>
        <w:pStyle w:val="BodyLegal"/>
        <w:spacing w:before="0" w:after="120" w:line="276" w:lineRule="auto"/>
        <w:jc w:val="both"/>
        <w:numPr>
          <w:ilvl w:val="0"/>
          <w:numId w:val="21"/>
        </w:numPr>
        <w:keepLines/>
        <w:widowControl/>
      </w:pPr>
      <w:r>
        <w:rPr>
          <w:rFonts w:ascii="Times New Roman" w:hAnsi="Times New Roman" w:eastAsia="Times New Roman"/>
          <w:i w:val="0"/>
          <w:color w:val="000000"/>
          <w:sz w:val="23"/>
        </w:rPr>
        <w:t xml:space="preserve">Като първоначален ориентир се предвижда всеки Основател да бъде готов да посвети пълното си работно време на Проекта за </w:t>
      </w:r>
      <w:r>
        <w:rPr>
          <w:rFonts w:ascii="Times New Roman" w:hAnsi="Times New Roman" w:eastAsia="Times New Roman"/>
          <w:b/>
          <w:i w:val="0"/>
          <w:color w:val="000000"/>
          <w:sz w:val="23"/>
        </w:rPr>
        <w:t>период от приблизително дванадесет месеца</w:t>
      </w:r>
      <w:r>
        <w:rPr>
          <w:rFonts w:ascii="Times New Roman" w:hAnsi="Times New Roman" w:eastAsia="Times New Roman"/>
          <w:i w:val="0"/>
          <w:color w:val="000000"/>
          <w:sz w:val="23"/>
        </w:rPr>
        <w:t>, при предварително съгласувани индивидуални условия.</w:t>
      </w:r>
    </w:p>
    <w:p>
      <w:pPr>
        <w:pStyle w:val="BodyLegal"/>
        <w:spacing w:before="0" w:after="120" w:line="276" w:lineRule="auto"/>
        <w:jc w:val="both"/>
        <w:numPr>
          <w:ilvl w:val="0"/>
          <w:numId w:val="21"/>
        </w:numPr>
        <w:keepLines/>
        <w:widowControl/>
      </w:pPr>
      <w:r>
        <w:rPr>
          <w:rFonts w:ascii="Times New Roman" w:hAnsi="Times New Roman" w:eastAsia="Times New Roman"/>
          <w:i w:val="0"/>
          <w:color w:val="000000"/>
          <w:sz w:val="23"/>
        </w:rPr>
        <w:t>Пълната ангажираност се разбира като превръщане на Проекта в основна професионална дейност и ограничаване или прекратяване на несъвместими и конкурентни ангажименти, но само в обхват, допустим от закона и изрично уреден в отделен трудов, управленски или друг договор.</w:t>
      </w:r>
    </w:p>
    <w:p>
      <w:pPr>
        <w:pStyle w:val="BodyLegal"/>
        <w:spacing w:before="0" w:after="120" w:line="276" w:lineRule="auto"/>
        <w:jc w:val="both"/>
        <w:numPr>
          <w:ilvl w:val="0"/>
          <w:numId w:val="21"/>
        </w:numPr>
        <w:keepLines/>
        <w:widowControl/>
      </w:pPr>
      <w:r>
        <w:rPr>
          <w:rFonts w:ascii="Times New Roman" w:hAnsi="Times New Roman" w:eastAsia="Times New Roman"/>
          <w:i w:val="0"/>
          <w:color w:val="000000"/>
          <w:sz w:val="23"/>
        </w:rPr>
        <w:t>Основателите заявяват обща готовност в началния финансиран период да обсъждат възнаграждения под обичайното пазарно ниво, доколкото те са законосъобразни, финансово устойчиви за дружеството и индивидуално приемливи. Не се предвижда отказ от приложими минимални трудови и осигурителни изисквания.</w:t>
      </w:r>
    </w:p>
    <w:p>
      <w:pPr>
        <w:pStyle w:val="BodyLegal"/>
        <w:spacing w:before="0" w:after="120" w:line="276" w:lineRule="auto"/>
        <w:jc w:val="both"/>
        <w:numPr>
          <w:ilvl w:val="0"/>
          <w:numId w:val="21"/>
        </w:numPr>
        <w:keepLines/>
        <w:widowControl/>
      </w:pPr>
      <w:r>
        <w:rPr>
          <w:rFonts w:ascii="Times New Roman" w:hAnsi="Times New Roman" w:eastAsia="Times New Roman"/>
          <w:i w:val="0"/>
          <w:color w:val="000000"/>
          <w:sz w:val="23"/>
        </w:rPr>
        <w:t>Преди началото на пълната ангажираност се предвижда индивидуално писмено уреждане най-малко на ролята, началната дата, правното основание на работата, работното време, възнаграждението, осигуряването и данъчното третиране, показателите за изпълнение, допустимите външни дейности, отпуските, разходите, поверителността, интелектуалната собственост и реда за прекратяване.</w:t>
      </w:r>
    </w:p>
    <w:p>
      <w:pPr>
        <w:pStyle w:val="BodyLegal"/>
        <w:spacing w:before="0" w:after="120" w:line="276" w:lineRule="auto"/>
        <w:jc w:val="both"/>
        <w:numPr>
          <w:ilvl w:val="0"/>
          <w:numId w:val="21"/>
        </w:numPr>
        <w:keepLines/>
        <w:widowControl/>
      </w:pPr>
      <w:r>
        <w:rPr>
          <w:rFonts w:ascii="Times New Roman" w:hAnsi="Times New Roman" w:eastAsia="Times New Roman"/>
          <w:i w:val="0"/>
          <w:color w:val="000000"/>
          <w:sz w:val="23"/>
        </w:rPr>
        <w:t>Невъзможност или нежелание на Основател да премине към пълна ангажираност не води автоматично до нарушение, загуба на дял или право по този Меморандум. Бъдещото обвързващо споразумение се предвижда да уреди справедлив механизъм чрез поетапно придобиване или запазване на участие и правила при напускане.</w:t>
      </w:r>
    </w:p>
    <w:p>
      <w:pPr>
        <w:pStyle w:val="BodyLegal"/>
        <w:spacing w:before="0" w:after="120" w:line="276" w:lineRule="auto"/>
        <w:jc w:val="both"/>
        <w:numPr>
          <w:ilvl w:val="0"/>
          <w:numId w:val="21"/>
        </w:numPr>
        <w:keepLines/>
        <w:widowControl/>
      </w:pPr>
      <w:r>
        <w:rPr>
          <w:rFonts w:ascii="Times New Roman" w:hAnsi="Times New Roman" w:eastAsia="Times New Roman"/>
          <w:i w:val="0"/>
          <w:color w:val="000000"/>
          <w:sz w:val="23"/>
        </w:rPr>
        <w:t>При външна инвестиция се очаква процентите на всички Основатели да могат да бъдат намалени пропорционално за предоставяне на участие на инвеститор или екип, освен ако окончателните инвестиционни документи предвиждат друго. Приемането на инвестиционните условия остава въпрос за единодушно решение до учредяването.</w:t>
      </w:r>
    </w:p>
    <w:p>
      <w:pPr>
        <w:pStyle w:val="HeadingLegal"/>
        <w:spacing w:before="240" w:after="120" w:line="240" w:lineRule="auto"/>
        <w:jc w:val="left"/>
        <w:keepNext/>
        <w:keepLines/>
        <w:widowControl/>
      </w:pPr>
      <w:r>
        <w:rPr>
          <w:rFonts w:ascii="Times New Roman" w:hAnsi="Times New Roman" w:eastAsia="Times New Roman"/>
          <w:b/>
          <w:color w:val="000000"/>
          <w:sz w:val="25"/>
        </w:rPr>
        <w:t>VII. БЪДЕЩ МЕХАНИЗЪМ ЗА ДЯЛОВО УЧАСТИЕ, НАПУСКАНЕ И НОВИ УЧАСТНИЦИ</w:t>
      </w:r>
    </w:p>
    <w:p>
      <w:pPr>
        <w:pStyle w:val="BodyLegal"/>
        <w:spacing w:before="0" w:after="120" w:line="276" w:lineRule="auto"/>
        <w:jc w:val="both"/>
        <w:numPr>
          <w:ilvl w:val="0"/>
          <w:numId w:val="22"/>
        </w:numPr>
        <w:keepLines/>
        <w:widowControl/>
      </w:pPr>
      <w:r>
        <w:rPr>
          <w:rFonts w:ascii="Times New Roman" w:hAnsi="Times New Roman" w:eastAsia="Times New Roman"/>
          <w:i w:val="0"/>
          <w:color w:val="000000"/>
          <w:sz w:val="23"/>
        </w:rPr>
        <w:t xml:space="preserve">За окончателното споразумение се разглежда ориентировъчен модел, при който целевото участие на всеки Основател се придобива или запазва поетапно за общ период от </w:t>
      </w:r>
      <w:r>
        <w:rPr>
          <w:rFonts w:ascii="Times New Roman" w:hAnsi="Times New Roman" w:eastAsia="Times New Roman"/>
          <w:b/>
          <w:i w:val="0"/>
          <w:color w:val="000000"/>
          <w:sz w:val="23"/>
        </w:rPr>
        <w:t>осемнадесет месеца</w:t>
      </w:r>
      <w:r>
        <w:rPr>
          <w:rFonts w:ascii="Times New Roman" w:hAnsi="Times New Roman" w:eastAsia="Times New Roman"/>
          <w:i w:val="0"/>
          <w:color w:val="000000"/>
          <w:sz w:val="23"/>
        </w:rPr>
        <w:t xml:space="preserve">, с начален период от </w:t>
      </w:r>
      <w:r>
        <w:rPr>
          <w:rFonts w:ascii="Times New Roman" w:hAnsi="Times New Roman" w:eastAsia="Times New Roman"/>
          <w:b/>
          <w:i w:val="0"/>
          <w:color w:val="000000"/>
          <w:sz w:val="23"/>
        </w:rPr>
        <w:t>шест месеца</w:t>
      </w:r>
      <w:r>
        <w:rPr>
          <w:rFonts w:ascii="Times New Roman" w:hAnsi="Times New Roman" w:eastAsia="Times New Roman"/>
          <w:i w:val="0"/>
          <w:color w:val="000000"/>
          <w:sz w:val="23"/>
        </w:rPr>
        <w:t>, преди който не се признава придобита част.</w:t>
      </w:r>
    </w:p>
    <w:p>
      <w:pPr>
        <w:pStyle w:val="BodyLegal"/>
        <w:spacing w:before="0" w:after="120" w:line="276" w:lineRule="auto"/>
        <w:jc w:val="both"/>
        <w:numPr>
          <w:ilvl w:val="0"/>
          <w:numId w:val="22"/>
        </w:numPr>
        <w:keepLines/>
        <w:widowControl/>
      </w:pPr>
      <w:r>
        <w:rPr>
          <w:rFonts w:ascii="Times New Roman" w:hAnsi="Times New Roman" w:eastAsia="Times New Roman"/>
          <w:i w:val="0"/>
          <w:color w:val="000000"/>
          <w:sz w:val="23"/>
        </w:rPr>
        <w:t xml:space="preserve">Окончателните документи следва да определят началната дата на този период и начина, по който се признава доказуемият принос към Проекта от </w:t>
      </w:r>
      <w:r>
        <w:rPr>
          <w:rFonts w:ascii="Times New Roman" w:hAnsi="Times New Roman" w:eastAsia="Times New Roman"/>
          <w:b/>
          <w:i w:val="0"/>
          <w:color w:val="000000"/>
          <w:sz w:val="23"/>
        </w:rPr>
        <w:t>23 ноември 2025 г.</w:t>
      </w:r>
      <w:r>
        <w:rPr>
          <w:rFonts w:ascii="Times New Roman" w:hAnsi="Times New Roman" w:eastAsia="Times New Roman"/>
          <w:i w:val="0"/>
          <w:color w:val="000000"/>
          <w:sz w:val="23"/>
        </w:rPr>
        <w:t xml:space="preserve"> насетне. До подписването им поетапно придобиване не тече и дялово участие не възниква по силата на Меморандума.</w:t>
      </w:r>
    </w:p>
    <w:p>
      <w:pPr>
        <w:pStyle w:val="BodyLegal"/>
        <w:spacing w:before="0" w:after="120" w:line="276" w:lineRule="auto"/>
        <w:jc w:val="both"/>
        <w:numPr>
          <w:ilvl w:val="0"/>
          <w:numId w:val="22"/>
        </w:numPr>
        <w:keepLines/>
        <w:widowControl/>
      </w:pPr>
      <w:r>
        <w:rPr>
          <w:rFonts w:ascii="Times New Roman" w:hAnsi="Times New Roman" w:eastAsia="Times New Roman"/>
          <w:i w:val="0"/>
          <w:color w:val="000000"/>
          <w:sz w:val="23"/>
        </w:rPr>
        <w:t>Предвижда се отделно и подробно уреждане на доброволно напускане, трайна неактивност, невъзможност за участие, съществено виновно поведение, смърт или нетрудоспособност, както и на последиците за придобитата и непридобитата част от участието.</w:t>
      </w:r>
    </w:p>
    <w:p>
      <w:pPr>
        <w:pStyle w:val="BodyLegal"/>
        <w:spacing w:before="0" w:after="120" w:line="276" w:lineRule="auto"/>
        <w:jc w:val="both"/>
        <w:numPr>
          <w:ilvl w:val="0"/>
          <w:numId w:val="22"/>
        </w:numPr>
        <w:keepLines/>
        <w:widowControl/>
      </w:pPr>
      <w:r>
        <w:rPr>
          <w:rFonts w:ascii="Times New Roman" w:hAnsi="Times New Roman" w:eastAsia="Times New Roman"/>
          <w:i w:val="0"/>
          <w:color w:val="000000"/>
          <w:sz w:val="23"/>
        </w:rPr>
        <w:t>Вместо автоматично „връщане“ или отнемане на дялове, окончателната конструкция се предвижда да използва законосъобразни договорни и дружествени механизми — например условно прехвърляне, опция за изкупуване, предварително определена формула или независима оценка — при спазване на изискуемата форма и вписване.</w:t>
      </w:r>
    </w:p>
    <w:p>
      <w:pPr>
        <w:pStyle w:val="BodyLegal"/>
        <w:spacing w:before="0" w:after="120" w:line="276" w:lineRule="auto"/>
        <w:jc w:val="both"/>
        <w:numPr>
          <w:ilvl w:val="0"/>
          <w:numId w:val="22"/>
        </w:numPr>
        <w:keepLines/>
        <w:widowControl/>
      </w:pPr>
      <w:r>
        <w:rPr>
          <w:rFonts w:ascii="Times New Roman" w:hAnsi="Times New Roman" w:eastAsia="Times New Roman"/>
          <w:i w:val="0"/>
          <w:color w:val="000000"/>
          <w:sz w:val="23"/>
        </w:rPr>
        <w:t>Предвижда се да бъдат обсъдени право на първо предложение или първи отказ за оставащите съдружници, право на присъединяване към продажба, механизъм за съвместна продажба, защита при размиване и неутрална процедура за определяне на справедлива пазарна стойност.</w:t>
      </w:r>
    </w:p>
    <w:p>
      <w:pPr>
        <w:pStyle w:val="BodyLegal"/>
        <w:spacing w:before="0" w:after="120" w:line="276" w:lineRule="auto"/>
        <w:jc w:val="both"/>
        <w:numPr>
          <w:ilvl w:val="0"/>
          <w:numId w:val="22"/>
        </w:numPr>
        <w:keepLines/>
        <w:widowControl/>
      </w:pPr>
      <w:r>
        <w:rPr>
          <w:rFonts w:ascii="Times New Roman" w:hAnsi="Times New Roman" w:eastAsia="Times New Roman"/>
          <w:i w:val="0"/>
          <w:color w:val="000000"/>
          <w:sz w:val="23"/>
        </w:rPr>
        <w:t>Приемане на нов основател или участник с дялово участие се разглежда като единодушно решение. За нови ключови участници може да се предвиди поетапно придобиване за ориентировъчен период от двадесет и четири месеца, съобразено с ролята и приноса им.</w:t>
      </w:r>
    </w:p>
    <w:p>
      <w:pPr>
        <w:pStyle w:val="BodyLegal"/>
        <w:spacing w:before="0" w:after="120" w:line="276" w:lineRule="auto"/>
        <w:jc w:val="both"/>
        <w:numPr>
          <w:ilvl w:val="0"/>
          <w:numId w:val="22"/>
        </w:numPr>
        <w:keepLines/>
        <w:widowControl/>
      </w:pPr>
      <w:r>
        <w:rPr>
          <w:rFonts w:ascii="Times New Roman" w:hAnsi="Times New Roman" w:eastAsia="Times New Roman"/>
          <w:i w:val="0"/>
          <w:color w:val="000000"/>
          <w:sz w:val="23"/>
        </w:rPr>
        <w:t>Прехвърлянето на дружествени дялове след учредяване се предвижда да бъде извършвано само по реда на Търговския закон и окончателните документи; Меморандумът не е договор за прехвърляне и не може да замести необходимите решения, нотариална форма или вписване.</w:t>
      </w:r>
    </w:p>
    <w:p>
      <w:pPr>
        <w:pStyle w:val="HeadingLegal"/>
        <w:spacing w:before="240" w:after="120" w:line="240" w:lineRule="auto"/>
        <w:jc w:val="left"/>
        <w:keepNext/>
        <w:keepLines/>
        <w:widowControl/>
      </w:pPr>
      <w:r>
        <w:rPr>
          <w:rFonts w:ascii="Times New Roman" w:hAnsi="Times New Roman" w:eastAsia="Times New Roman"/>
          <w:b/>
          <w:color w:val="000000"/>
          <w:sz w:val="25"/>
        </w:rPr>
        <w:t>VIII. ИНТЕЛЕКТУАЛНА СОБСТВЕНОСТ, ПОВЕРИТЕЛНОСТ И АКТИВИ</w:t>
      </w:r>
    </w:p>
    <w:p>
      <w:pPr>
        <w:pStyle w:val="BodyLegal"/>
        <w:spacing w:before="0" w:after="120" w:line="276" w:lineRule="auto"/>
        <w:jc w:val="both"/>
        <w:numPr>
          <w:ilvl w:val="0"/>
          <w:numId w:val="23"/>
        </w:numPr>
        <w:keepLines/>
        <w:widowControl/>
      </w:pPr>
      <w:r>
        <w:rPr>
          <w:rFonts w:ascii="Times New Roman" w:hAnsi="Times New Roman" w:eastAsia="Times New Roman"/>
          <w:i w:val="0"/>
          <w:color w:val="000000"/>
          <w:sz w:val="23"/>
        </w:rPr>
        <w:t>Преди учредяването се предвижда изготвяне на опис на предварително съществуващи разработки и права на всеки Основател — включително конструкции, чертежи, програмни модули, библиотеки, модели, знания, данни, оборудване и документи — които не са създадени специално за Проекта и остават негова собственост, освен при отделна уговорка.</w:t>
      </w:r>
    </w:p>
    <w:p>
      <w:pPr>
        <w:pStyle w:val="BodyLegal"/>
        <w:spacing w:before="0" w:after="120" w:line="276" w:lineRule="auto"/>
        <w:jc w:val="both"/>
        <w:numPr>
          <w:ilvl w:val="0"/>
          <w:numId w:val="23"/>
        </w:numPr>
        <w:keepLines/>
        <w:widowControl/>
      </w:pPr>
      <w:r>
        <w:rPr>
          <w:rFonts w:ascii="Times New Roman" w:hAnsi="Times New Roman" w:eastAsia="Times New Roman"/>
          <w:i w:val="0"/>
          <w:color w:val="000000"/>
          <w:sz w:val="23"/>
        </w:rPr>
        <w:t xml:space="preserve">Общото намерение е защитимите резултати, създадени специално за Проекта от </w:t>
      </w:r>
      <w:r>
        <w:rPr>
          <w:rFonts w:ascii="Times New Roman" w:hAnsi="Times New Roman" w:eastAsia="Times New Roman"/>
          <w:b/>
          <w:i w:val="0"/>
          <w:color w:val="000000"/>
          <w:sz w:val="23"/>
        </w:rPr>
        <w:t>23 ноември 2025 г.</w:t>
      </w:r>
      <w:r>
        <w:rPr>
          <w:rFonts w:ascii="Times New Roman" w:hAnsi="Times New Roman" w:eastAsia="Times New Roman"/>
          <w:i w:val="0"/>
          <w:color w:val="000000"/>
          <w:sz w:val="23"/>
        </w:rPr>
        <w:t xml:space="preserve"> насетне, да бъдат предоставени на бъдещото дружество чрез отделни писмени договори след проверка на веригата на правата. Това може да включва конструктивни файлове, чертежи, схеми, софтуер и програмно осигуряване, техническа документация, прототипи, изпитвателни резултати, бази данни, наименования, заявки за патент или полезен модел и технически знания и опит.</w:t>
      </w:r>
    </w:p>
    <w:p>
      <w:pPr>
        <w:pStyle w:val="BodyLegal"/>
        <w:spacing w:before="0" w:after="120" w:line="276" w:lineRule="auto"/>
        <w:jc w:val="both"/>
        <w:numPr>
          <w:ilvl w:val="0"/>
          <w:numId w:val="23"/>
        </w:numPr>
        <w:keepLines/>
        <w:widowControl/>
      </w:pPr>
      <w:r>
        <w:rPr>
          <w:rFonts w:ascii="Times New Roman" w:hAnsi="Times New Roman" w:eastAsia="Times New Roman"/>
          <w:i w:val="0"/>
          <w:color w:val="000000"/>
          <w:sz w:val="23"/>
        </w:rPr>
        <w:t>При подготовката на договорите се предвижда разграничаване между авторски имуществени права, неотчуждими лични права, права на изобретател и заявител, права върху марки и дизайни, търговска тайна, права на работодател или възложител и ограничения по лицензи на трети лица.</w:t>
      </w:r>
    </w:p>
    <w:p>
      <w:pPr>
        <w:pStyle w:val="BodyLegal"/>
        <w:spacing w:before="0" w:after="120" w:line="276" w:lineRule="auto"/>
        <w:jc w:val="both"/>
        <w:numPr>
          <w:ilvl w:val="0"/>
          <w:numId w:val="23"/>
        </w:numPr>
        <w:keepLines/>
        <w:widowControl/>
      </w:pPr>
      <w:r>
        <w:rPr>
          <w:rFonts w:ascii="Times New Roman" w:hAnsi="Times New Roman" w:eastAsia="Times New Roman"/>
          <w:i w:val="0"/>
          <w:color w:val="000000"/>
          <w:sz w:val="23"/>
        </w:rPr>
        <w:t xml:space="preserve">Настоящият Меморандум </w:t>
      </w:r>
      <w:r>
        <w:rPr>
          <w:rFonts w:ascii="Times New Roman" w:hAnsi="Times New Roman" w:eastAsia="Times New Roman"/>
          <w:b/>
          <w:i w:val="0"/>
          <w:color w:val="000000"/>
          <w:sz w:val="23"/>
        </w:rPr>
        <w:t>не прехвърля и не лицензира сега</w:t>
      </w:r>
      <w:r>
        <w:rPr>
          <w:rFonts w:ascii="Times New Roman" w:hAnsi="Times New Roman" w:eastAsia="Times New Roman"/>
          <w:i w:val="0"/>
          <w:color w:val="000000"/>
          <w:sz w:val="23"/>
        </w:rPr>
        <w:t xml:space="preserve"> интелектуална собственост, не превръща Проекта в носител на права и не създава автоматична собственост на бъдещо, все още несъществуващо дружество.</w:t>
      </w:r>
    </w:p>
    <w:p>
      <w:pPr>
        <w:pStyle w:val="BodyLegal"/>
        <w:spacing w:before="0" w:after="120" w:line="276" w:lineRule="auto"/>
        <w:jc w:val="both"/>
        <w:numPr>
          <w:ilvl w:val="0"/>
          <w:numId w:val="23"/>
        </w:numPr>
        <w:keepLines/>
        <w:widowControl/>
      </w:pPr>
      <w:r>
        <w:rPr>
          <w:rFonts w:ascii="Times New Roman" w:hAnsi="Times New Roman" w:eastAsia="Times New Roman"/>
          <w:i w:val="0"/>
          <w:color w:val="000000"/>
          <w:sz w:val="23"/>
        </w:rPr>
        <w:t>Основателите изразяват намерение да пазят непубличната техническа и стопанска информация, да я споделят само при необходимост и да избягват публично разкриване преди оценка на възможността за патентна или друга защита. Тази точка е декларация за поведение, а не обвързваща клауза за поверителност; реална правна защита изисква отделно споразумение.</w:t>
      </w:r>
    </w:p>
    <w:p>
      <w:pPr>
        <w:pStyle w:val="BodyLegal"/>
        <w:spacing w:before="0" w:after="120" w:line="276" w:lineRule="auto"/>
        <w:jc w:val="both"/>
        <w:numPr>
          <w:ilvl w:val="0"/>
          <w:numId w:val="23"/>
        </w:numPr>
        <w:keepLines/>
        <w:widowControl/>
      </w:pPr>
      <w:r>
        <w:rPr>
          <w:rFonts w:ascii="Times New Roman" w:hAnsi="Times New Roman" w:eastAsia="Times New Roman"/>
          <w:i w:val="0"/>
          <w:color w:val="000000"/>
          <w:sz w:val="23"/>
        </w:rPr>
        <w:t>При използване на външен код, отворени лицензи, облачни услуги, хардуер, модели, данни или разработки на изпълнители се предвижда водене на регистър на произхода и условията за използване, за да не бъде възпрепятствано бъдещо прехвърляне, лицензиране, сертифициране или инвестиция.</w:t>
      </w:r>
    </w:p>
    <w:p>
      <w:pPr>
        <w:pStyle w:val="BodyLegal"/>
        <w:spacing w:before="0" w:after="120" w:line="276" w:lineRule="auto"/>
        <w:jc w:val="both"/>
        <w:numPr>
          <w:ilvl w:val="0"/>
          <w:numId w:val="23"/>
        </w:numPr>
        <w:keepLines/>
        <w:widowControl/>
      </w:pPr>
      <w:r>
        <w:rPr>
          <w:rFonts w:ascii="Times New Roman" w:hAnsi="Times New Roman" w:eastAsia="Times New Roman"/>
          <w:i w:val="0"/>
          <w:color w:val="000000"/>
          <w:sz w:val="23"/>
        </w:rPr>
        <w:t>Материални активи, закупени преди учредяването, остават собственост на лицето, което ги е придобило, освен ако документ за собственост или отделно споразумение показва друго. Евентуалното им прехвърляне, отдаване за ползване, апортиране или възстановяване на разход се предвижда да бъде документирано отделно.</w:t>
      </w:r>
    </w:p>
    <w:p>
      <w:pPr>
        <w:pStyle w:val="HeadingLegal"/>
        <w:spacing w:before="240" w:after="120" w:line="240" w:lineRule="auto"/>
        <w:jc w:val="left"/>
        <w:keepNext/>
        <w:keepLines/>
        <w:widowControl/>
      </w:pPr>
      <w:r>
        <w:rPr>
          <w:rFonts w:ascii="Times New Roman" w:hAnsi="Times New Roman" w:eastAsia="Times New Roman"/>
          <w:b/>
          <w:color w:val="000000"/>
          <w:sz w:val="25"/>
        </w:rPr>
        <w:t>IX. ЕТАПИ, ПРОДЪЛЖАВАНЕ И ПРЕУСТАНОВЯВАНЕ НА ПРОЕКТА</w:t>
      </w:r>
    </w:p>
    <w:p>
      <w:pPr>
        <w:pStyle w:val="BodyLegal"/>
        <w:spacing w:before="0" w:after="120" w:line="276" w:lineRule="auto"/>
        <w:jc w:val="both"/>
        <w:numPr>
          <w:ilvl w:val="0"/>
          <w:numId w:val="24"/>
        </w:numPr>
        <w:keepLines/>
        <w:widowControl/>
      </w:pPr>
      <w:r>
        <w:rPr>
          <w:rFonts w:ascii="Times New Roman" w:hAnsi="Times New Roman" w:eastAsia="Times New Roman"/>
          <w:i w:val="0"/>
          <w:color w:val="000000"/>
          <w:sz w:val="23"/>
        </w:rPr>
        <w:t xml:space="preserve">Като техническа цел се запазва разработването на функционален летящ прототип, отговарящ на първоначално одобрените изисквания, в ориентировъчен срок до </w:t>
      </w:r>
      <w:r>
        <w:rPr>
          <w:rFonts w:ascii="Times New Roman" w:hAnsi="Times New Roman" w:eastAsia="Times New Roman"/>
          <w:b/>
          <w:i w:val="0"/>
          <w:color w:val="000000"/>
          <w:sz w:val="23"/>
        </w:rPr>
        <w:t>5 февруари 2028 г.</w:t>
      </w:r>
      <w:r>
        <w:rPr>
          <w:rFonts w:ascii="Times New Roman" w:hAnsi="Times New Roman" w:eastAsia="Times New Roman"/>
          <w:i w:val="0"/>
          <w:color w:val="000000"/>
          <w:sz w:val="23"/>
        </w:rPr>
        <w:t>, тоест осемнадесет месеца след датата на Меморандума, при наличие на необходимите ресурси и разрешения.</w:t>
      </w:r>
    </w:p>
    <w:p>
      <w:pPr>
        <w:pStyle w:val="BodyLegal"/>
        <w:spacing w:before="0" w:after="120" w:line="276" w:lineRule="auto"/>
        <w:jc w:val="both"/>
        <w:numPr>
          <w:ilvl w:val="0"/>
          <w:numId w:val="24"/>
        </w:numPr>
        <w:keepLines/>
        <w:widowControl/>
      </w:pPr>
      <w:r>
        <w:rPr>
          <w:rFonts w:ascii="Times New Roman" w:hAnsi="Times New Roman" w:eastAsia="Times New Roman"/>
          <w:i w:val="0"/>
          <w:color w:val="000000"/>
          <w:sz w:val="23"/>
        </w:rPr>
        <w:t>Предвижда се напредъкът да се оценява периодично спрямо техническа готовност, безопасност, регулаторна осъществимост, финансиране, потребителска проверка и търговски интерес, като целите могат да бъдат променяни след общо обсъждане.</w:t>
      </w:r>
    </w:p>
    <w:p>
      <w:pPr>
        <w:pStyle w:val="BodyLegal"/>
        <w:spacing w:before="0" w:after="120" w:line="276" w:lineRule="auto"/>
        <w:jc w:val="both"/>
        <w:numPr>
          <w:ilvl w:val="0"/>
          <w:numId w:val="24"/>
        </w:numPr>
        <w:keepLines/>
        <w:widowControl/>
      </w:pPr>
      <w:r>
        <w:rPr>
          <w:rFonts w:ascii="Times New Roman" w:hAnsi="Times New Roman" w:eastAsia="Times New Roman"/>
          <w:i w:val="0"/>
          <w:color w:val="000000"/>
          <w:sz w:val="23"/>
        </w:rPr>
        <w:t>При важен етап подкрепата на най-малко трима Основатели се разглежда като достатъчна работна основа за продължаване на Проекта. Основател, който не желае да продължи, може да се оттегли; бъдещите обвързващи документи следва да уредят правата върху дялове, резултати и активи.</w:t>
      </w:r>
    </w:p>
    <w:p>
      <w:pPr>
        <w:pStyle w:val="BodyLegal"/>
        <w:spacing w:before="0" w:after="120" w:line="276" w:lineRule="auto"/>
        <w:jc w:val="both"/>
        <w:numPr>
          <w:ilvl w:val="0"/>
          <w:numId w:val="24"/>
        </w:numPr>
        <w:keepLines/>
        <w:widowControl/>
      </w:pPr>
      <w:r>
        <w:rPr>
          <w:rFonts w:ascii="Times New Roman" w:hAnsi="Times New Roman" w:eastAsia="Times New Roman"/>
          <w:i w:val="0"/>
          <w:color w:val="000000"/>
          <w:sz w:val="23"/>
        </w:rPr>
        <w:t>Решение за окончателно прекратяване, продажба или разпореждане със съществени общи активи се предвижда като единодушен въпрос. Ако трима желаят да продължат, а един се оттегля, предпочитанието е да се търси добросъвестно и законосъобразно отделяне без неоправдано блокиране на останалите.</w:t>
      </w:r>
    </w:p>
    <w:p>
      <w:pPr>
        <w:pStyle w:val="BodyLegal"/>
        <w:spacing w:before="0" w:after="120" w:line="276" w:lineRule="auto"/>
        <w:jc w:val="both"/>
        <w:numPr>
          <w:ilvl w:val="0"/>
          <w:numId w:val="24"/>
        </w:numPr>
        <w:keepLines/>
        <w:widowControl/>
      </w:pPr>
      <w:r>
        <w:rPr>
          <w:rFonts w:ascii="Times New Roman" w:hAnsi="Times New Roman" w:eastAsia="Times New Roman"/>
          <w:i w:val="0"/>
          <w:color w:val="000000"/>
          <w:sz w:val="23"/>
        </w:rPr>
        <w:t>При преустановяване се предвижда да бъде съставен опис на физическите активи, документите, данните, кода, правата и задълженията към трети лица и да се сключи отделно споразумение за продажба, връщане, архивиране, заличаване или друго разпореждане. Не възниква автоматично унищожаване на софтуер или равно разпределение на имущество.</w:t>
      </w:r>
    </w:p>
    <w:p>
      <w:pPr>
        <w:pStyle w:val="BodyLegal"/>
        <w:spacing w:before="0" w:after="120" w:line="276" w:lineRule="auto"/>
        <w:jc w:val="both"/>
        <w:numPr>
          <w:ilvl w:val="0"/>
          <w:numId w:val="24"/>
        </w:numPr>
        <w:keepLines/>
        <w:widowControl/>
      </w:pPr>
      <w:r>
        <w:rPr>
          <w:rFonts w:ascii="Times New Roman" w:hAnsi="Times New Roman" w:eastAsia="Times New Roman"/>
          <w:i w:val="0"/>
          <w:color w:val="000000"/>
          <w:sz w:val="23"/>
        </w:rPr>
        <w:t>Настоящият Меморандум не въвежда едногодишна или друга забрана за използване на незащитена идея и не създава забрана за конкурентна дейност. Ако подобна защита е необходима, тя следва да бъде тясно определена, съобразена с закона и уредена отделно за поверителна информация, нелоялно привличане на екип или клиенти и защитими права.</w:t>
      </w:r>
    </w:p>
    <w:p>
      <w:pPr>
        <w:pStyle w:val="HeadingLegal"/>
        <w:spacing w:before="240" w:after="120" w:line="240" w:lineRule="auto"/>
        <w:jc w:val="left"/>
        <w:keepNext/>
        <w:keepLines/>
        <w:widowControl/>
      </w:pPr>
      <w:r>
        <w:rPr>
          <w:rFonts w:ascii="Times New Roman" w:hAnsi="Times New Roman" w:eastAsia="Times New Roman"/>
          <w:b/>
          <w:color w:val="000000"/>
          <w:sz w:val="25"/>
        </w:rPr>
        <w:t>X. ФИНАНСИРАНЕ, ВЪНШНИ ОТНОШЕНИЯ И ПРЕДСТАВИТЕЛСТВО</w:t>
      </w:r>
    </w:p>
    <w:p>
      <w:pPr>
        <w:pStyle w:val="BodyLegal"/>
        <w:spacing w:before="0" w:after="120" w:line="276" w:lineRule="auto"/>
        <w:jc w:val="both"/>
        <w:numPr>
          <w:ilvl w:val="0"/>
          <w:numId w:val="25"/>
        </w:numPr>
        <w:keepLines/>
        <w:widowControl/>
      </w:pPr>
      <w:r>
        <w:rPr>
          <w:rFonts w:ascii="Times New Roman" w:hAnsi="Times New Roman" w:eastAsia="Times New Roman"/>
          <w:i w:val="0"/>
          <w:color w:val="000000"/>
          <w:sz w:val="23"/>
        </w:rPr>
        <w:t>Предвижданите източници на финансиране могат да включват лични средства по отделно решение, безвъзмездно финансиране, програми за иновации, платени изпитвания и пилотни проекти, стратегическо партньорство, инвестиция от бизнес ангел или фонд за рисков капитал и приходи от бъдеща дейност.</w:t>
      </w:r>
    </w:p>
    <w:p>
      <w:pPr>
        <w:pStyle w:val="BodyLegal"/>
        <w:spacing w:before="0" w:after="120" w:line="276" w:lineRule="auto"/>
        <w:jc w:val="both"/>
        <w:numPr>
          <w:ilvl w:val="0"/>
          <w:numId w:val="25"/>
        </w:numPr>
        <w:keepLines/>
        <w:widowControl/>
      </w:pPr>
      <w:r>
        <w:rPr>
          <w:rFonts w:ascii="Times New Roman" w:hAnsi="Times New Roman" w:eastAsia="Times New Roman"/>
          <w:i w:val="0"/>
          <w:color w:val="000000"/>
          <w:sz w:val="23"/>
        </w:rPr>
        <w:t>Никой Основател не е длъжен да финансира Проекта по силата на Меморандума. Всяко общо поемане на разход, заем, гаранция или друга финансова тежест изисква отделен документ, който посочва платеца, размера, предназначението, собствеността върху придобитото и евентуалното възстановяване.</w:t>
      </w:r>
    </w:p>
    <w:p>
      <w:pPr>
        <w:pStyle w:val="BodyLegal"/>
        <w:spacing w:before="0" w:after="120" w:line="276" w:lineRule="auto"/>
        <w:jc w:val="both"/>
        <w:numPr>
          <w:ilvl w:val="0"/>
          <w:numId w:val="25"/>
        </w:numPr>
        <w:keepLines/>
        <w:widowControl/>
      </w:pPr>
      <w:r>
        <w:rPr>
          <w:rFonts w:ascii="Times New Roman" w:hAnsi="Times New Roman" w:eastAsia="Times New Roman"/>
          <w:i w:val="0"/>
          <w:color w:val="000000"/>
          <w:sz w:val="23"/>
        </w:rPr>
        <w:t>Никой Основател не е овластен с този Меморандум да сключва договор, да поема задължение, да получава средства, да прави публично обещание или да предоставя право от името на останалите, на Проекта или на бъдещото дружество.</w:t>
      </w:r>
    </w:p>
    <w:p>
      <w:pPr>
        <w:pStyle w:val="BodyLegal"/>
        <w:spacing w:before="0" w:after="120" w:line="276" w:lineRule="auto"/>
        <w:jc w:val="both"/>
        <w:numPr>
          <w:ilvl w:val="0"/>
          <w:numId w:val="25"/>
        </w:numPr>
        <w:keepLines/>
        <w:widowControl/>
      </w:pPr>
      <w:r>
        <w:rPr>
          <w:rFonts w:ascii="Times New Roman" w:hAnsi="Times New Roman" w:eastAsia="Times New Roman"/>
          <w:i w:val="0"/>
          <w:color w:val="000000"/>
          <w:sz w:val="23"/>
        </w:rPr>
        <w:t>Предвижда се важните кандидатури, оферти, инвестиционни материали и публични изявления да бъдат предварително съгласувани по факти, технически параметри, права върху използваните материали и допустимост на разкриваната информация.</w:t>
      </w:r>
    </w:p>
    <w:p>
      <w:pPr>
        <w:pStyle w:val="HeadingLegal"/>
        <w:spacing w:before="240" w:after="120" w:line="240" w:lineRule="auto"/>
        <w:jc w:val="left"/>
        <w:keepNext/>
        <w:keepLines/>
        <w:widowControl/>
      </w:pPr>
      <w:r>
        <w:rPr>
          <w:rFonts w:ascii="Times New Roman" w:hAnsi="Times New Roman" w:eastAsia="Times New Roman"/>
          <w:b/>
          <w:color w:val="000000"/>
          <w:sz w:val="25"/>
        </w:rPr>
        <w:t>XI. ОТТЕГЛЯНЕ, ИЗМЕНЕНИЯ И РАЗНОГЛАСИЯ</w:t>
      </w:r>
    </w:p>
    <w:p>
      <w:pPr>
        <w:pStyle w:val="BodyLegal"/>
        <w:spacing w:before="0" w:after="120" w:line="276" w:lineRule="auto"/>
        <w:jc w:val="both"/>
        <w:numPr>
          <w:ilvl w:val="0"/>
          <w:numId w:val="26"/>
        </w:numPr>
        <w:keepLines/>
        <w:widowControl/>
      </w:pPr>
      <w:r>
        <w:rPr>
          <w:rFonts w:ascii="Times New Roman" w:hAnsi="Times New Roman" w:eastAsia="Times New Roman"/>
          <w:i w:val="0"/>
          <w:color w:val="000000"/>
          <w:sz w:val="23"/>
        </w:rPr>
        <w:t>Всеки Основател може по всяко време да съобщи писмено, че повече не желае да участва в рамката на Меморандума. Това не представлява неизпълнение и не поражда санкция по него; съществуващи права или задължения по отделни договори се уреждат само съгласно съответните договори и закона.</w:t>
      </w:r>
    </w:p>
    <w:p>
      <w:pPr>
        <w:pStyle w:val="BodyLegal"/>
        <w:spacing w:before="0" w:after="120" w:line="276" w:lineRule="auto"/>
        <w:jc w:val="both"/>
        <w:numPr>
          <w:ilvl w:val="0"/>
          <w:numId w:val="26"/>
        </w:numPr>
        <w:keepLines/>
        <w:widowControl/>
      </w:pPr>
      <w:r>
        <w:rPr>
          <w:rFonts w:ascii="Times New Roman" w:hAnsi="Times New Roman" w:eastAsia="Times New Roman"/>
          <w:i w:val="0"/>
          <w:color w:val="000000"/>
          <w:sz w:val="23"/>
        </w:rPr>
        <w:t>Измененията на общите намерения се отразяват в писмено допълнение (анекс), подписано от четиримата Основатели. Допълнението остава декларативно. Ако се цели правно обвързваща уговорка, тя се оформя като отделен документ с ясно заявен характер и необходимата правна форма.</w:t>
      </w:r>
    </w:p>
    <w:p>
      <w:pPr>
        <w:pStyle w:val="BodyLegal"/>
        <w:spacing w:before="0" w:after="120" w:line="276" w:lineRule="auto"/>
        <w:jc w:val="both"/>
        <w:numPr>
          <w:ilvl w:val="0"/>
          <w:numId w:val="26"/>
        </w:numPr>
        <w:keepLines/>
        <w:widowControl/>
      </w:pPr>
      <w:r>
        <w:rPr>
          <w:rFonts w:ascii="Times New Roman" w:hAnsi="Times New Roman" w:eastAsia="Times New Roman"/>
          <w:i w:val="0"/>
          <w:color w:val="000000"/>
          <w:sz w:val="23"/>
        </w:rPr>
        <w:t>При разногласие предпочитаният подход е пряк разговор, обмен на писмени позиции и при необходимост доброволна медиация или становище на независим специалист. Тази процедура е насока за сътрудничество, а не арбитражна клауза или ограничение на законови права.</w:t>
      </w:r>
    </w:p>
    <w:p>
      <w:pPr>
        <w:pStyle w:val="BodyLegal"/>
        <w:spacing w:before="0" w:after="120" w:line="276" w:lineRule="auto"/>
        <w:jc w:val="both"/>
        <w:numPr>
          <w:ilvl w:val="0"/>
          <w:numId w:val="26"/>
        </w:numPr>
        <w:keepLines/>
        <w:widowControl/>
      </w:pPr>
      <w:r>
        <w:rPr>
          <w:rFonts w:ascii="Times New Roman" w:hAnsi="Times New Roman" w:eastAsia="Times New Roman"/>
          <w:i w:val="0"/>
          <w:color w:val="000000"/>
          <w:sz w:val="23"/>
        </w:rPr>
        <w:t>Меморандумът е съставен на български език и е подготвен с оглед на правото на Република България и пряко приложимото право на Европейския съюз. Окончателните документи се предвижда да бъдат проверени спрямо действащата уредба към датата на подписването им.</w:t>
      </w:r>
    </w:p>
    <w:p>
      <w:pPr>
        <w:pStyle w:val="BodyLegal"/>
        <w:spacing w:before="0" w:after="120" w:line="276" w:lineRule="auto"/>
        <w:jc w:val="both"/>
        <w:numPr>
          <w:ilvl w:val="0"/>
          <w:numId w:val="26"/>
        </w:numPr>
        <w:keepLines/>
        <w:widowControl/>
      </w:pPr>
      <w:r>
        <w:rPr>
          <w:rFonts w:ascii="Times New Roman" w:hAnsi="Times New Roman" w:eastAsia="Times New Roman"/>
          <w:i w:val="0"/>
          <w:color w:val="000000"/>
          <w:sz w:val="23"/>
        </w:rPr>
        <w:t xml:space="preserve">Меморандумът отразява общите намерения към </w:t>
      </w:r>
      <w:r>
        <w:rPr>
          <w:rFonts w:ascii="Times New Roman" w:hAnsi="Times New Roman" w:eastAsia="Times New Roman"/>
          <w:b/>
          <w:i w:val="0"/>
          <w:color w:val="000000"/>
          <w:sz w:val="23"/>
        </w:rPr>
        <w:t>5 август 2026 г.</w:t>
      </w:r>
      <w:r>
        <w:rPr>
          <w:rFonts w:ascii="Times New Roman" w:hAnsi="Times New Roman" w:eastAsia="Times New Roman"/>
          <w:i w:val="0"/>
          <w:color w:val="000000"/>
          <w:sz w:val="23"/>
        </w:rPr>
        <w:t xml:space="preserve"> и се подписва в четири еднообразни оригинални екземпляра — по един за всеки Основател.</w:t>
      </w:r>
    </w:p>
    <w:p>
      <w:pPr>
        <w:pStyle w:val="HeadingLegal"/>
        <w:spacing w:before="240" w:after="120" w:line="240" w:lineRule="auto"/>
        <w:jc w:val="left"/>
        <w:keepNext/>
        <w:keepLines/>
        <w:widowControl/>
      </w:pPr>
      <w:r>
        <w:rPr>
          <w:rFonts w:ascii="Times New Roman" w:hAnsi="Times New Roman" w:eastAsia="Times New Roman"/>
          <w:b/>
          <w:color w:val="000000"/>
          <w:sz w:val="25"/>
        </w:rPr>
        <w:t>XII. ОСНОВНИ ТЕМИ ЗА ОКОНЧАТЕЛНИТЕ ДОКУМЕНТИ</w:t>
      </w:r>
    </w:p>
    <w:p>
      <w:pPr>
        <w:pStyle w:val="BodyLegal"/>
        <w:spacing w:before="0" w:after="100" w:line="276" w:lineRule="auto"/>
        <w:jc w:val="both"/>
        <w:widowControl/>
      </w:pPr>
      <w:r>
        <w:rPr>
          <w:rFonts w:ascii="Times New Roman" w:hAnsi="Times New Roman" w:eastAsia="Times New Roman"/>
          <w:i w:val="0"/>
          <w:color w:val="000000"/>
          <w:sz w:val="23"/>
        </w:rPr>
        <w:t>При възлагането на окончателната документация Основателите възнамеряват да поискат от правния консултант съгласувана уредба най-малко на следните теми:</w:t>
      </w:r>
    </w:p>
    <w:p>
      <w:pPr>
        <w:pStyle w:val="BodyLegal"/>
        <w:spacing w:before="0" w:after="120" w:line="276" w:lineRule="auto"/>
        <w:jc w:val="both"/>
        <w:numPr>
          <w:ilvl w:val="0"/>
          <w:numId w:val="27"/>
        </w:numPr>
        <w:keepLines/>
        <w:widowControl/>
      </w:pPr>
      <w:r>
        <w:rPr>
          <w:rFonts w:ascii="Times New Roman" w:hAnsi="Times New Roman" w:eastAsia="Times New Roman"/>
          <w:i w:val="0"/>
          <w:color w:val="000000"/>
          <w:sz w:val="23"/>
        </w:rPr>
        <w:t>правна форма, капитал, управление, представителство и законови мнозинства;</w:t>
      </w:r>
    </w:p>
    <w:p>
      <w:pPr>
        <w:pStyle w:val="BodyLegal"/>
        <w:spacing w:before="0" w:after="120" w:line="276" w:lineRule="auto"/>
        <w:jc w:val="both"/>
        <w:numPr>
          <w:ilvl w:val="0"/>
          <w:numId w:val="27"/>
        </w:numPr>
        <w:keepLines/>
        <w:widowControl/>
      </w:pPr>
      <w:r>
        <w:rPr>
          <w:rFonts w:ascii="Times New Roman" w:hAnsi="Times New Roman" w:eastAsia="Times New Roman"/>
          <w:i w:val="0"/>
          <w:color w:val="000000"/>
          <w:sz w:val="23"/>
        </w:rPr>
        <w:t>равно начално участие от 25% и ефект на бъдещи инвестиции и стимули за екипа;</w:t>
      </w:r>
    </w:p>
    <w:p>
      <w:pPr>
        <w:pStyle w:val="BodyLegal"/>
        <w:spacing w:before="0" w:after="120" w:line="276" w:lineRule="auto"/>
        <w:jc w:val="both"/>
        <w:numPr>
          <w:ilvl w:val="0"/>
          <w:numId w:val="27"/>
        </w:numPr>
        <w:keepLines/>
        <w:widowControl/>
      </w:pPr>
      <w:r>
        <w:rPr>
          <w:rFonts w:ascii="Times New Roman" w:hAnsi="Times New Roman" w:eastAsia="Times New Roman"/>
          <w:i w:val="0"/>
          <w:color w:val="000000"/>
          <w:sz w:val="23"/>
        </w:rPr>
        <w:t>поетапно придобиване или запазване на участие, напускане, опции за изкупуване, оценка и формалности при прехвърляне;</w:t>
      </w:r>
    </w:p>
    <w:p>
      <w:pPr>
        <w:pStyle w:val="BodyLegal"/>
        <w:spacing w:before="0" w:after="120" w:line="276" w:lineRule="auto"/>
        <w:jc w:val="both"/>
        <w:numPr>
          <w:ilvl w:val="0"/>
          <w:numId w:val="27"/>
        </w:numPr>
        <w:keepLines/>
        <w:widowControl/>
      </w:pPr>
      <w:r>
        <w:rPr>
          <w:rFonts w:ascii="Times New Roman" w:hAnsi="Times New Roman" w:eastAsia="Times New Roman"/>
          <w:i w:val="0"/>
          <w:color w:val="000000"/>
          <w:sz w:val="23"/>
        </w:rPr>
        <w:t>пълна работна ангажираност след финансиране, роли, възнаграждения под пазарното ниво, допустими външни дейности и индивидуални договори;</w:t>
      </w:r>
    </w:p>
    <w:p>
      <w:pPr>
        <w:pStyle w:val="BodyLegal"/>
        <w:spacing w:before="0" w:after="120" w:line="276" w:lineRule="auto"/>
        <w:jc w:val="both"/>
        <w:numPr>
          <w:ilvl w:val="0"/>
          <w:numId w:val="27"/>
        </w:numPr>
        <w:keepLines/>
        <w:widowControl/>
      </w:pPr>
      <w:r>
        <w:rPr>
          <w:rFonts w:ascii="Times New Roman" w:hAnsi="Times New Roman" w:eastAsia="Times New Roman"/>
          <w:i w:val="0"/>
          <w:color w:val="000000"/>
          <w:sz w:val="23"/>
        </w:rPr>
        <w:t>права върху предварителни и новосъздадени разработки, изобретения, софтуер, документация, данни, марки, прототипи и материали на трети лица;</w:t>
      </w:r>
    </w:p>
    <w:p>
      <w:pPr>
        <w:pStyle w:val="BodyLegal"/>
        <w:spacing w:before="0" w:after="120" w:line="276" w:lineRule="auto"/>
        <w:jc w:val="both"/>
        <w:numPr>
          <w:ilvl w:val="0"/>
          <w:numId w:val="27"/>
        </w:numPr>
        <w:keepLines/>
        <w:widowControl/>
      </w:pPr>
      <w:r>
        <w:rPr>
          <w:rFonts w:ascii="Times New Roman" w:hAnsi="Times New Roman" w:eastAsia="Times New Roman"/>
          <w:i w:val="0"/>
          <w:color w:val="000000"/>
          <w:sz w:val="23"/>
        </w:rPr>
        <w:t>поверителност, търговска тайна, публични разкрития, защита при патентоване и допустими ограничения на конкурентна дейност;</w:t>
      </w:r>
    </w:p>
    <w:p>
      <w:pPr>
        <w:pStyle w:val="BodyLegal"/>
        <w:spacing w:before="0" w:after="120" w:line="276" w:lineRule="auto"/>
        <w:jc w:val="both"/>
        <w:numPr>
          <w:ilvl w:val="0"/>
          <w:numId w:val="27"/>
        </w:numPr>
        <w:keepLines/>
        <w:widowControl/>
      </w:pPr>
      <w:r>
        <w:rPr>
          <w:rFonts w:ascii="Times New Roman" w:hAnsi="Times New Roman" w:eastAsia="Times New Roman"/>
          <w:i w:val="0"/>
          <w:color w:val="000000"/>
          <w:sz w:val="23"/>
        </w:rPr>
        <w:t>финансиране, разходи, допълнителни вноски, сделки със свързани лица, отчетност и контрол;</w:t>
      </w:r>
    </w:p>
    <w:p>
      <w:pPr>
        <w:pStyle w:val="BodyLegal"/>
        <w:spacing w:before="0" w:after="120" w:line="276" w:lineRule="auto"/>
        <w:jc w:val="both"/>
        <w:numPr>
          <w:ilvl w:val="0"/>
          <w:numId w:val="27"/>
        </w:numPr>
        <w:keepLines/>
        <w:widowControl/>
      </w:pPr>
      <w:r>
        <w:rPr>
          <w:rFonts w:ascii="Times New Roman" w:hAnsi="Times New Roman" w:eastAsia="Times New Roman"/>
          <w:i w:val="0"/>
          <w:color w:val="000000"/>
          <w:sz w:val="23"/>
        </w:rPr>
        <w:t>привличане на инвеститори, права при продажба, блокирани решения, медиация и уреждане на спорове;</w:t>
      </w:r>
    </w:p>
    <w:p>
      <w:pPr>
        <w:pStyle w:val="BodyLegal"/>
        <w:spacing w:before="0" w:after="120" w:line="276" w:lineRule="auto"/>
        <w:jc w:val="both"/>
        <w:numPr>
          <w:ilvl w:val="0"/>
          <w:numId w:val="27"/>
        </w:numPr>
        <w:keepLines/>
        <w:widowControl/>
      </w:pPr>
      <w:r>
        <w:rPr>
          <w:rFonts w:ascii="Times New Roman" w:hAnsi="Times New Roman" w:eastAsia="Times New Roman"/>
          <w:i w:val="0"/>
          <w:color w:val="000000"/>
          <w:sz w:val="23"/>
        </w:rPr>
        <w:t>авиационни, изпитвателни, отбранителни, експортни, информационни и други регулаторни изисквания;</w:t>
      </w:r>
    </w:p>
    <w:p>
      <w:pPr>
        <w:pStyle w:val="BodyLegal"/>
        <w:spacing w:before="0" w:after="120" w:line="276" w:lineRule="auto"/>
        <w:jc w:val="both"/>
        <w:numPr>
          <w:ilvl w:val="0"/>
          <w:numId w:val="27"/>
        </w:numPr>
        <w:keepLines/>
        <w:widowControl/>
      </w:pPr>
      <w:r>
        <w:rPr>
          <w:rFonts w:ascii="Times New Roman" w:hAnsi="Times New Roman" w:eastAsia="Times New Roman"/>
          <w:i w:val="0"/>
          <w:color w:val="000000"/>
          <w:sz w:val="23"/>
        </w:rPr>
        <w:t>съотношение между публичния дружествен договор и непубличното споразумение между съдружниците, така че ключовите механизми да бъдат действителни и изпълними.</w:t>
      </w:r>
    </w:p>
    <w:p>
      <w:pPr>
        <w:pStyle w:val="HeadingLegal"/>
        <w:spacing w:before="240" w:after="120" w:line="240" w:lineRule="auto"/>
        <w:jc w:val="left"/>
        <w:keepNext/>
        <w:keepLines/>
        <w:widowControl/>
      </w:pPr>
      <w:r>
        <w:rPr>
          <w:rFonts w:ascii="Times New Roman" w:hAnsi="Times New Roman" w:eastAsia="Times New Roman"/>
          <w:b/>
          <w:color w:val="000000"/>
          <w:sz w:val="25"/>
        </w:rPr>
        <w:t>ПОДПИСИ</w:t>
      </w:r>
    </w:p>
    <w:p>
      <w:pPr>
        <w:pStyle w:val="BodyLegal"/>
        <w:spacing w:before="0" w:after="320" w:line="276" w:lineRule="auto"/>
        <w:jc w:val="both"/>
        <w:widowControl/>
      </w:pPr>
      <w:r>
        <w:rPr>
          <w:rFonts w:ascii="Times New Roman" w:hAnsi="Times New Roman" w:eastAsia="Times New Roman"/>
          <w:i w:val="0"/>
          <w:color w:val="000000"/>
          <w:sz w:val="23"/>
        </w:rPr>
        <w:t>С подписите си долупосочените лица потвърждават, че настоящият текст отразява общите им намерения към посочената дата и че са запознати с неговия декларативен характер.</w:t>
      </w:r>
    </w:p>
    <w:tbl>
      <w:tblPr>
        <w:tblW w:type="dxa" w:w="9072"/>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536"/>
        <w:gridCol w:w="4536"/>
      </w:tblGrid>
      <w:tr>
        <w:trPr>
          <w:cantSplit/>
        </w:trPr>
        <w:tc>
          <w:tcPr>
            <w:tcW w:type="dxa" w:w="4536"/>
            <w:tcMar>
              <w:top w:w="100" w:type="dxa"/>
              <w:bottom w:w="100" w:type="dxa"/>
              <w:start w:w="120" w:type="dxa"/>
              <w:end w:w="120" w:type="dxa"/>
            </w:tcMar>
            <w:vAlign w:val="top"/>
          </w:tcPr>
          <w:p>
            <w:pPr>
              <w:spacing w:after="60" w:line="240" w:lineRule="auto"/>
              <w:jc w:val="left"/>
              <w:keepLines/>
              <w:widowControl/>
            </w:pPr>
            <w:r>
              <w:rPr>
                <w:rFonts w:ascii="Times New Roman" w:hAnsi="Times New Roman" w:eastAsia="Times New Roman"/>
                <w:b/>
                <w:color w:val="444444"/>
                <w:sz w:val="21"/>
              </w:rPr>
              <w:t>ОСНОВАТЕЛ 1</w:t>
            </w:r>
          </w:p>
          <w:p>
            <w:pPr>
              <w:spacing w:after="360" w:line="240" w:lineRule="auto"/>
              <w:jc w:val="left"/>
              <w:keepLines/>
              <w:widowControl/>
            </w:pPr>
            <w:r>
              <w:rPr>
                <w:rFonts w:ascii="Times New Roman" w:hAnsi="Times New Roman" w:eastAsia="Times New Roman"/>
                <w:b/>
                <w:color w:val="333333"/>
                <w:sz w:val="23"/>
                <w:shd w:val="clear" w:color="auto" w:fill="E7E6E6"/>
              </w:rPr>
              <w:t>[ТРИ ИМЕНА]</w:t>
            </w:r>
          </w:p>
          <w:p>
            <w:pPr>
              <w:spacing w:after="240" w:line="240" w:lineRule="auto"/>
              <w:jc w:val="left"/>
              <w:keepLines/>
              <w:widowControl/>
            </w:pPr>
            <w:r>
              <w:rPr>
                <w:rFonts w:ascii="Times New Roman" w:hAnsi="Times New Roman" w:eastAsia="Times New Roman"/>
                <w:i w:val="0"/>
                <w:color w:val="000000"/>
                <w:sz w:val="23"/>
              </w:rPr>
              <w:t>Подпис: __________________________________</w:t>
            </w:r>
          </w:p>
          <w:p>
            <w:pPr>
              <w:spacing w:after="360" w:line="240" w:lineRule="auto"/>
              <w:jc w:val="left"/>
              <w:keepLines/>
              <w:widowControl/>
            </w:pPr>
            <w:r>
              <w:rPr>
                <w:rFonts w:ascii="Times New Roman" w:hAnsi="Times New Roman" w:eastAsia="Times New Roman"/>
                <w:i w:val="0"/>
                <w:color w:val="000000"/>
                <w:sz w:val="23"/>
              </w:rPr>
              <w:t>Дата: ____________________________________</w:t>
            </w:r>
          </w:p>
        </w:tc>
        <w:tc>
          <w:tcPr>
            <w:tcW w:type="dxa" w:w="4536"/>
            <w:tcMar>
              <w:top w:w="100" w:type="dxa"/>
              <w:bottom w:w="100" w:type="dxa"/>
              <w:start w:w="120" w:type="dxa"/>
              <w:end w:w="120" w:type="dxa"/>
            </w:tcMar>
            <w:vAlign w:val="top"/>
          </w:tcPr>
          <w:p>
            <w:pPr>
              <w:spacing w:after="60" w:line="240" w:lineRule="auto"/>
              <w:jc w:val="left"/>
              <w:keepLines/>
              <w:widowControl/>
            </w:pPr>
            <w:r>
              <w:rPr>
                <w:rFonts w:ascii="Times New Roman" w:hAnsi="Times New Roman" w:eastAsia="Times New Roman"/>
                <w:b/>
                <w:color w:val="444444"/>
                <w:sz w:val="21"/>
              </w:rPr>
              <w:t>ОСНОВАТЕЛ 2</w:t>
            </w:r>
          </w:p>
          <w:p>
            <w:pPr>
              <w:spacing w:after="360" w:line="240" w:lineRule="auto"/>
              <w:jc w:val="left"/>
              <w:keepLines/>
              <w:widowControl/>
            </w:pPr>
            <w:r>
              <w:rPr>
                <w:rFonts w:ascii="Times New Roman" w:hAnsi="Times New Roman" w:eastAsia="Times New Roman"/>
                <w:b/>
                <w:color w:val="333333"/>
                <w:sz w:val="23"/>
                <w:shd w:val="clear" w:color="auto" w:fill="E7E6E6"/>
              </w:rPr>
              <w:t>[ТРИ ИМЕНА]</w:t>
            </w:r>
          </w:p>
          <w:p>
            <w:pPr>
              <w:spacing w:after="240" w:line="240" w:lineRule="auto"/>
              <w:jc w:val="left"/>
              <w:keepLines/>
              <w:widowControl/>
            </w:pPr>
            <w:r>
              <w:rPr>
                <w:rFonts w:ascii="Times New Roman" w:hAnsi="Times New Roman" w:eastAsia="Times New Roman"/>
                <w:i w:val="0"/>
                <w:color w:val="000000"/>
                <w:sz w:val="23"/>
              </w:rPr>
              <w:t>Подпис: __________________________________</w:t>
            </w:r>
          </w:p>
          <w:p>
            <w:pPr>
              <w:spacing w:after="360" w:line="240" w:lineRule="auto"/>
              <w:jc w:val="left"/>
              <w:keepLines/>
              <w:widowControl/>
            </w:pPr>
            <w:r>
              <w:rPr>
                <w:rFonts w:ascii="Times New Roman" w:hAnsi="Times New Roman" w:eastAsia="Times New Roman"/>
                <w:i w:val="0"/>
                <w:color w:val="000000"/>
                <w:sz w:val="23"/>
              </w:rPr>
              <w:t>Дата: ____________________________________</w:t>
            </w:r>
          </w:p>
        </w:tc>
      </w:tr>
      <w:tr>
        <w:trPr>
          <w:cantSplit/>
        </w:trPr>
        <w:tc>
          <w:tcPr>
            <w:tcW w:type="dxa" w:w="4536"/>
            <w:tcMar>
              <w:top w:w="100" w:type="dxa"/>
              <w:bottom w:w="100" w:type="dxa"/>
              <w:start w:w="120" w:type="dxa"/>
              <w:end w:w="120" w:type="dxa"/>
            </w:tcMar>
            <w:vAlign w:val="top"/>
          </w:tcPr>
          <w:p>
            <w:pPr>
              <w:spacing w:after="60" w:line="240" w:lineRule="auto"/>
              <w:jc w:val="left"/>
              <w:keepLines/>
              <w:widowControl/>
            </w:pPr>
            <w:r>
              <w:rPr>
                <w:rFonts w:ascii="Times New Roman" w:hAnsi="Times New Roman" w:eastAsia="Times New Roman"/>
                <w:b/>
                <w:color w:val="444444"/>
                <w:sz w:val="21"/>
              </w:rPr>
              <w:t>ОСНОВАТЕЛ 3</w:t>
            </w:r>
          </w:p>
          <w:p>
            <w:pPr>
              <w:spacing w:after="360" w:line="240" w:lineRule="auto"/>
              <w:jc w:val="left"/>
              <w:keepLines/>
              <w:widowControl/>
            </w:pPr>
            <w:r>
              <w:rPr>
                <w:rFonts w:ascii="Times New Roman" w:hAnsi="Times New Roman" w:eastAsia="Times New Roman"/>
                <w:b/>
                <w:color w:val="333333"/>
                <w:sz w:val="23"/>
                <w:shd w:val="clear" w:color="auto" w:fill="E7E6E6"/>
              </w:rPr>
              <w:t>[ТРИ ИМЕНА]</w:t>
            </w:r>
          </w:p>
          <w:p>
            <w:pPr>
              <w:spacing w:after="240" w:line="240" w:lineRule="auto"/>
              <w:jc w:val="left"/>
              <w:keepLines/>
              <w:widowControl/>
            </w:pPr>
            <w:r>
              <w:rPr>
                <w:rFonts w:ascii="Times New Roman" w:hAnsi="Times New Roman" w:eastAsia="Times New Roman"/>
                <w:i w:val="0"/>
                <w:color w:val="000000"/>
                <w:sz w:val="23"/>
              </w:rPr>
              <w:t>Подпис: __________________________________</w:t>
            </w:r>
          </w:p>
          <w:p>
            <w:pPr>
              <w:spacing w:after="360" w:line="240" w:lineRule="auto"/>
              <w:jc w:val="left"/>
              <w:keepLines/>
              <w:widowControl/>
            </w:pPr>
            <w:r>
              <w:rPr>
                <w:rFonts w:ascii="Times New Roman" w:hAnsi="Times New Roman" w:eastAsia="Times New Roman"/>
                <w:i w:val="0"/>
                <w:color w:val="000000"/>
                <w:sz w:val="23"/>
              </w:rPr>
              <w:t>Дата: ____________________________________</w:t>
            </w:r>
          </w:p>
        </w:tc>
        <w:tc>
          <w:tcPr>
            <w:tcW w:type="dxa" w:w="4536"/>
            <w:tcMar>
              <w:top w:w="100" w:type="dxa"/>
              <w:bottom w:w="100" w:type="dxa"/>
              <w:start w:w="120" w:type="dxa"/>
              <w:end w:w="120" w:type="dxa"/>
            </w:tcMar>
            <w:vAlign w:val="top"/>
          </w:tcPr>
          <w:p>
            <w:pPr>
              <w:spacing w:after="60" w:line="240" w:lineRule="auto"/>
              <w:jc w:val="left"/>
              <w:keepLines/>
              <w:widowControl/>
            </w:pPr>
            <w:r>
              <w:rPr>
                <w:rFonts w:ascii="Times New Roman" w:hAnsi="Times New Roman" w:eastAsia="Times New Roman"/>
                <w:b/>
                <w:color w:val="444444"/>
                <w:sz w:val="21"/>
              </w:rPr>
              <w:t>ОСНОВАТЕЛ 4</w:t>
            </w:r>
          </w:p>
          <w:p>
            <w:pPr>
              <w:spacing w:after="360" w:line="240" w:lineRule="auto"/>
              <w:jc w:val="left"/>
              <w:keepLines/>
              <w:widowControl/>
            </w:pPr>
            <w:r>
              <w:rPr>
                <w:rFonts w:ascii="Times New Roman" w:hAnsi="Times New Roman" w:eastAsia="Times New Roman"/>
                <w:b/>
                <w:color w:val="333333"/>
                <w:sz w:val="23"/>
                <w:shd w:val="clear" w:color="auto" w:fill="E7E6E6"/>
              </w:rPr>
              <w:t>[ТРИ ИМЕНА]</w:t>
            </w:r>
          </w:p>
          <w:p>
            <w:pPr>
              <w:spacing w:after="240" w:line="240" w:lineRule="auto"/>
              <w:jc w:val="left"/>
              <w:keepLines/>
              <w:widowControl/>
            </w:pPr>
            <w:r>
              <w:rPr>
                <w:rFonts w:ascii="Times New Roman" w:hAnsi="Times New Roman" w:eastAsia="Times New Roman"/>
                <w:i w:val="0"/>
                <w:color w:val="000000"/>
                <w:sz w:val="23"/>
              </w:rPr>
              <w:t>Подпис: __________________________________</w:t>
            </w:r>
          </w:p>
          <w:p>
            <w:pPr>
              <w:spacing w:after="360" w:line="240" w:lineRule="auto"/>
              <w:jc w:val="left"/>
              <w:keepLines/>
              <w:widowControl/>
            </w:pPr>
            <w:r>
              <w:rPr>
                <w:rFonts w:ascii="Times New Roman" w:hAnsi="Times New Roman" w:eastAsia="Times New Roman"/>
                <w:i w:val="0"/>
                <w:color w:val="000000"/>
                <w:sz w:val="23"/>
              </w:rPr>
              <w:t>Дата: ____________________________________</w:t>
            </w:r>
          </w:p>
        </w:tc>
      </w:tr>
    </w:tbl>
    <w:sectPr w:rsidR="00FC693F" w:rsidRPr="0006063C" w:rsidSect="00034616">
      <w:headerReference w:type="default" r:id="rId9"/>
      <w:footerReference w:type="default" r:id="rId10"/>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eastAsia="Times New Roman"/>
        <w:color w:val="666666"/>
        <w:sz w:val="18"/>
      </w:rPr>
      <w:t xml:space="preserve">Стр. </w:t>
    </w:r>
    <w:r>
      <w:rPr>
        <w:rFonts w:ascii="Times New Roman" w:hAnsi="Times New Roman" w:eastAsia="Times New Roman"/>
        <w:color w:val="666666"/>
        <w:sz w:val="18"/>
      </w:rPr>
      <w:fldChar w:fldCharType="begin"/>
    </w:r>
    <w:r>
      <w:rPr>
        <w:rFonts w:ascii="Times New Roman" w:hAnsi="Times New Roman" w:eastAsia="Times New Roman"/>
        <w:color w:val="666666"/>
        <w:sz w:val="18"/>
      </w:rPr>
      <w:instrText xml:space="preserve">PAGE</w:instrText>
    </w:r>
    <w:r>
      <w:rPr>
        <w:rFonts w:ascii="Times New Roman" w:hAnsi="Times New Roman" w:eastAsia="Times New Roman"/>
        <w:color w:val="666666"/>
        <w:sz w:val="18"/>
      </w:rPr>
      <w:fldChar w:fldCharType="separate"/>
    </w:r>
    <w:r>
      <w:rPr>
        <w:rFonts w:ascii="Times New Roman" w:hAnsi="Times New Roman" w:eastAsia="Times New Roman"/>
        <w:color w:val="666666"/>
        <w:sz w:val="18"/>
      </w:rPr>
      <w:t>1</w:t>
    </w:r>
    <w:r>
      <w:rPr>
        <w:rFonts w:ascii="Times New Roman" w:hAnsi="Times New Roman" w:eastAsia="Times New Roman"/>
        <w:color w:val="666666"/>
        <w:sz w:val="18"/>
      </w:rPr>
      <w:fldChar w:fldCharType="end"/>
    </w:r>
    <w:r>
      <w:rPr>
        <w:rFonts w:ascii="Times New Roman" w:hAnsi="Times New Roman" w:eastAsia="Times New Roman"/>
        <w:color w:val="666666"/>
        <w:sz w:val="18"/>
      </w:rPr>
      <w:t xml:space="preserve"> от </w:t>
    </w:r>
    <w:r>
      <w:rPr>
        <w:rFonts w:ascii="Times New Roman" w:hAnsi="Times New Roman" w:eastAsia="Times New Roman"/>
        <w:color w:val="666666"/>
        <w:sz w:val="18"/>
      </w:rPr>
      <w:fldChar w:fldCharType="begin"/>
    </w:r>
    <w:r>
      <w:rPr>
        <w:rFonts w:ascii="Times New Roman" w:hAnsi="Times New Roman" w:eastAsia="Times New Roman"/>
        <w:color w:val="666666"/>
        <w:sz w:val="18"/>
      </w:rPr>
      <w:instrText xml:space="preserve">NUMPAGES</w:instrText>
    </w:r>
    <w:r>
      <w:rPr>
        <w:rFonts w:ascii="Times New Roman" w:hAnsi="Times New Roman" w:eastAsia="Times New Roman"/>
        <w:color w:val="666666"/>
        <w:sz w:val="18"/>
      </w:rPr>
      <w:fldChar w:fldCharType="separate"/>
    </w:r>
    <w:r>
      <w:rPr>
        <w:rFonts w:ascii="Times New Roman" w:hAnsi="Times New Roman" w:eastAsia="Times New Roman"/>
        <w:color w:val="666666"/>
        <w:sz w:val="18"/>
      </w:rPr>
      <w:t>1</w:t>
    </w:r>
    <w:r>
      <w:rPr>
        <w:rFonts w:ascii="Times New Roman" w:hAnsi="Times New Roman" w:eastAsia="Times New Roman"/>
        <w:color w:val="666666"/>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olor w:val="666666"/>
        <w:sz w:val="17"/>
      </w:rPr>
      <w:t>ORGOfly  |  Меморандум за общи намерения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425"/>
        </w:tabs>
        <w:ind w:left="425" w:hanging="425"/>
        <w:spacing w:before="0" w:after="120" w:line="276" w:lineRule="auto"/>
      </w:pPr>
      <w:rPr>
        <w:rFonts w:ascii="Times New Roman" w:hAnsi="Times New Roman"/>
      </w:rPr>
    </w:lvl>
  </w:abstractNum>
  <w:num w:numId="10">
    <w:abstractNumId w:val="9"/>
  </w:num>
  <w:abstractNum w:abstractNumId="10">
    <w:multiLevelType w:val="singleLevel"/>
    <w:lvl w:ilvl="0">
      <w:start w:val="1"/>
      <w:numFmt w:val="bullet"/>
      <w:lvlText w:val="•"/>
      <w:lvlJc w:val="left"/>
      <w:pPr>
        <w:tabs>
          <w:tab w:val="num" w:pos="425"/>
        </w:tabs>
        <w:ind w:left="425" w:hanging="425"/>
        <w:spacing w:before="0" w:after="120" w:line="276" w:lineRule="auto"/>
      </w:pPr>
      <w:rPr>
        <w:rFonts w:ascii="Times New Roman" w:hAnsi="Times New Roman"/>
      </w:rPr>
    </w:lvl>
  </w:abstractNum>
  <w:num w:numId="11">
    <w:abstractNumId w:val="10"/>
  </w:num>
  <w:abstractNum w:abstractNumId="11">
    <w:multiLevelType w:val="singleLevel"/>
    <w:lvl w:ilvl="0">
      <w:start w:val="1"/>
      <w:numFmt w:val="decimal"/>
      <w:lvlText w:val="%1."/>
      <w:lvlJc w:val="left"/>
      <w:pPr>
        <w:tabs>
          <w:tab w:val="num" w:pos="425"/>
        </w:tabs>
        <w:ind w:left="425" w:hanging="425"/>
        <w:spacing w:before="0" w:after="120" w:line="276" w:lineRule="auto"/>
      </w:pPr>
      <w:rPr>
        <w:rFonts w:ascii="Times New Roman" w:hAnsi="Times New Roman"/>
      </w:rPr>
    </w:lvl>
  </w:abstractNum>
  <w:num w:numId="12">
    <w:abstractNumId w:val="11"/>
  </w:num>
  <w:abstractNum w:abstractNumId="12">
    <w:multiLevelType w:val="singleLevel"/>
    <w:lvl w:ilvl="0">
      <w:start w:val="1"/>
      <w:numFmt w:val="decimal"/>
      <w:lvlText w:val="%1."/>
      <w:lvlJc w:val="left"/>
      <w:pPr>
        <w:tabs>
          <w:tab w:val="num" w:pos="425"/>
        </w:tabs>
        <w:ind w:left="425" w:hanging="425"/>
        <w:spacing w:before="0" w:after="120" w:line="276" w:lineRule="auto"/>
      </w:pPr>
      <w:rPr>
        <w:rFonts w:ascii="Times New Roman" w:hAnsi="Times New Roman"/>
      </w:rPr>
    </w:lvl>
  </w:abstractNum>
  <w:num w:numId="13">
    <w:abstractNumId w:val="12"/>
  </w:num>
  <w:abstractNum w:abstractNumId="13">
    <w:multiLevelType w:val="singleLevel"/>
    <w:lvl w:ilvl="0">
      <w:start w:val="1"/>
      <w:numFmt w:val="decimal"/>
      <w:lvlText w:val="%1."/>
      <w:lvlJc w:val="left"/>
      <w:pPr>
        <w:tabs>
          <w:tab w:val="num" w:pos="425"/>
        </w:tabs>
        <w:ind w:left="425" w:hanging="425"/>
        <w:spacing w:before="0" w:after="120" w:line="276" w:lineRule="auto"/>
      </w:pPr>
      <w:rPr>
        <w:rFonts w:ascii="Times New Roman" w:hAnsi="Times New Roman"/>
      </w:rPr>
    </w:lvl>
  </w:abstractNum>
  <w:num w:numId="14">
    <w:abstractNumId w:val="13"/>
  </w:num>
  <w:abstractNum w:abstractNumId="14">
    <w:multiLevelType w:val="singleLevel"/>
    <w:lvl w:ilvl="0">
      <w:start w:val="1"/>
      <w:numFmt w:val="russianLower"/>
      <w:lvlText w:val="%1)"/>
      <w:lvlJc w:val="left"/>
      <w:pPr>
        <w:tabs>
          <w:tab w:val="num" w:pos="850"/>
        </w:tabs>
        <w:ind w:left="850" w:hanging="425"/>
        <w:spacing w:before="0" w:after="120" w:line="276" w:lineRule="auto"/>
      </w:pPr>
      <w:rPr>
        <w:rFonts w:ascii="Times New Roman" w:hAnsi="Times New Roman"/>
      </w:rPr>
    </w:lvl>
  </w:abstractNum>
  <w:num w:numId="15">
    <w:abstractNumId w:val="14"/>
  </w:num>
  <w:abstractNum w:abstractNumId="15">
    <w:multiLevelType w:val="singleLevel"/>
    <w:lvl w:ilvl="0">
      <w:start w:val="7"/>
      <w:numFmt w:val="decimal"/>
      <w:lvlText w:val="%1."/>
      <w:lvlJc w:val="left"/>
      <w:pPr>
        <w:tabs>
          <w:tab w:val="num" w:pos="425"/>
        </w:tabs>
        <w:ind w:left="425" w:hanging="425"/>
        <w:spacing w:before="0" w:after="120" w:line="276" w:lineRule="auto"/>
      </w:pPr>
      <w:rPr>
        <w:rFonts w:ascii="Times New Roman" w:hAnsi="Times New Roman"/>
      </w:rPr>
    </w:lvl>
  </w:abstractNum>
  <w:num w:numId="16">
    <w:abstractNumId w:val="15"/>
  </w:num>
  <w:abstractNum w:abstractNumId="16">
    <w:multiLevelType w:val="singleLevel"/>
    <w:lvl w:ilvl="0">
      <w:start w:val="1"/>
      <w:numFmt w:val="decimal"/>
      <w:lvlText w:val="%1."/>
      <w:lvlJc w:val="left"/>
      <w:pPr>
        <w:tabs>
          <w:tab w:val="num" w:pos="425"/>
        </w:tabs>
        <w:ind w:left="425" w:hanging="425"/>
        <w:spacing w:before="0" w:after="120" w:line="276" w:lineRule="auto"/>
      </w:pPr>
      <w:rPr>
        <w:rFonts w:ascii="Times New Roman" w:hAnsi="Times New Roman"/>
      </w:rPr>
    </w:lvl>
  </w:abstractNum>
  <w:num w:numId="17">
    <w:abstractNumId w:val="16"/>
  </w:num>
  <w:abstractNum w:abstractNumId="17">
    <w:multiLevelType w:val="singleLevel"/>
    <w:lvl w:ilvl="0">
      <w:start w:val="1"/>
      <w:numFmt w:val="russianLower"/>
      <w:lvlText w:val="%1)"/>
      <w:lvlJc w:val="left"/>
      <w:pPr>
        <w:tabs>
          <w:tab w:val="num" w:pos="850"/>
        </w:tabs>
        <w:ind w:left="850" w:hanging="425"/>
        <w:spacing w:before="0" w:after="120" w:line="276" w:lineRule="auto"/>
      </w:pPr>
      <w:rPr>
        <w:rFonts w:ascii="Times New Roman" w:hAnsi="Times New Roman"/>
      </w:rPr>
    </w:lvl>
  </w:abstractNum>
  <w:num w:numId="18">
    <w:abstractNumId w:val="17"/>
  </w:num>
  <w:abstractNum w:abstractNumId="18">
    <w:multiLevelType w:val="singleLevel"/>
    <w:lvl w:ilvl="0">
      <w:start w:val="5"/>
      <w:numFmt w:val="decimal"/>
      <w:lvlText w:val="%1."/>
      <w:lvlJc w:val="left"/>
      <w:pPr>
        <w:tabs>
          <w:tab w:val="num" w:pos="425"/>
        </w:tabs>
        <w:ind w:left="425" w:hanging="425"/>
        <w:spacing w:before="0" w:after="120" w:line="276" w:lineRule="auto"/>
      </w:pPr>
      <w:rPr>
        <w:rFonts w:ascii="Times New Roman" w:hAnsi="Times New Roman"/>
      </w:rPr>
    </w:lvl>
  </w:abstractNum>
  <w:num w:numId="19">
    <w:abstractNumId w:val="18"/>
  </w:num>
  <w:abstractNum w:abstractNumId="19">
    <w:multiLevelType w:val="singleLevel"/>
    <w:lvl w:ilvl="0">
      <w:start w:val="1"/>
      <w:numFmt w:val="decimal"/>
      <w:lvlText w:val="%1."/>
      <w:lvlJc w:val="left"/>
      <w:pPr>
        <w:tabs>
          <w:tab w:val="num" w:pos="425"/>
        </w:tabs>
        <w:ind w:left="425" w:hanging="425"/>
        <w:spacing w:before="0" w:after="120" w:line="276" w:lineRule="auto"/>
      </w:pPr>
      <w:rPr>
        <w:rFonts w:ascii="Times New Roman" w:hAnsi="Times New Roman"/>
      </w:rPr>
    </w:lvl>
  </w:abstractNum>
  <w:num w:numId="20">
    <w:abstractNumId w:val="19"/>
  </w:num>
  <w:abstractNum w:abstractNumId="20">
    <w:multiLevelType w:val="singleLevel"/>
    <w:lvl w:ilvl="0">
      <w:start w:val="1"/>
      <w:numFmt w:val="decimal"/>
      <w:lvlText w:val="%1."/>
      <w:lvlJc w:val="left"/>
      <w:pPr>
        <w:tabs>
          <w:tab w:val="num" w:pos="425"/>
        </w:tabs>
        <w:ind w:left="425" w:hanging="425"/>
        <w:spacing w:before="0" w:after="120" w:line="276" w:lineRule="auto"/>
      </w:pPr>
      <w:rPr>
        <w:rFonts w:ascii="Times New Roman" w:hAnsi="Times New Roman"/>
      </w:rPr>
    </w:lvl>
  </w:abstractNum>
  <w:num w:numId="21">
    <w:abstractNumId w:val="20"/>
  </w:num>
  <w:abstractNum w:abstractNumId="21">
    <w:multiLevelType w:val="singleLevel"/>
    <w:lvl w:ilvl="0">
      <w:start w:val="1"/>
      <w:numFmt w:val="decimal"/>
      <w:lvlText w:val="%1."/>
      <w:lvlJc w:val="left"/>
      <w:pPr>
        <w:tabs>
          <w:tab w:val="num" w:pos="425"/>
        </w:tabs>
        <w:ind w:left="425" w:hanging="425"/>
        <w:spacing w:before="0" w:after="120" w:line="276" w:lineRule="auto"/>
      </w:pPr>
      <w:rPr>
        <w:rFonts w:ascii="Times New Roman" w:hAnsi="Times New Roman"/>
      </w:rPr>
    </w:lvl>
  </w:abstractNum>
  <w:num w:numId="22">
    <w:abstractNumId w:val="21"/>
  </w:num>
  <w:abstractNum w:abstractNumId="22">
    <w:multiLevelType w:val="singleLevel"/>
    <w:lvl w:ilvl="0">
      <w:start w:val="1"/>
      <w:numFmt w:val="decimal"/>
      <w:lvlText w:val="%1."/>
      <w:lvlJc w:val="left"/>
      <w:pPr>
        <w:tabs>
          <w:tab w:val="num" w:pos="425"/>
        </w:tabs>
        <w:ind w:left="425" w:hanging="425"/>
        <w:spacing w:before="0" w:after="120" w:line="276" w:lineRule="auto"/>
      </w:pPr>
      <w:rPr>
        <w:rFonts w:ascii="Times New Roman" w:hAnsi="Times New Roman"/>
      </w:rPr>
    </w:lvl>
  </w:abstractNum>
  <w:num w:numId="23">
    <w:abstractNumId w:val="22"/>
  </w:num>
  <w:abstractNum w:abstractNumId="23">
    <w:multiLevelType w:val="singleLevel"/>
    <w:lvl w:ilvl="0">
      <w:start w:val="1"/>
      <w:numFmt w:val="decimal"/>
      <w:lvlText w:val="%1."/>
      <w:lvlJc w:val="left"/>
      <w:pPr>
        <w:tabs>
          <w:tab w:val="num" w:pos="425"/>
        </w:tabs>
        <w:ind w:left="425" w:hanging="425"/>
        <w:spacing w:before="0" w:after="120" w:line="276" w:lineRule="auto"/>
      </w:pPr>
      <w:rPr>
        <w:rFonts w:ascii="Times New Roman" w:hAnsi="Times New Roman"/>
      </w:rPr>
    </w:lvl>
  </w:abstractNum>
  <w:num w:numId="24">
    <w:abstractNumId w:val="23"/>
  </w:num>
  <w:abstractNum w:abstractNumId="24">
    <w:multiLevelType w:val="singleLevel"/>
    <w:lvl w:ilvl="0">
      <w:start w:val="1"/>
      <w:numFmt w:val="decimal"/>
      <w:lvlText w:val="%1."/>
      <w:lvlJc w:val="left"/>
      <w:pPr>
        <w:tabs>
          <w:tab w:val="num" w:pos="425"/>
        </w:tabs>
        <w:ind w:left="425" w:hanging="425"/>
        <w:spacing w:before="0" w:after="120" w:line="276" w:lineRule="auto"/>
      </w:pPr>
      <w:rPr>
        <w:rFonts w:ascii="Times New Roman" w:hAnsi="Times New Roman"/>
      </w:rPr>
    </w:lvl>
  </w:abstractNum>
  <w:num w:numId="25">
    <w:abstractNumId w:val="24"/>
  </w:num>
  <w:abstractNum w:abstractNumId="25">
    <w:multiLevelType w:val="singleLevel"/>
    <w:lvl w:ilvl="0">
      <w:start w:val="1"/>
      <w:numFmt w:val="decimal"/>
      <w:lvlText w:val="%1."/>
      <w:lvlJc w:val="left"/>
      <w:pPr>
        <w:tabs>
          <w:tab w:val="num" w:pos="425"/>
        </w:tabs>
        <w:ind w:left="425" w:hanging="425"/>
        <w:spacing w:before="0" w:after="120" w:line="276" w:lineRule="auto"/>
      </w:pPr>
      <w:rPr>
        <w:rFonts w:ascii="Times New Roman" w:hAnsi="Times New Roman"/>
      </w:rPr>
    </w:lvl>
  </w:abstractNum>
  <w:num w:numId="26">
    <w:abstractNumId w:val="25"/>
  </w:num>
  <w:abstractNum w:abstractNumId="26">
    <w:multiLevelType w:val="singleLevel"/>
    <w:lvl w:ilvl="0">
      <w:start w:val="1"/>
      <w:numFmt w:val="bullet"/>
      <w:lvlText w:val="•"/>
      <w:lvlJc w:val="left"/>
      <w:pPr>
        <w:tabs>
          <w:tab w:val="num" w:pos="425"/>
        </w:tabs>
        <w:ind w:left="425" w:hanging="425"/>
        <w:spacing w:before="0" w:after="120" w:line="276" w:lineRule="auto"/>
      </w:pPr>
      <w:rPr>
        <w:rFonts w:ascii="Times New Roman" w:hAnsi="Times New Roman"/>
      </w:rPr>
    </w:lvl>
  </w:abstract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Legal">
    <w:name w:val="Body Legal"/>
    <w:basedOn w:val="Normal"/>
    <w:pPr>
      <w:spacing w:before="0" w:after="120" w:line="276" w:lineRule="auto"/>
      <w:jc w:val="both"/>
    </w:pPr>
    <w:rPr>
      <w:rFonts w:ascii="Times New Roman" w:hAnsi="Times New Roman"/>
      <w:sz w:val="23"/>
    </w:rPr>
  </w:style>
  <w:style w:type="paragraph" w:customStyle="1" w:styleId="HeadingLegal">
    <w:name w:val="Heading Legal"/>
    <w:basedOn w:val="Normal"/>
    <w:pPr>
      <w:spacing w:before="240" w:after="120"/>
    </w:pPr>
    <w:rPr>
      <w:rFonts w:ascii="Times New Roman" w:hAnsi="Times New Roman"/>
      <w:b/>
      <w:color w:val="000000"/>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Меморандум за общи намерения и предучредително сътрудничество по проект ORGOfly</dc:title>
  <dc:subject>Декларативна предучредителна рамка за четирима основатели</dc:subject>
  <dc:creator/>
  <cp:keywords>ORGOfly; меморандум; общи намерения; предучредително сътрудничество</cp:keywords>
  <dc:description>generated by python-docx</dc:description>
  <cp:lastModifiedBy/>
  <cp:revision>1</cp:revision>
  <dcterms:created xsi:type="dcterms:W3CDTF">2013-12-23T23:15:00Z</dcterms:created>
  <dcterms:modified xsi:type="dcterms:W3CDTF">2013-12-23T23:15:00Z</dcterms:modified>
  <cp:category/>
</cp:coreProperties>
</file>