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956E" w14:textId="26A72443" w:rsidR="0059539B" w:rsidRPr="0059539B" w:rsidRDefault="0059539B" w:rsidP="0059539B">
      <w:pPr>
        <w:pStyle w:val="ListParagraph"/>
        <w:numPr>
          <w:ilvl w:val="0"/>
          <w:numId w:val="1"/>
        </w:numPr>
        <w:rPr>
          <w:b/>
          <w:bCs/>
        </w:rPr>
      </w:pPr>
      <w:r>
        <w:rPr>
          <w:b/>
          <w:bCs/>
        </w:rPr>
        <w:t>First</w:t>
      </w:r>
    </w:p>
    <w:p w14:paraId="29052C6C" w14:textId="77777777" w:rsidR="0059539B" w:rsidRPr="0059539B" w:rsidRDefault="0059539B" w:rsidP="0059539B">
      <w:r w:rsidRPr="0059539B">
        <w:rPr>
          <w:b/>
          <w:bCs/>
        </w:rPr>
        <w:t>Challenge addressed:</w:t>
      </w:r>
      <w:r w:rsidRPr="0059539B">
        <w:t xml:space="preserve"> Human Survivability — specifically prolonged field care and resilient medical logistics when evacuation, ground routes, or conventional resupply are delayed, constrained, or denied.</w:t>
      </w:r>
    </w:p>
    <w:p w14:paraId="46860260" w14:textId="77777777" w:rsidR="0059539B" w:rsidRPr="0059539B" w:rsidRDefault="0059539B" w:rsidP="0059539B">
      <w:r w:rsidRPr="0059539B">
        <w:rPr>
          <w:b/>
          <w:bCs/>
        </w:rPr>
        <w:t>How our solution addresses it:</w:t>
      </w:r>
      <w:r w:rsidRPr="0059539B">
        <w:t xml:space="preserve"> OrgoFly is a long-range hybrid VTOL drone for dual-use critical medical and defence logistics. It delivers blood, plasma, medicines, diagnostics, surgical kits, antidotes and other temperature-sensitive payloads to forward units, field hospitals, ships, islands, remote bases or disaster zones without requiring runways or exposing pilots, medics or convoys to risk.</w:t>
      </w:r>
    </w:p>
    <w:p w14:paraId="1E16003B" w14:textId="77777777" w:rsidR="0059539B" w:rsidRPr="0059539B" w:rsidRDefault="0059539B" w:rsidP="0059539B">
      <w:r w:rsidRPr="0059539B">
        <w:rPr>
          <w:b/>
          <w:bCs/>
        </w:rPr>
        <w:t>Novel / unique elements:</w:t>
      </w:r>
      <w:r w:rsidRPr="0059539B">
        <w:t xml:space="preserve"> The solution combines runway-independent VTOL access, tilt-rotor transition to efficient fixed-wing flight, hybrid propulsion for endurance and resilience, up to 15 kg payload, up to 400 km range, and a temperature-controlled cargo bay in one deployable platform. This allows missions such as blood/plasma resupply, emergency surgical kit delivery, CBRN countermeasure delivery, diagnostic sample transport, organ transfer, and ship-to-shore medical logistics.</w:t>
      </w:r>
    </w:p>
    <w:p w14:paraId="4D13ABBA" w14:textId="77777777" w:rsidR="0059539B" w:rsidRPr="0059539B" w:rsidRDefault="0059539B" w:rsidP="0059539B">
      <w:r w:rsidRPr="0059539B">
        <w:rPr>
          <w:b/>
          <w:bCs/>
        </w:rPr>
        <w:t>Defence and security needs addressed:</w:t>
      </w:r>
      <w:r w:rsidRPr="0059539B">
        <w:t xml:space="preserve"> OrgoFly strengthens the medical supply chain for dispersed forces, reduces reliance on vulnerable ground convoys, enables rapid point-to-point delivery of life-saving supplies, and helps sustain operational tempo when medical capacity is disrupted or overwhelmed.</w:t>
      </w:r>
    </w:p>
    <w:p w14:paraId="37FBB1E0" w14:textId="77777777" w:rsidR="0059539B" w:rsidRPr="0059539B" w:rsidRDefault="0059539B" w:rsidP="0059539B">
      <w:pPr>
        <w:rPr>
          <w:b/>
          <w:bCs/>
        </w:rPr>
      </w:pPr>
    </w:p>
    <w:p w14:paraId="11F892D7" w14:textId="693E18A8" w:rsidR="0059539B" w:rsidRPr="003927B6" w:rsidRDefault="0059539B" w:rsidP="003927B6">
      <w:pPr>
        <w:pStyle w:val="ListParagraph"/>
        <w:numPr>
          <w:ilvl w:val="0"/>
          <w:numId w:val="1"/>
        </w:numPr>
        <w:rPr>
          <w:b/>
          <w:bCs/>
        </w:rPr>
      </w:pPr>
      <w:r w:rsidRPr="0059539B">
        <w:rPr>
          <w:b/>
          <w:bCs/>
        </w:rPr>
        <w:t>Second</w:t>
      </w:r>
    </w:p>
    <w:p w14:paraId="12F6B986" w14:textId="77777777" w:rsidR="003927B6" w:rsidRPr="003927B6" w:rsidRDefault="003927B6" w:rsidP="003927B6">
      <w:r w:rsidRPr="003927B6">
        <w:t>The technical solution is built around a tilt-rotor VTOL architecture that combines runway-independent access with efficient fixed-wing cruise.</w:t>
      </w:r>
    </w:p>
    <w:p w14:paraId="1E3806F9" w14:textId="77777777" w:rsidR="003927B6" w:rsidRPr="003927B6" w:rsidRDefault="003927B6" w:rsidP="003927B6">
      <w:r w:rsidRPr="003927B6">
        <w:t>During take-off and landing, the rotors are oriented vertically to generate lift, allowing operation from confined or improvised areas. After climb-out, the rotors rotate forward and the aircraft transitions into wing-borne cruise flight. Unlike many VTOL UAVs that use separate lift rotors for hover and a dedicated pusher motor for forward flight, OrgoFly uses the same rotors for both phases. This is mechanically more complex, but reduces redundant propulsion hardware and improves aerodynamic efficiency, range and mission flexibility.</w:t>
      </w:r>
    </w:p>
    <w:p w14:paraId="66704842" w14:textId="77777777" w:rsidR="003927B6" w:rsidRPr="003927B6" w:rsidRDefault="003927B6" w:rsidP="003927B6">
      <w:r w:rsidRPr="003927B6">
        <w:t>The UAV system combines five core technical elements:</w:t>
      </w:r>
    </w:p>
    <w:p w14:paraId="7C9108F4" w14:textId="3142C54B" w:rsidR="003927B6" w:rsidRDefault="003927B6" w:rsidP="003927B6">
      <w:r w:rsidRPr="003927B6">
        <w:t>• Tilt-rotor propulsion architecture using the same rotors for vertical lift and forward thrust</w:t>
      </w:r>
      <w:r w:rsidRPr="003927B6">
        <w:br/>
        <w:t>• Fixed-wing airframe for efficient long-range cruise</w:t>
      </w:r>
      <w:r w:rsidRPr="003927B6">
        <w:br/>
        <w:t>• Hybrid propulsion architecture for endurance and operational resilience</w:t>
      </w:r>
      <w:r w:rsidRPr="003927B6">
        <w:br/>
        <w:t xml:space="preserve">• Temperature-controlled payload bay for blood, plasma, medicines, diagnostics, </w:t>
      </w:r>
      <w:r w:rsidRPr="003927B6">
        <w:lastRenderedPageBreak/>
        <w:t>antidotes, biologics, surgical kits and organs</w:t>
      </w:r>
      <w:r w:rsidRPr="003927B6">
        <w:br/>
        <w:t>• Payload monitoring and data logging for medical logistics traceability</w:t>
      </w:r>
    </w:p>
    <w:p w14:paraId="631177F1" w14:textId="49BF8F9D" w:rsidR="003927B6" w:rsidRPr="003927B6" w:rsidRDefault="003927B6" w:rsidP="003927B6">
      <w:r w:rsidRPr="003927B6">
        <w:t>Together, these elements enable runway-independent delivery of critical medical payloads from field hospitals, remote bases, ships, islands, disaster zones and improvised landing areas.</w:t>
      </w:r>
      <w:r>
        <w:t xml:space="preserve"> </w:t>
      </w:r>
      <w:r w:rsidRPr="003927B6">
        <w:t>The target capability is 15 kg payload and up to 400 km range, enabling meaningful medical logistics missions beyond small-package drone delivery.</w:t>
      </w:r>
    </w:p>
    <w:p w14:paraId="735DCC7B" w14:textId="77777777" w:rsidR="003927B6" w:rsidRDefault="003927B6" w:rsidP="0059539B"/>
    <w:p w14:paraId="14B10987" w14:textId="36C04B75" w:rsidR="00496271" w:rsidRDefault="00496271" w:rsidP="00496271">
      <w:pPr>
        <w:pStyle w:val="ListParagraph"/>
        <w:numPr>
          <w:ilvl w:val="0"/>
          <w:numId w:val="1"/>
        </w:numPr>
      </w:pPr>
      <w:r>
        <w:t>Third</w:t>
      </w:r>
    </w:p>
    <w:p w14:paraId="369B31E0" w14:textId="77777777" w:rsidR="00496271" w:rsidRPr="00496271" w:rsidRDefault="00496271" w:rsidP="00496271">
      <w:r w:rsidRPr="00496271">
        <w:t>Challenge funding will mature OrgoFly from a flying tilt-rotor prototype into a demonstrable dual-use medical logistics UAV system. Funding will be used for full-scale engineering, hybrid propulsion integration, folding-wing architecture, temperature-controlled payload bay, test instrumentation, safety validation, mission demonstrations and BVLOS certification preparation.</w:t>
      </w:r>
    </w:p>
    <w:p w14:paraId="7AD53ECE" w14:textId="77777777" w:rsidR="00496271" w:rsidRPr="00496271" w:rsidRDefault="00496271" w:rsidP="00496271">
      <w:r w:rsidRPr="00496271">
        <w:rPr>
          <w:b/>
          <w:bCs/>
        </w:rPr>
        <w:t>Six months:</w:t>
      </w:r>
      <w:r w:rsidRPr="00496271">
        <w:t xml:space="preserve"> Complete a bootstrapped 1:4 flying concept demonstrating the core tilt-rotor architecture: vertical take-off, controlled hover-to-cruise transition, stable forward flight and landing. This validates the highest-risk aerodynamic and control challenge before scaling and provides flight data for the full-scale design.</w:t>
      </w:r>
    </w:p>
    <w:p w14:paraId="61D75C45" w14:textId="77777777" w:rsidR="00496271" w:rsidRPr="00496271" w:rsidRDefault="00496271" w:rsidP="00496271">
      <w:r w:rsidRPr="00496271">
        <w:rPr>
          <w:b/>
          <w:bCs/>
        </w:rPr>
        <w:t>One year:</w:t>
      </w:r>
      <w:r w:rsidRPr="00496271">
        <w:t xml:space="preserve"> With Mission Track funding, build and test a full-scale mission-capable prototype targeting up to 15 kg payload and up to 400 km range. Integrate hybrid propulsion, folding wings, autonomous mission control and a temperature-controlled medical bay. Demonstrate representative missions such as blood/plasma resupply, emergency medical kit delivery, diagnostic sample transport and ship-to-shore logistics.</w:t>
      </w:r>
    </w:p>
    <w:p w14:paraId="1DFBB197" w14:textId="77777777" w:rsidR="00496271" w:rsidRPr="00496271" w:rsidRDefault="00496271" w:rsidP="00496271">
      <w:r w:rsidRPr="00496271">
        <w:rPr>
          <w:b/>
          <w:bCs/>
        </w:rPr>
        <w:t>Risks:</w:t>
      </w:r>
      <w:r w:rsidRPr="00496271">
        <w:t xml:space="preserve"> Tilt-rotor transition stability, hybrid propulsion integration, thermal control reliability, vibration/shock protection for medical cargo, weight growth, regulatory timelines and safe operation in complex environments.</w:t>
      </w:r>
    </w:p>
    <w:p w14:paraId="000E201A" w14:textId="0A1B8D0A" w:rsidR="00496271" w:rsidRDefault="00496271" w:rsidP="00496271">
      <w:r w:rsidRPr="00496271">
        <w:rPr>
          <w:b/>
          <w:bCs/>
        </w:rPr>
        <w:t>Mitigation:</w:t>
      </w:r>
      <w:r w:rsidRPr="00496271">
        <w:t xml:space="preserve"> Incremental flight testing, scaled validation, simulation before flight tests, modular subsystem testing, conservative mass/range margins, payload bay monitoring, structured safety reviews, early regulator engagement and civilian logistics testing before higher-complexity defence missions.</w:t>
      </w:r>
    </w:p>
    <w:p w14:paraId="785B4B34" w14:textId="77777777" w:rsidR="00496271" w:rsidRDefault="00496271" w:rsidP="00496271"/>
    <w:p w14:paraId="63964369" w14:textId="0764767D" w:rsidR="00496271" w:rsidRDefault="00496271" w:rsidP="00496271">
      <w:pPr>
        <w:pStyle w:val="ListParagraph"/>
        <w:numPr>
          <w:ilvl w:val="0"/>
          <w:numId w:val="1"/>
        </w:numPr>
      </w:pPr>
      <w:r>
        <w:t>Forth</w:t>
      </w:r>
    </w:p>
    <w:p w14:paraId="21F25D64" w14:textId="77777777" w:rsidR="00496271" w:rsidRDefault="00496271" w:rsidP="00496271"/>
    <w:p w14:paraId="69947F75" w14:textId="77777777" w:rsidR="00496271" w:rsidRDefault="00496271" w:rsidP="00496271"/>
    <w:sectPr w:rsidR="00496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22D8"/>
    <w:multiLevelType w:val="hybridMultilevel"/>
    <w:tmpl w:val="383A6F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883714D"/>
    <w:multiLevelType w:val="hybridMultilevel"/>
    <w:tmpl w:val="383A6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775410">
    <w:abstractNumId w:val="1"/>
  </w:num>
  <w:num w:numId="2" w16cid:durableId="2367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9B"/>
    <w:rsid w:val="003347B5"/>
    <w:rsid w:val="003927B6"/>
    <w:rsid w:val="00496271"/>
    <w:rsid w:val="00544176"/>
    <w:rsid w:val="0059539B"/>
    <w:rsid w:val="007A482E"/>
    <w:rsid w:val="00EB097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B20C"/>
  <w15:chartTrackingRefBased/>
  <w15:docId w15:val="{8A30A660-D56A-4AB7-94A8-0E8156FE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39B"/>
    <w:rPr>
      <w:rFonts w:eastAsiaTheme="majorEastAsia" w:cstheme="majorBidi"/>
      <w:color w:val="272727" w:themeColor="text1" w:themeTint="D8"/>
    </w:rPr>
  </w:style>
  <w:style w:type="paragraph" w:styleId="Title">
    <w:name w:val="Title"/>
    <w:basedOn w:val="Normal"/>
    <w:next w:val="Normal"/>
    <w:link w:val="TitleChar"/>
    <w:uiPriority w:val="10"/>
    <w:qFormat/>
    <w:rsid w:val="0059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39B"/>
    <w:pPr>
      <w:spacing w:before="160"/>
      <w:jc w:val="center"/>
    </w:pPr>
    <w:rPr>
      <w:i/>
      <w:iCs/>
      <w:color w:val="404040" w:themeColor="text1" w:themeTint="BF"/>
    </w:rPr>
  </w:style>
  <w:style w:type="character" w:customStyle="1" w:styleId="QuoteChar">
    <w:name w:val="Quote Char"/>
    <w:basedOn w:val="DefaultParagraphFont"/>
    <w:link w:val="Quote"/>
    <w:uiPriority w:val="29"/>
    <w:rsid w:val="0059539B"/>
    <w:rPr>
      <w:i/>
      <w:iCs/>
      <w:color w:val="404040" w:themeColor="text1" w:themeTint="BF"/>
    </w:rPr>
  </w:style>
  <w:style w:type="paragraph" w:styleId="ListParagraph">
    <w:name w:val="List Paragraph"/>
    <w:basedOn w:val="Normal"/>
    <w:uiPriority w:val="34"/>
    <w:qFormat/>
    <w:rsid w:val="0059539B"/>
    <w:pPr>
      <w:ind w:left="720"/>
      <w:contextualSpacing/>
    </w:pPr>
  </w:style>
  <w:style w:type="character" w:styleId="IntenseEmphasis">
    <w:name w:val="Intense Emphasis"/>
    <w:basedOn w:val="DefaultParagraphFont"/>
    <w:uiPriority w:val="21"/>
    <w:qFormat/>
    <w:rsid w:val="0059539B"/>
    <w:rPr>
      <w:i/>
      <w:iCs/>
      <w:color w:val="0F4761" w:themeColor="accent1" w:themeShade="BF"/>
    </w:rPr>
  </w:style>
  <w:style w:type="paragraph" w:styleId="IntenseQuote">
    <w:name w:val="Intense Quote"/>
    <w:basedOn w:val="Normal"/>
    <w:next w:val="Normal"/>
    <w:link w:val="IntenseQuoteChar"/>
    <w:uiPriority w:val="30"/>
    <w:qFormat/>
    <w:rsid w:val="00595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39B"/>
    <w:rPr>
      <w:i/>
      <w:iCs/>
      <w:color w:val="0F4761" w:themeColor="accent1" w:themeShade="BF"/>
    </w:rPr>
  </w:style>
  <w:style w:type="character" w:styleId="IntenseReference">
    <w:name w:val="Intense Reference"/>
    <w:basedOn w:val="DefaultParagraphFont"/>
    <w:uiPriority w:val="32"/>
    <w:qFormat/>
    <w:rsid w:val="00595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Nikolov, Aleksandar</dc:creator>
  <cp:keywords/>
  <dc:description/>
  <cp:lastModifiedBy>Nikolov, Aleksandar</cp:lastModifiedBy>
  <cp:revision>3</cp:revision>
  <dcterms:created xsi:type="dcterms:W3CDTF">2026-06-29T16:20:00Z</dcterms:created>
  <dcterms:modified xsi:type="dcterms:W3CDTF">2026-06-29T16:23:00Z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116a5-35f0-4733-81bd-339106ca795f_Enabled">
    <vt:lpwstr>true</vt:lpwstr>
  </property>
  <property fmtid="{D5CDD505-2E9C-101B-9397-08002B2CF9AE}" pid="3" name="MSIP_Label_dad116a5-35f0-4733-81bd-339106ca795f_SetDate">
    <vt:lpwstr>2026-06-29T15:49:01Z</vt:lpwstr>
  </property>
  <property fmtid="{D5CDD505-2E9C-101B-9397-08002B2CF9AE}" pid="4" name="MSIP_Label_dad116a5-35f0-4733-81bd-339106ca795f_Method">
    <vt:lpwstr>Standard</vt:lpwstr>
  </property>
  <property fmtid="{D5CDD505-2E9C-101B-9397-08002B2CF9AE}" pid="5" name="MSIP_Label_dad116a5-35f0-4733-81bd-339106ca795f_Name">
    <vt:lpwstr>Sensata Internal</vt:lpwstr>
  </property>
  <property fmtid="{D5CDD505-2E9C-101B-9397-08002B2CF9AE}" pid="6" name="MSIP_Label_dad116a5-35f0-4733-81bd-339106ca795f_SiteId">
    <vt:lpwstr>8fe11266-3a2b-494f-b7ce-92bc201dc2ab</vt:lpwstr>
  </property>
  <property fmtid="{D5CDD505-2E9C-101B-9397-08002B2CF9AE}" pid="7" name="MSIP_Label_dad116a5-35f0-4733-81bd-339106ca795f_ActionId">
    <vt:lpwstr>bad87047-afca-4e7f-8d8f-5f38b4ec3eb9</vt:lpwstr>
  </property>
  <property fmtid="{D5CDD505-2E9C-101B-9397-08002B2CF9AE}" pid="8" name="MSIP_Label_dad116a5-35f0-4733-81bd-339106ca795f_ContentBits">
    <vt:lpwstr>0</vt:lpwstr>
  </property>
  <property fmtid="{D5CDD505-2E9C-101B-9397-08002B2CF9AE}" pid="9" name="MSIP_Label_dad116a5-35f0-4733-81bd-339106ca795f_Tag">
    <vt:lpwstr>10, 3, 0, 1</vt:lpwstr>
  </property>
</Properties>
</file>