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pPr>
      <w:r>
        <w:t>VeloVerse</w:t>
      </w:r>
    </w:p>
    <w:p>
      <w:pPr>
        <w:pStyle w:val="Subtitle"/>
      </w:pPr>
      <w:r>
        <w:t>Final Project Documentation</w:t>
      </w:r>
    </w:p>
    <w:p>
      <w:pPr>
        <w:spacing w:before="400"/>
      </w:pPr>
      <w:r>
        <w:t>Bicycle education and comparison web application</w:t>
      </w:r>
    </w:p>
    <w:p>
      <w:r>
        <w:t>Version 1  |  10 October 2026</w:t>
      </w:r>
    </w:p>
    <w:p>
      <w:pPr>
        <w:spacing w:before="1600"/>
      </w:pPr>
      <w:r>
        <w:t>Final implementation record</w:t>
      </w:r>
    </w:p>
    <w:p>
      <w:r>
        <w:t>A consolidated account of the application purpose, implemented features, layered architecture, seven-table database and automated test results.</w:t>
      </w:r>
    </w:p>
    <w:p>
      <w:r>
        <w:t>Project status: core features implemented and tested locally. Public deployment remains future work.</w:t>
      </w:r>
    </w:p>
    <w:p>
      <w:pPr>
        <w:spacing w:before="900"/>
      </w:pPr>
      <w:r>
        <w:t>Based on the BikePedia planning documentation, the final VeloVerse database schema and the local project evidence.</w:t>
      </w:r>
    </w:p>
    <w:p>
      <w:r>
        <w:br w:type="page"/>
      </w:r>
    </w:p>
    <w:p>
      <w:pPr>
        <w:pStyle w:val="Heading1"/>
      </w:pPr>
      <w:r>
        <w:t>Table of Contents</w:t>
      </w:r>
    </w:p>
    <w:p>
      <w:r>
        <w:t>The report describes the final VeloVerse implementation. The earlier BikePedia documents provide the original requirements and design context.</w:t>
      </w:r>
    </w:p>
    <w:p>
      <w:pPr>
        <w:tabs>
          <w:tab w:pos="9360" w:val="right"/>
        </w:tabs>
        <w:spacing w:after="320"/>
      </w:pPr>
      <w:r>
        <w:t>1  Project Overview</w:t>
        <w:tab/>
        <w:t>3</w:t>
      </w:r>
    </w:p>
    <w:p>
      <w:pPr>
        <w:tabs>
          <w:tab w:pos="9360" w:val="right"/>
        </w:tabs>
        <w:spacing w:after="320"/>
      </w:pPr>
      <w:r>
        <w:t>2  Implemented Features</w:t>
        <w:tab/>
        <w:t>4</w:t>
      </w:r>
    </w:p>
    <w:p>
      <w:pPr>
        <w:tabs>
          <w:tab w:pos="9360" w:val="right"/>
        </w:tabs>
        <w:spacing w:after="320"/>
      </w:pPr>
      <w:r>
        <w:t>3  Architecture and Technology Stack</w:t>
        <w:tab/>
        <w:t>5</w:t>
      </w:r>
    </w:p>
    <w:p>
      <w:pPr>
        <w:tabs>
          <w:tab w:pos="9360" w:val="right"/>
        </w:tabs>
        <w:spacing w:after="320"/>
      </w:pPr>
      <w:r>
        <w:t>4  Seven Table Database Design</w:t>
        <w:tab/>
        <w:t>6</w:t>
      </w:r>
    </w:p>
    <w:p>
      <w:pPr>
        <w:tabs>
          <w:tab w:pos="9360" w:val="right"/>
        </w:tabs>
        <w:spacing w:after="320"/>
      </w:pPr>
      <w:r>
        <w:t>5  Reference Data Dictionary</w:t>
        <w:tab/>
        <w:t>7</w:t>
      </w:r>
    </w:p>
    <w:p>
      <w:pPr>
        <w:tabs>
          <w:tab w:pos="9360" w:val="right"/>
        </w:tabs>
        <w:spacing w:after="320"/>
      </w:pPr>
      <w:r>
        <w:t>6  Component Data Dictionary</w:t>
        <w:tab/>
        <w:t>8</w:t>
      </w:r>
    </w:p>
    <w:p>
      <w:pPr>
        <w:tabs>
          <w:tab w:pos="9360" w:val="right"/>
        </w:tabs>
        <w:spacing w:after="320"/>
      </w:pPr>
      <w:r>
        <w:t>7  Bicycle Data Dictionary</w:t>
        <w:tab/>
        <w:t>9</w:t>
      </w:r>
    </w:p>
    <w:p>
      <w:pPr>
        <w:tabs>
          <w:tab w:pos="9360" w:val="right"/>
        </w:tabs>
        <w:spacing w:after="320"/>
      </w:pPr>
      <w:r>
        <w:t>8  Automated Testing Results</w:t>
        <w:tab/>
        <w:t>10</w:t>
      </w:r>
    </w:p>
    <w:p>
      <w:pPr>
        <w:tabs>
          <w:tab w:pos="9360" w:val="right"/>
        </w:tabs>
        <w:spacing w:after="320"/>
      </w:pPr>
      <w:r>
        <w:t>9  Local Operation and Data Management</w:t>
        <w:tab/>
        <w:t>11</w:t>
      </w:r>
    </w:p>
    <w:p>
      <w:pPr>
        <w:tabs>
          <w:tab w:pos="9360" w:val="right"/>
        </w:tabs>
        <w:spacing w:after="320"/>
      </w:pPr>
      <w:r>
        <w:t>10  Project Status and Source Record</w:t>
        <w:tab/>
        <w:t>12</w:t>
      </w:r>
    </w:p>
    <w:p>
      <w:r>
        <w:br w:type="page"/>
      </w:r>
    </w:p>
    <w:p>
      <w:pPr>
        <w:pStyle w:val="Heading1"/>
      </w:pPr>
      <w:r>
        <w:t>1 Project Overview</w:t>
      </w:r>
    </w:p>
    <w:p>
      <w:r>
        <w:t>VeloVerse is an educational web application that helps beginners and cycling enthusiasts understand bicycles. Users can explore bicycle types, learn how components work, examine materials, browse selected manufacturers and models, and compare two bicycles using their stored specifications.</w:t>
      </w:r>
    </w:p>
    <w:p>
      <w:r>
        <w:t>The core browsing, search, filtering and comparison features are implemented. The saved automated test reports record 97 passing tests. This document records the local application; public hosting has not been established as a completed project milestone.</w:t>
      </w:r>
    </w:p>
    <w:p>
      <w:pPr>
        <w:pStyle w:val="Heading2"/>
      </w:pPr>
      <w:r>
        <w:t>Problem and purpose</w:t>
      </w:r>
    </w:p>
    <w:p>
      <w:r>
        <w:t>Bicycle information is spread across manufacturer pages, retailers, forums and technical resources. Beginners need a clear explanation of what a part does, how it works and how bicycle designs differ. VeloVerse brings this information into a consistent set of connected pages, using a deliberately selected educational dataset.</w:t>
      </w:r>
    </w:p>
    <w:p>
      <w:pPr>
        <w:pStyle w:val="Heading2"/>
      </w:pPr>
      <w:r>
        <w:t>Scope of the completed application</w:t>
      </w:r>
    </w:p>
    <w:p>
      <w:r>
        <w:t>The application uses a responsive two-dimensional interface with an interactive anatomy diagram. Visitors do not need an account. The database supports educational content and model comparison, without orders, shopping carts, payments, retailer inventory or delivery records.</w:t>
      </w:r>
    </w:p>
    <w:p>
      <w:r>
        <w:t>The current seed data defines ten bicycle types, five brands and six models. The ten types are Road, Mountain, Gravel, Hybrid, BMX, Fixed-Gear, Touring, Electric, Folding and Time-Trial / Triathlon. This includes the final type addition beyond the nine types mentioned in the earlier README.</w:t>
      </w:r>
    </w:p>
    <w:p>
      <w:pPr>
        <w:pStyle w:val="Heading2"/>
      </w:pPr>
      <w:r>
        <w:t>Selected model collection</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Brand</w:t>
            </w:r>
          </w:p>
        </w:tc>
        <w:tc>
          <w:tcPr>
            <w:tcW w:type="dxa" w:w="77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Models in the final seed data</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Cervélo</w:t>
            </w:r>
          </w:p>
        </w:tc>
        <w:tc>
          <w:tcPr>
            <w:tcW w:type="dxa" w:w="770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Brompton</w:t>
            </w:r>
          </w:p>
        </w:tc>
        <w:tc>
          <w:tcPr>
            <w:tcW w:type="dxa" w:w="77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Folding Bicycle</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Colnago</w:t>
            </w:r>
          </w:p>
        </w:tc>
        <w:tc>
          <w:tcPr>
            <w:tcW w:type="dxa" w:w="770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V3-RS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Orbea</w:t>
            </w:r>
          </w:p>
        </w:tc>
        <w:tc>
          <w:tcPr>
            <w:tcW w:type="dxa" w:w="77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Avant</w:t>
            </w:r>
          </w:p>
        </w:tc>
      </w:tr>
      <w:tr>
        <w:trPr>
          <w:cantSplit/>
        </w:trPr>
        <w:tc>
          <w:tcPr>
            <w:tcW w:type="dxa" w:w="187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Canyon</w:t>
            </w:r>
          </w:p>
        </w:tc>
        <w:tc>
          <w:tcPr>
            <w:tcW w:type="dxa" w:w="770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Speedmax CFR; Endurace WMN CF SL Disc 8.0 Di2</w:t>
            </w:r>
          </w:p>
        </w:tc>
      </w:tr>
    </w:tbl>
    <w:p>
      <w:pPr>
        <w:spacing w:after="0"/>
      </w:pPr>
    </w:p>
    <w:p>
      <w:r>
        <w:t>Model facts are limited to information supported by the project sources. Unconfirmed specifications remain empty, and the interface explains missing values instead of inventing them. The collection is representative rather than an exhaustive bicycle catalogue.</w:t>
      </w:r>
    </w:p>
    <w:p>
      <w:r>
        <w:br w:type="page"/>
      </w:r>
    </w:p>
    <w:p>
      <w:pPr>
        <w:pStyle w:val="Heading1"/>
      </w:pPr>
      <w:r>
        <w:t>2 Implemented Features</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Requirement</w:t>
            </w:r>
          </w:p>
        </w:tc>
        <w:tc>
          <w:tcPr>
            <w:tcW w:type="dxa" w:w="712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Implemented behaviour</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FR-01  Browse bicycle types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List and detail pages explain categories, intended uses, advantages and disadvantages; detail pages suggest related types.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FR-02  Explore components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An interactive anatomy diagram links to component pages. Parts are grouped by system and show descriptions, purpose, operation and common materials.</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FR-03  Browse brands and models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 pages show country, website, description, specialities and linked models. Model details show specifications, intended use, features, advantages, disadvantages and a source link.</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FR-04  Search bicycles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Catalogue search matches model name, brand and bicycle type. Matching ignores letter case and accents. Empty and unmatched searches have defined behaviour.</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FR-05  Filter bicycles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Type, brand and frame-material filters can be combined with search. Dropdown choices come from values used by stored bicycles.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FR-06  Compare bicycles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Two different bicycles are displayed side by side. Incomplete, invalid, missing or duplicate selections produce explanatory messages.</w:t>
            </w:r>
          </w:p>
        </w:tc>
      </w:tr>
    </w:tbl>
    <w:p>
      <w:pPr>
        <w:spacing w:after="0"/>
      </w:pPr>
    </w:p>
    <w:p>
      <w:pPr>
        <w:pStyle w:val="Heading2"/>
      </w:pPr>
      <w:r>
        <w:t>Comparison behaviour</w:t>
      </w:r>
    </w:p>
    <w:p>
      <w:r>
        <w:t>The comparison contains ten specification rows: brand, model, year, bicycle type, frame material, weight, wheel size, brake system, drivetrain and number of gears. Known differences are marked and counted. A row with missing information is counted separately and is not treated as a confirmed difference.</w:t>
      </w:r>
    </w:p>
    <w:p>
      <w:r>
        <w:t>Unknown frame material appears as “Not confirmed”; other missing specifications appear as “Not specified”. Weight is shown in kilograms without unnecessary trailing zeros. The comparison is educational and does not assign a winner or a performance score.</w:t>
      </w:r>
    </w:p>
    <w:p>
      <w:pPr>
        <w:pStyle w:val="Heading2"/>
      </w:pPr>
      <w:r>
        <w:t>Interface and reliability</w:t>
      </w:r>
    </w:p>
    <w:p>
      <w:r>
        <w:t>The interface uses a dark theme, responsive styling, navigation links, content photography and fallback images. Image credits are retained where applicable. Missing records produce 404 responses, invalid filter values are ignored, and empty lists or results receive explanatory states.</w:t>
      </w:r>
    </w:p>
    <w:p>
      <w:r>
        <w:t>The anatomy explorer is an implemented 2D feature. A rotatable 3D bicycle and animated mechanical systems remain possible future extensions.</w:t>
      </w:r>
    </w:p>
    <w:p>
      <w:r>
        <w:br w:type="page"/>
      </w:r>
    </w:p>
    <w:p>
      <w:pPr>
        <w:pStyle w:val="Heading1"/>
      </w:pPr>
      <w:r>
        <w:t>3 Architecture and Technology Stack</w:t>
      </w:r>
    </w:p>
    <w:p>
      <w:r>
        <w:t>VeloVerse is a layered Spring MVC application. Spring Boot runs the application and serves HTML generated by Thymeleaf. Controllers receive browser requests, services prepare application data, and repositories use Spring Data JPA to read PostgreSQL records.</w:t>
      </w:r>
    </w:p>
    <w:p>
      <w:pPr>
        <w:pStyle w:val="Heading2"/>
      </w:pPr>
      <w:r>
        <w:t>Request and response flow</w:t>
      </w:r>
    </w:p>
    <w:p>
      <w:r>
        <w:t>Browser → Controller → Service → Repository → PostgreSQL</w:t>
      </w:r>
    </w:p>
    <w:p>
      <w:r>
        <w:t>Retrieved data returns to the controller model. Thymeleaf combines that model with the page template and returns HTML to the browser. CSS, JavaScript and local image assets provide presentation and interaction.</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Layer</w:t>
            </w:r>
          </w:p>
        </w:tc>
        <w:tc>
          <w:tcPr>
            <w:tcW w:type="dxa" w:w="720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Responsibility</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Browser and templates</w:t>
            </w:r>
          </w:p>
        </w:tc>
        <w:tc>
          <w:tcPr>
            <w:tcW w:type="dxa" w:w="720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Render navigation, educational pages, search controls and comparison results.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Controllers</w:t>
            </w:r>
          </w:p>
        </w:tc>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Map GET routes, parse parameters, choose templates and return appropriate missing-record responses.</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Services</w:t>
            </w:r>
          </w:p>
        </w:tc>
        <w:tc>
          <w:tcPr>
            <w:tcW w:type="dxa" w:w="720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Apply search and filters, retrieve related content and prepare the data required for rendering.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Repositories and entities</w:t>
            </w:r>
          </w:p>
        </w:tc>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Map tables and relationships to Java objects and execute database retrieval operations.</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PostgreSQL</w:t>
            </w:r>
          </w:p>
        </w:tc>
        <w:tc>
          <w:tcPr>
            <w:tcW w:type="dxa" w:w="720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Persist the seven application tables and enforce primary, foreign and unique keys.</w:t>
            </w:r>
          </w:p>
        </w:tc>
      </w:tr>
    </w:tbl>
    <w:p>
      <w:pPr>
        <w:spacing w:after="0"/>
      </w:pPr>
    </w:p>
    <w:p>
      <w:r>
        <w:t>Services use read-only transactions. The configuration disables Open Session in View, so related data needed by a page is loaded before template rendering. Constructor injection makes dependencies explicit and supports isolated web-layer tests.</w:t>
      </w:r>
    </w:p>
    <w:p>
      <w:pPr>
        <w:pStyle w:val="Heading2"/>
      </w:pPr>
      <w:r>
        <w:t>Technology stack</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Area</w:t>
            </w:r>
          </w:p>
        </w:tc>
        <w:tc>
          <w:tcPr>
            <w:tcW w:type="dxa" w:w="720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Technology and project use</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Language and framework</w:t>
            </w:r>
          </w:p>
        </w:tc>
        <w:tc>
          <w:tcPr>
            <w:tcW w:type="dxa" w:w="720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Java 21; Spring Boot 4.1.1 as declared in pom.xml; Spring Web MVC.</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Presentation</w:t>
            </w:r>
          </w:p>
        </w:tc>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HTML, CSS, JavaScript and Thymeleaf templates.</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Persistence</w:t>
            </w:r>
          </w:p>
        </w:tc>
        <w:tc>
          <w:tcPr>
            <w:tcW w:type="dxa" w:w="720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PostgreSQL; Spring Data JPA with Hibernate; PostgreSQL JDBC driver.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Build</w:t>
            </w:r>
          </w:p>
        </w:tc>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Maven and the Maven Wrapper; Spring Boot Maven plugin.</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Testing</w:t>
            </w:r>
          </w:p>
        </w:tc>
        <w:tc>
          <w:tcPr>
            <w:tcW w:type="dxa" w:w="720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JUnit, Mockito, Spring test support, MockMvc and Maven Surefire reports.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Version control</w:t>
            </w:r>
          </w:p>
        </w:tc>
        <w:tc>
          <w:tcPr>
            <w:tcW w:type="dxa" w:w="72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Git for local version history. GitHub appears in the original plan; a published repository is not required for the documented local state.</w:t>
            </w:r>
          </w:p>
        </w:tc>
      </w:tr>
    </w:tbl>
    <w:p>
      <w:pPr>
        <w:spacing w:after="0"/>
      </w:pPr>
    </w:p>
    <w:p>
      <w:r>
        <w:br w:type="page"/>
      </w:r>
    </w:p>
    <w:p>
      <w:pPr>
        <w:pStyle w:val="Heading1"/>
      </w:pPr>
      <w:r>
        <w:t>4 Seven Table Database Design</w:t>
      </w:r>
    </w:p>
    <w:p>
      <w:r>
        <w:t>The relational schema separates reusable educational information from individual model specifications. It contains seven application tables. Temporary backup tables created by optional maintenance scripts are outside this application model.</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Table</w:t>
            </w:r>
          </w:p>
        </w:tc>
        <w:tc>
          <w:tcPr>
            <w:tcW w:type="dxa" w:w="712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Purpose</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bicycle_types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Educational categories and their uses, advantages and disadvantages.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materials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Reusable descriptions of materials and their characteristics.</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component_systems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Groups of related bicycle parts.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Individual parts, their purpose and operation.</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component_materials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Unique pairs linking components to common materials.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Manufacturers and their descriptive information.</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bicycles</w:t>
            </w:r>
          </w:p>
        </w:tc>
        <w:tc>
          <w:tcPr>
            <w:tcW w:type="dxa" w:w="712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Selected model specifications and educational details.</w:t>
            </w:r>
          </w:p>
        </w:tc>
      </w:tr>
    </w:tbl>
    <w:p>
      <w:pPr>
        <w:spacing w:after="0"/>
      </w:pPr>
    </w:p>
    <w:p>
      <w:pPr>
        <w:pStyle w:val="Heading2"/>
      </w:pPr>
      <w:r>
        <w:t>Relationships and cardinality</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309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Parent and child</w:t>
            </w:r>
          </w:p>
        </w:tc>
        <w:tc>
          <w:tcPr>
            <w:tcW w:type="dxa" w:w="648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w:t>
            </w:r>
          </w:p>
        </w:tc>
      </w:tr>
      <w:tr>
        <w:trPr>
          <w:cantSplit/>
        </w:trPr>
        <w:tc>
          <w:tcPr>
            <w:tcW w:type="dxa" w:w="309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brands → bicycles</w:t>
            </w:r>
          </w:p>
        </w:tc>
        <w:tc>
          <w:tcPr>
            <w:tcW w:type="dxa" w:w="648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One brand may have zero or many bicycles; each bicycle requires one brand.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bicycle_types → bicycles</w:t>
            </w:r>
          </w:p>
        </w:tc>
        <w:tc>
          <w:tcPr>
            <w:tcW w:type="dxa" w:w="64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One type may classify zero or many bicycles; each bicycle requires one type.</w:t>
            </w:r>
          </w:p>
        </w:tc>
      </w:tr>
      <w:tr>
        <w:trPr>
          <w:cantSplit/>
        </w:trPr>
        <w:tc>
          <w:tcPr>
            <w:tcW w:type="dxa" w:w="309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materials → bicycles</w:t>
            </w:r>
          </w:p>
        </w:tc>
        <w:tc>
          <w:tcPr>
            <w:tcW w:type="dxa" w:w="648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One material may describe many frames; a bicycle has zero or one confirmed frame material.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component_systems → components</w:t>
            </w:r>
          </w:p>
        </w:tc>
        <w:tc>
          <w:tcPr>
            <w:tcW w:type="dxa" w:w="64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One system may contain many components; each component requires one system.</w:t>
            </w:r>
          </w:p>
        </w:tc>
      </w:tr>
      <w:tr>
        <w:trPr>
          <w:cantSplit/>
        </w:trPr>
        <w:tc>
          <w:tcPr>
            <w:tcW w:type="dxa" w:w="309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components ↔ materials</w:t>
            </w:r>
          </w:p>
        </w:tc>
        <w:tc>
          <w:tcPr>
            <w:tcW w:type="dxa" w:w="648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Many-to-many through component_materials. Each link requires one existing component and one existing material.</w:t>
            </w:r>
          </w:p>
        </w:tc>
      </w:tr>
    </w:tbl>
    <w:p>
      <w:pPr>
        <w:spacing w:after="0"/>
      </w:pPr>
    </w:p>
    <w:p>
      <w:pPr>
        <w:pStyle w:val="Heading2"/>
      </w:pPr>
      <w:r>
        <w:t>Keys and integrity</w:t>
      </w:r>
    </w:p>
    <w:p>
      <w:r>
        <w:t>The six main entity tables use INTEGER primary keys generated by default as identity values. Explicit identifiers are still allowed for restoration operations. The component_materials table uses the combined component_id and material_id as its primary key, preventing duplicate links.</w:t>
      </w:r>
    </w:p>
    <w:p>
      <w:r>
        <w:t>Entity names are unique for types, materials, systems, components and brands. Bicycle uniqueness is defined by brand_id, name and year. Because year can be NULL, this constraint alone does not reject every duplicate with an unknown year; the seed logic also checks existing brand and model names.</w:t>
      </w:r>
    </w:p>
    <w:p>
      <w:r>
        <w:t>Foreign keys enforce valid relationships. The schema does not declare cascading deletions or positive-value checks for year, weight or gears. The following data dictionary describes the final schema, including its ALTER TABLE additions.</w:t>
      </w:r>
    </w:p>
    <w:p>
      <w:r>
        <w:br w:type="page"/>
      </w:r>
    </w:p>
    <w:p>
      <w:pPr>
        <w:pStyle w:val="Heading1"/>
      </w:pPr>
      <w:r>
        <w:t>5 Reference Data Dictionary</w:t>
      </w:r>
    </w:p>
    <w:p>
      <w:r>
        <w:t>PK means primary key; FK means foreign key. Required fields cannot be NULL. Identity identifiers are generated automatically when omitted from an insert. Optional fields may be NULL.</w:t>
      </w:r>
    </w:p>
    <w:p>
      <w:pPr>
        <w:pStyle w:val="Heading2"/>
      </w:pPr>
      <w:r>
        <w:t>Bicycle types</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2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type_id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PK; identity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name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unique</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description</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best_use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typical use</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advantages</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one point per line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disadvantages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one point per line</w:t>
            </w:r>
          </w:p>
        </w:tc>
      </w:tr>
    </w:tbl>
    <w:p>
      <w:pPr>
        <w:spacing w:after="0"/>
      </w:pPr>
    </w:p>
    <w:p>
      <w:pPr>
        <w:pStyle w:val="Heading2"/>
      </w:pPr>
      <w:r>
        <w:t>Materials</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2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material_id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PK; identity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name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unique</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description</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advantages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material benefits</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disadvantages</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material limitations</w:t>
            </w:r>
          </w:p>
        </w:tc>
      </w:tr>
    </w:tbl>
    <w:p>
      <w:pPr>
        <w:spacing w:after="0"/>
      </w:pPr>
    </w:p>
    <w:p>
      <w:pPr>
        <w:pStyle w:val="Heading2"/>
      </w:pPr>
      <w:r>
        <w:t>Brands</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2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PK; identity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name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unique</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country</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description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website</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VARCHAR(255)</w:t>
            </w:r>
          </w:p>
        </w:tc>
        <w:tc>
          <w:tcPr>
            <w:tcW w:type="dxa" w:w="525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added in final schema</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specialities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2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added in final schema</w:t>
            </w:r>
          </w:p>
        </w:tc>
      </w:tr>
    </w:tbl>
    <w:p>
      <w:pPr>
        <w:spacing w:after="0"/>
      </w:pPr>
    </w:p>
    <w:p>
      <w:r>
        <w:t>The final brand design extends the original BikePedia specification with website and specialities. These fields are optional so pre-existing records remain valid.</w:t>
      </w:r>
    </w:p>
    <w:p>
      <w:r>
        <w:br w:type="page"/>
      </w:r>
    </w:p>
    <w:p>
      <w:pPr>
        <w:pStyle w:val="Heading1"/>
      </w:pPr>
      <w:r>
        <w:t>6 Component Data Dictionary</w:t>
      </w:r>
    </w:p>
    <w:p>
      <w:pPr>
        <w:pStyle w:val="Heading2"/>
      </w:pPr>
      <w:r>
        <w:t>Component systems</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18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system_id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PK; identity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name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unique</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description</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w:t>
            </w:r>
          </w:p>
        </w:tc>
      </w:tr>
    </w:tbl>
    <w:p>
      <w:pPr>
        <w:spacing w:after="0"/>
      </w:pPr>
    </w:p>
    <w:p>
      <w:r>
        <w:t>Systems organise parts into meaningful groups, allowing the overview and detail pages to present related components together.</w:t>
      </w:r>
    </w:p>
    <w:p>
      <w:pPr>
        <w:pStyle w:val="Heading2"/>
      </w:pPr>
      <w:r>
        <w:t>Components</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18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PK; identity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system_id</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FK to component_systems.system_id</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name</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unique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description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purpose</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what the part does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operation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how the part works</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image_url</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VARCHAR(255)</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image reference</w:t>
            </w:r>
          </w:p>
        </w:tc>
      </w:tr>
    </w:tbl>
    <w:p>
      <w:pPr>
        <w:spacing w:after="0"/>
      </w:pPr>
    </w:p>
    <w:p>
      <w:pPr>
        <w:pStyle w:val="Heading2"/>
      </w:pPr>
      <w:r>
        <w:t>Component materials</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18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4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18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PK member; FK to components.component_id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material_id</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PK member; FK to materials.material_id</w:t>
            </w:r>
          </w:p>
        </w:tc>
      </w:tr>
    </w:tbl>
    <w:p>
      <w:pPr>
        <w:spacing w:after="0"/>
      </w:pPr>
    </w:p>
    <w:p>
      <w:r>
        <w:t>The joint primary key is (component_id, material_id). A component can be associated with several common materials without repeating its description. A material can likewise be reused by many components.</w:t>
      </w:r>
    </w:p>
    <w:p>
      <w:pPr>
        <w:pStyle w:val="Heading2"/>
      </w:pPr>
      <w:r>
        <w:t>How these records support anatomy pages</w:t>
      </w:r>
    </w:p>
    <w:p>
      <w:r>
        <w:t>The component overview loads systems with their parts and creates a mapping from component names to record identifiers. Diagram labels use these identifiers to link to detail pages. Component detail pages include the part’s system, associated materials and related components from the same system.</w:t>
      </w:r>
    </w:p>
    <w:p>
      <w:r>
        <w:t>There is no bicycle-to-component assembly table in the final schema. Component materials describe general educational associations; they do not establish the exact bill of materials for a particular model.</w:t>
      </w:r>
    </w:p>
    <w:p>
      <w:r>
        <w:br w:type="page"/>
      </w:r>
    </w:p>
    <w:p>
      <w:pPr>
        <w:pStyle w:val="Heading1"/>
      </w:pPr>
      <w:r>
        <w:t>7 Bicycle Data Dictionary</w:t>
      </w:r>
    </w:p>
    <w:p>
      <w:r>
        <w:t>The bicycles table combines identifiers, optional technical specifications and educational text. Brand and type are required; an unconfirmed frame material remains NULL.</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259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Field</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SQL type</w:t>
            </w:r>
          </w:p>
        </w:tc>
        <w:tc>
          <w:tcPr>
            <w:tcW w:type="dxa" w:w="504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Rule or meaning</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PK; identity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brand_id</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FK to brands.brand_id</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type_id</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FK to bicycle_types.type_id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frame_material_id</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FK to materials.material_id</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name</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Required; model name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year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confirmed model year</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weight_kg</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NUMERIC(5,2)</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weight in kilograms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wheel_size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VARCHAR(30)</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brake_system</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VARCHAR(100)</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drivetrain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VARCHAR(150)</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gears</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INTEGER</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description</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image_url</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VARCHAR(255)</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image reference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intended_use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final addition</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features</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one item per line; final addition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advantages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one item per line; final addition</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disadvantages</w:t>
            </w:r>
          </w:p>
        </w:tc>
        <w:tc>
          <w:tcPr>
            <w:tcW w:type="dxa" w:w="1944"/>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TEXT</w:t>
            </w:r>
          </w:p>
        </w:tc>
        <w:tc>
          <w:tcPr>
            <w:tcW w:type="dxa" w:w="504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one item per line; final addition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source_url</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VARCHAR(255)</w:t>
            </w:r>
          </w:p>
        </w:tc>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Optional; model fact source; final addition</w:t>
            </w:r>
          </w:p>
        </w:tc>
      </w:tr>
    </w:tbl>
    <w:p>
      <w:pPr>
        <w:spacing w:after="0"/>
      </w:pPr>
    </w:p>
    <w:p>
      <w:pPr>
        <w:pStyle w:val="Heading2"/>
      </w:pPr>
      <w:r>
        <w:t>Final schema changes</w:t>
      </w:r>
    </w:p>
    <w:p>
      <w:r>
        <w:t>The final script adds intended_use, features, advantages, disadvantages and source_url with ADD COLUMN IF NOT EXISTS. It also drops any existing NOT NULL restriction on frame_material_id, ensuring an older database accepts unconfirmed frame materials.</w:t>
      </w:r>
    </w:p>
    <w:p>
      <w:r>
        <w:t>UNIQUE (brand_id, name, year) prevents duplicate non-NULL brand, model and year combinations. NUMERIC(5,2) provides five total digits with two decimal places; it is a storage precision, not a claim that every model has a measured weight.</w:t>
      </w:r>
    </w:p>
    <w:p>
      <w:r>
        <w:br w:type="page"/>
      </w:r>
    </w:p>
    <w:p>
      <w:pPr>
        <w:pStyle w:val="Heading1"/>
      </w:pPr>
      <w:r>
        <w:t>8 Automated Testing Results</w:t>
      </w:r>
    </w:p>
    <w:p>
      <w:r>
        <w:t>The saved Maven Surefire reports contain 97 executed tests: 97 passed, 0 failures, 0 errors and 0 skipped. These are existing local test results inspected for this report; the suite was not rerun as part of document generation.</w:t>
      </w:r>
    </w:p>
    <w:tbl>
      <w:tblPr>
        <w:tblW w:type="auto" w:w="0"/>
        <w:jc w:val="center"/>
        <w:tblLayout w:type="fixed"/>
        <w:tblLook w:firstColumn="1" w:firstRow="1" w:lastColumn="0" w:lastRow="0" w:noHBand="0" w:noVBand="1" w:val="04A0"/>
      </w:tblPr>
      <w:tblGrid>
        <w:gridCol w:w="3221"/>
        <w:gridCol w:w="3221"/>
        <w:gridCol w:w="3221"/>
      </w:tblGrid>
      <w:tr>
        <w:trPr>
          <w:cantSplit/>
          <w:tblHeader/>
        </w:trPr>
        <w:tc>
          <w:tcPr>
            <w:tcW w:type="dxa" w:w="60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Test suite</w:t>
            </w:r>
          </w:p>
        </w:tc>
        <w:tc>
          <w:tcPr>
            <w:tcW w:type="dxa" w:w="115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Tests</w:t>
            </w:r>
          </w:p>
        </w:tc>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Result</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BicycleControllerTest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20</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BicycleTypeControllerTest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6</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BrandControllerTest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10</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CompareControllerTest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12</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CompareRowTest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3</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ComponentControllerTest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9</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HomeControllerTest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4</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MaterialControllerTest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4</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BicycleRepositoryTest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10</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BicycleTypeRepositoryTest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3</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BrandRepositoryTest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3</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ComponentRepositoryTest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3</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BicycleServiceTest</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9</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VeloverseApplicationTests</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1</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Passed</w:t>
            </w:r>
          </w:p>
        </w:tc>
      </w:tr>
      <w:tr>
        <w:trPr>
          <w:cantSplit/>
        </w:trPr>
        <w:tc>
          <w:tcPr>
            <w:tcW w:type="dxa" w:w="6048"/>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Total</w:t>
            </w:r>
          </w:p>
        </w:tc>
        <w:tc>
          <w:tcPr>
            <w:tcW w:type="dxa" w:w="1152"/>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97</w:t>
            </w:r>
          </w:p>
        </w:tc>
        <w:tc>
          <w:tcPr>
            <w:tcW w:type="dxa" w:w="237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97 passed</w:t>
            </w:r>
          </w:p>
        </w:tc>
      </w:tr>
    </w:tbl>
    <w:p>
      <w:pPr>
        <w:spacing w:after="0"/>
      </w:pPr>
    </w:p>
    <w:p>
      <w:pPr>
        <w:pStyle w:val="Heading2"/>
      </w:pPr>
      <w:r>
        <w:t>What the suite covers</w:t>
      </w:r>
    </w:p>
    <w:p>
      <w:r>
        <w:t>Web-layer tests cover pages, model attributes, links, missing records, empty states, filters, comparison validation, image attribution and fallback images. Search input escaping is checked. Unit tests cover search and filter logic as well as comparison differences, missing values and weight formatting.</w:t>
      </w:r>
    </w:p>
    <w:p>
      <w:r>
        <w:t>Repository integration tests check seeded types, the five approved brands, the six models and their relationships. The application context test checks startup. Integration tests use a separate PostgreSQL database named veloverse_test and rebuild its data through test-only reset and initialization scripts.</w:t>
      </w:r>
    </w:p>
    <w:p>
      <w:pPr>
        <w:pStyle w:val="Heading2"/>
      </w:pPr>
      <w:r>
        <w:t>Evidence limits</w:t>
      </w:r>
    </w:p>
    <w:p>
      <w:r>
        <w:t>Passing tests support the behaviours exercised by the suite. They are not a percentage of code coverage, a performance benchmark, an accessibility certification or proof of public deployment. Responsive design remains supported by the implementation; comprehensive device and usability validation requires separate evidence.</w:t>
      </w:r>
    </w:p>
    <w:p>
      <w:r>
        <w:br w:type="page"/>
      </w:r>
    </w:p>
    <w:p>
      <w:pPr>
        <w:pStyle w:val="Heading1"/>
      </w:pPr>
      <w:r>
        <w:t>9 Local Operation and Data Management</w:t>
      </w:r>
    </w:p>
    <w:p>
      <w:pPr>
        <w:pStyle w:val="Heading2"/>
      </w:pPr>
      <w:r>
        <w:t>Running the application</w:t>
      </w:r>
    </w:p>
    <w:p>
      <w:r>
        <w:t>The project requires Java 21 and PostgreSQL. From the project folder, configure the local database connection, ensure the veloverse database exists and start the application with the Maven Wrapper.</w:t>
      </w:r>
    </w:p>
    <w:p>
      <w:r>
        <w:t>.\mvnw.cmd spring-boot:run</w:t>
      </w:r>
    </w:p>
    <w:p>
      <w:r>
        <w:t>Once startup succeeds, the local website is available at http://localhost:8080. This address refers to the development machine and is not a public deployment URL.</w:t>
      </w:r>
    </w:p>
    <w:p>
      <w:pPr>
        <w:pStyle w:val="Heading2"/>
      </w:pPr>
      <w:r>
        <w:t>Reproducing the automated tests</w:t>
      </w:r>
    </w:p>
    <w:p>
      <w:r>
        <w:t>Create the dedicated veloverse_test PostgreSQL database and configure access through the test settings. Run the following command from the project folder:</w:t>
      </w:r>
    </w:p>
    <w:p>
      <w:r>
        <w:t>.\mvnw.cmd test</w:t>
      </w:r>
    </w:p>
    <w:p>
      <w:r>
        <w:t>The test initialization resets the test database before schema.sql and data.sql rebuild the dataset. The reset script includes a guard against use on a differently named database. Results are written to target/surefire-reports.</w:t>
      </w:r>
    </w:p>
    <w:p>
      <w:pPr>
        <w:pStyle w:val="Heading2"/>
      </w:pPr>
      <w:r>
        <w:t>Schema initialization and content updates</w:t>
      </w:r>
    </w:p>
    <w:p>
      <w:r>
        <w:t>Spring Boot runs schema.sql and then data.sql at startup because spring.sql.init.mode is set to always. Hibernate schema generation is disabled with spring.jpa.hibernate.ddl-auto=none. Table creation and final column additions are designed to be rerunnable.</w:t>
      </w:r>
    </w:p>
    <w:p>
      <w:r>
        <w:t>CREATE TABLE IF NOT EXISTS does not update an existing table definition. The final ALTER TABLE statements therefore add the new fields and make frame material optional explicitly. Starter inserts avoid duplicating existing records and preserve existing content where their conflict checks apply.</w:t>
      </w:r>
    </w:p>
    <w:p>
      <w:r>
        <w:t>Existing databases with an older brand and model collection may require the documented maintenance update. The project’s DATA-SOURCES.md explains the approved collection, the update script and restoration notes. Content migration is separate from simply restarting the application.</w:t>
      </w:r>
    </w:p>
    <w:p>
      <w:pPr>
        <w:pStyle w:val="Heading2"/>
      </w:pPr>
      <w:r>
        <w:t>Data quality and maintainability</w:t>
      </w:r>
    </w:p>
    <w:p>
      <w:r>
        <w:t>Source URLs document model facts, while IMAGE-CREDITS.md records photo attribution and licensing details. Unknown values remain empty. New educational content can be added through the existing entities and relationships without changing every template.</w:t>
      </w:r>
    </w:p>
    <w:p>
      <w:r>
        <w:t>Search currently loads the small catalogue and filters it in Java. Database-side filtering, pagination and indexing would be appropriate areas to evaluate if the dataset grows substantially.</w:t>
      </w:r>
    </w:p>
    <w:p>
      <w:r>
        <w:br w:type="page"/>
      </w:r>
    </w:p>
    <w:p>
      <w:pPr>
        <w:pStyle w:val="Heading1"/>
      </w:pPr>
      <w:r>
        <w:t>10 Project Status and Source Record</w:t>
      </w:r>
    </w:p>
    <w:p>
      <w:pPr>
        <w:pStyle w:val="Heading2"/>
      </w:pPr>
      <w:r>
        <w:t>Final implementation status</w:t>
      </w:r>
    </w:p>
    <w:p>
      <w:r>
        <w:t>VeloVerse has progressed from the BikePedia design plan to a working local educational application with browsing, anatomy exploration, model search, combined filters and two-bicycle comparison. Its seven-table design is implemented and the saved automated reports record 97 passing tests.</w:t>
      </w:r>
    </w:p>
    <w:p>
      <w:r>
        <w:t>Public deployment remains a future activity. Preparing hosting, production database configuration, externalised credentials and live-environment checks is outside the completed status documented here. The original plan’s deployment checklist is therefore not presented as an achieved milestone.</w:t>
      </w:r>
    </w:p>
    <w:p>
      <w:pPr>
        <w:pStyle w:val="Heading2"/>
      </w:pPr>
      <w:r>
        <w:t>Future development</w:t>
      </w:r>
    </w:p>
    <w:p>
      <w:r>
        <w:t>Possible extensions include a rotatable and zoomable 3D bicycle, selectable 3D parts and animations explaining moving mechanical systems. These would build on the existing component content. They are proposals rather than implemented features.</w:t>
      </w:r>
    </w:p>
    <w:p>
      <w:r>
        <w:t>Further work can also expand the verified model collection, strengthen accessibility and device testing, and adapt data retrieval for a larger catalogue. Such work should retain the distinction between confirmed specifications and unknown values.</w:t>
      </w:r>
    </w:p>
    <w:p>
      <w:pPr>
        <w:pStyle w:val="Heading2"/>
      </w:pPr>
      <w:r>
        <w:t>Sources and reconciliation</w:t>
      </w:r>
    </w:p>
    <w:tbl>
      <w:tblPr>
        <w:tblW w:type="auto" w:w="0"/>
        <w:jc w:val="center"/>
        <w:tblLayout w:type="fixed"/>
        <w:tblLook w:firstColumn="1" w:firstRow="1" w:lastColumn="0" w:lastRow="0" w:noHBand="0" w:noVBand="1" w:val="04A0"/>
      </w:tblPr>
      <w:tblGrid>
        <w:gridCol w:w="4831"/>
        <w:gridCol w:w="4831"/>
      </w:tblGrid>
      <w:tr>
        <w:trPr>
          <w:cantSplit/>
          <w:tblHeader/>
        </w:trPr>
        <w:tc>
          <w:tcPr>
            <w:tcW w:type="dxa" w:w="38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Source</w:t>
            </w:r>
          </w:p>
        </w:tc>
        <w:tc>
          <w:tcPr>
            <w:tcW w:type="dxa" w:w="57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color w:val="FFFFFF"/>
                <w:sz w:val="18"/>
              </w:rPr>
              <w:t>How it informed this report</w:t>
            </w:r>
          </w:p>
        </w:tc>
      </w:tr>
      <w:tr>
        <w:trPr>
          <w:cantSplit/>
        </w:trPr>
        <w:tc>
          <w:tcPr>
            <w:tcW w:type="dxa" w:w="381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BikePedia_Project_Documentation.pdf</w:t>
            </w:r>
          </w:p>
        </w:tc>
        <w:tc>
          <w:tcPr>
            <w:tcW w:type="dxa" w:w="576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Original purpose, functional requirements FR-01 to FR-06, quality goals, scope, architecture and future 3D plan.</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Uploaded database-design(2).md</w:t>
            </w:r>
          </w:p>
        </w:tc>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Original seven-table structure and relationships.</w:t>
            </w:r>
          </w:p>
        </w:tc>
      </w:tr>
      <w:tr>
        <w:trPr>
          <w:cantSplit/>
        </w:trPr>
        <w:tc>
          <w:tcPr>
            <w:tcW w:type="dxa" w:w="381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Final schema shared in the project chat; src/main/resources/schema.sql</w:t>
            </w:r>
          </w:p>
        </w:tc>
        <w:tc>
          <w:tcPr>
            <w:tcW w:type="dxa" w:w="576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Authoritative final fields, SQL types, keys and optional frame material.</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README.md and DATA-SOURCES.md</w:t>
            </w:r>
          </w:p>
        </w:tc>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Local setup, project status, current collection, source policy and test database process.</w:t>
            </w:r>
          </w:p>
        </w:tc>
      </w:tr>
      <w:tr>
        <w:trPr>
          <w:cantSplit/>
        </w:trPr>
        <w:tc>
          <w:tcPr>
            <w:tcW w:type="dxa" w:w="3816"/>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pom.xml and src/main implementation</w:t>
            </w:r>
          </w:p>
        </w:tc>
        <w:tc>
          <w:tcPr>
            <w:tcW w:type="dxa" w:w="5760"/>
            <w:vAlign w:val="center"/>
            <w:shd w:fill="F2F5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Declared technology versions, layered structure, routes and implemented behaviour.</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src/test and target/surefire-reports</w:t>
            </w:r>
          </w:p>
        </w:tc>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sz w:val="18"/>
              </w:rPr>
              <w:t>Test scope and the verified total of 97 passing automated tests.</w:t>
            </w:r>
          </w:p>
        </w:tc>
      </w:tr>
    </w:tbl>
    <w:p>
      <w:pPr>
        <w:spacing w:after="0"/>
      </w:pPr>
    </w:p>
    <w:p>
      <w:r>
        <w:t>The final schema and current implementation take precedence over earlier planning statements. The report incorporates the ten types in the current seed script, the added brand and bicycle fields, and the optional frame-material relationship. It does not carry forward the original plan’s future-tense features as unsupported completion claims.</w:t>
      </w:r>
    </w:p>
    <w:sectPr w:rsidR="00FC693F" w:rsidRPr="0006063C" w:rsidSect="00034616">
      <w:headerReference w:type="default" r:id="rId9"/>
      <w:footerReference w:type="default" r:id="rId10"/>
      <w:pgSz w:w="11909" w:h="16834"/>
      <w:pgMar w:top="1037" w:right="1123" w:bottom="1037"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VeloVerse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VELOVERSE  |  FINAL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VeloVerse Final Project Documentation</dc:title>
  <dc:subject>Final application architecture, database, features and testing</dc:subject>
  <dc:creator>VeloVerse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