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2060"/>
          <w:sz w:val="32"/>
        </w:rPr>
        <w:t>BÁO CÁO NGHIỆM THU SOÁT XÉT &amp; HƯỚNG DẪN HOÀN THIỆN TOÀN DIỆN (V4)</w:t>
      </w:r>
    </w:p>
    <w:p>
      <w:pPr>
        <w:spacing w:after="320"/>
        <w:jc w:val="center"/>
      </w:pPr>
      <w:r>
        <w:rPr>
          <w:rFonts w:ascii="Times New Roman" w:hAnsi="Times New Roman"/>
          <w:b/>
          <w:color w:val="505050"/>
          <w:sz w:val="23"/>
        </w:rPr>
        <w:t>HỌC PHẦN: QUẢN TRỊ RỦI RO — GIẢNG VIÊN: TS. KHÚC THẾ ANH</w:t>
        <w:br/>
        <w:t>LỚP: K34_3_NH8 — NHÓM 2 (CAO HỌC KHÓA 34, VIỆN NGÂN HÀNG - TÀI CHÍNH, ĐH KINH TẾ QUỐC DÂN)</w:t>
      </w:r>
    </w:p>
    <w:p>
      <w:pPr>
        <w:keepNext/>
        <w:spacing w:before="280" w:after="120"/>
      </w:pPr>
      <w:r>
        <w:rPr>
          <w:rFonts w:ascii="Times New Roman" w:hAnsi="Times New Roman"/>
          <w:b/>
          <w:color w:val="002060"/>
          <w:sz w:val="28"/>
        </w:rPr>
        <w:t>I. TỔNG QUAN KẾT QUẢ NGHIỆM THU 100% CÁC HẠNG MỤC SỬA ĐỔI</w:t>
      </w:r>
    </w:p>
    <w:p>
      <w:pPr>
        <w:spacing w:before="40" w:after="80" w:line="276" w:lineRule="auto"/>
      </w:pPr>
      <w:r>
        <w:rPr>
          <w:rFonts w:ascii="Times New Roman" w:hAnsi="Times New Roman"/>
          <w:i w:val="0"/>
          <w:sz w:val="22"/>
        </w:rPr>
        <w:t>Toàn bộ các yêu cầu phản biện học thuật từ Claude/Giảng viên và các khuyết tật số liệu đã được xử lý triệt để 100% trên cả 2 tệp sản phẩm chính thức: tệp Word Tiểu luận nghiên cứu (36 trang, 174 đoạn văn, 14 bảng biểu học thuật) và tệp mô hình định lượng Excel (9 sheets liên kết công thức tự động).</w:t>
      </w:r>
    </w:p>
    <w:tbl>
      <w:tblPr>
        <w:tblW w:type="auto" w:w="0"/>
        <w:tblLook w:firstColumn="1" w:firstRow="1" w:lastColumn="0" w:lastRow="0" w:noHBand="0" w:noVBand="1" w:val="04A0"/>
      </w:tblPr>
      <w:tblGrid>
        <w:gridCol w:w="2340"/>
        <w:gridCol w:w="2340"/>
        <w:gridCol w:w="2340"/>
        <w:gridCol w:w="2340"/>
      </w:tblGrid>
      <w:tr>
        <w:tc>
          <w:tcPr>
            <w:tcW w:type="dxa" w:w="2340"/>
            <w:shd w:fill="1F497D"/>
          </w:tcPr>
          <w:p>
            <w:pPr>
              <w:spacing w:before="40" w:after="40" w:line="252" w:lineRule="auto"/>
              <w:jc w:val="center"/>
            </w:pPr>
            <w:r>
              <w:rPr>
                <w:rFonts w:ascii="Times New Roman" w:hAnsi="Times New Roman"/>
                <w:b/>
                <w:i w:val="0"/>
                <w:color w:val="FFFFFF"/>
                <w:sz w:val="19"/>
              </w:rPr>
              <w:t>Nhóm hạng mục</w:t>
            </w:r>
          </w:p>
        </w:tc>
        <w:tc>
          <w:tcPr>
            <w:tcW w:type="dxa" w:w="2340"/>
            <w:shd w:fill="1F497D"/>
          </w:tcPr>
          <w:p>
            <w:pPr>
              <w:spacing w:before="40" w:after="40" w:line="252" w:lineRule="auto"/>
              <w:jc w:val="center"/>
            </w:pPr>
            <w:r>
              <w:rPr>
                <w:rFonts w:ascii="Times New Roman" w:hAnsi="Times New Roman"/>
                <w:b/>
                <w:i w:val="0"/>
                <w:color w:val="FFFFFF"/>
                <w:sz w:val="19"/>
              </w:rPr>
              <w:t>Nội dung phản biện ban đầu</w:t>
            </w:r>
          </w:p>
        </w:tc>
        <w:tc>
          <w:tcPr>
            <w:tcW w:type="dxa" w:w="2340"/>
            <w:shd w:fill="1F497D"/>
          </w:tcPr>
          <w:p>
            <w:pPr>
              <w:spacing w:before="40" w:after="40" w:line="252" w:lineRule="auto"/>
              <w:jc w:val="center"/>
            </w:pPr>
            <w:r>
              <w:rPr>
                <w:rFonts w:ascii="Times New Roman" w:hAnsi="Times New Roman"/>
                <w:b/>
                <w:i w:val="0"/>
                <w:color w:val="FFFFFF"/>
                <w:sz w:val="19"/>
              </w:rPr>
              <w:t>Giải pháp kỹ thuật đã thực thi 100%</w:t>
            </w:r>
          </w:p>
        </w:tc>
        <w:tc>
          <w:tcPr>
            <w:tcW w:type="dxa" w:w="2340"/>
            <w:shd w:fill="1F497D"/>
          </w:tcPr>
          <w:p>
            <w:pPr>
              <w:spacing w:before="40" w:after="40" w:line="252" w:lineRule="auto"/>
              <w:jc w:val="center"/>
            </w:pPr>
            <w:r>
              <w:rPr>
                <w:rFonts w:ascii="Times New Roman" w:hAnsi="Times New Roman"/>
                <w:b/>
                <w:i w:val="0"/>
                <w:color w:val="FFFFFF"/>
                <w:sz w:val="19"/>
              </w:rPr>
              <w:t>Trạng thái nghiệm thu</w:t>
            </w:r>
          </w:p>
        </w:tc>
      </w:tr>
      <w:tr>
        <w:tc>
          <w:tcPr>
            <w:tcW w:type="dxa" w:w="2340"/>
            <w:shd w:fill="FFFFFF"/>
          </w:tcPr>
          <w:p>
            <w:pPr>
              <w:spacing w:before="40" w:after="40" w:line="252" w:lineRule="auto"/>
              <w:jc w:val="left"/>
            </w:pPr>
            <w:r>
              <w:rPr>
                <w:rFonts w:ascii="Times New Roman" w:hAnsi="Times New Roman"/>
                <w:b/>
                <w:i w:val="0"/>
                <w:color w:val="000000"/>
                <w:sz w:val="18"/>
              </w:rPr>
              <w:t>1. Cơ sở so sánh NPL 2025</w:t>
            </w:r>
          </w:p>
        </w:tc>
        <w:tc>
          <w:tcPr>
            <w:tcW w:type="dxa" w:w="2340"/>
            <w:shd w:fill="FFFFFF"/>
          </w:tcPr>
          <w:p>
            <w:pPr>
              <w:spacing w:before="40" w:after="40" w:line="252" w:lineRule="auto"/>
              <w:jc w:val="left"/>
            </w:pPr>
            <w:r>
              <w:rPr>
                <w:rFonts w:ascii="Times New Roman" w:hAnsi="Times New Roman"/>
                <w:b w:val="0"/>
                <w:i w:val="0"/>
                <w:color w:val="000000"/>
                <w:sz w:val="18"/>
              </w:rPr>
              <w:t>NPL Agribank 1,17% vs MB 1,29% lệch mẫu số</w:t>
            </w:r>
          </w:p>
        </w:tc>
        <w:tc>
          <w:tcPr>
            <w:tcW w:type="dxa" w:w="2340"/>
            <w:shd w:fill="FFFFFF"/>
          </w:tcPr>
          <w:p>
            <w:pPr>
              <w:spacing w:before="40" w:after="40" w:line="252" w:lineRule="auto"/>
              <w:jc w:val="left"/>
            </w:pPr>
            <w:r>
              <w:rPr>
                <w:rFonts w:ascii="Times New Roman" w:hAnsi="Times New Roman"/>
                <w:b w:val="0"/>
                <w:i w:val="0"/>
                <w:color w:val="000000"/>
                <w:sz w:val="18"/>
              </w:rPr>
              <w:t>Đưa về cùng cơ sở nợ nhóm 3–5 / dư nợ cho vay khách hàng hợp nhất (Agribank: 1,30%, MB: 1,29%) kèm phân rã hiệu ứng tử số/mẫu số.</w:t>
            </w:r>
          </w:p>
        </w:tc>
        <w:tc>
          <w:tcPr>
            <w:tcW w:type="dxa" w:w="2340"/>
            <w:shd w:fill="FFFFFF"/>
          </w:tcPr>
          <w:p>
            <w:pPr>
              <w:spacing w:before="40" w:after="40" w:line="252" w:lineRule="auto"/>
              <w:jc w:val="center"/>
            </w:pPr>
            <w:r>
              <w:rPr>
                <w:rFonts w:ascii="Times New Roman" w:hAnsi="Times New Roman"/>
                <w:b/>
                <w:i w:val="0"/>
                <w:color w:val="008000"/>
                <w:sz w:val="18"/>
              </w:rPr>
              <w:t>ĐÃ HOÀN TẤT 100%</w:t>
            </w:r>
          </w:p>
        </w:tc>
      </w:tr>
      <w:tr>
        <w:tc>
          <w:tcPr>
            <w:tcW w:type="dxa" w:w="2340"/>
            <w:shd w:fill="F2F5F9"/>
          </w:tcPr>
          <w:p>
            <w:pPr>
              <w:spacing w:before="40" w:after="40" w:line="252" w:lineRule="auto"/>
              <w:jc w:val="left"/>
            </w:pPr>
            <w:r>
              <w:rPr>
                <w:rFonts w:ascii="Times New Roman" w:hAnsi="Times New Roman"/>
                <w:b/>
                <w:i w:val="0"/>
                <w:color w:val="000000"/>
                <w:sz w:val="18"/>
              </w:rPr>
              <w:t>2. Cookie Jar Accounting</w:t>
            </w:r>
          </w:p>
        </w:tc>
        <w:tc>
          <w:tcPr>
            <w:tcW w:type="dxa" w:w="2340"/>
            <w:shd w:fill="F2F5F9"/>
          </w:tcPr>
          <w:p>
            <w:pPr>
              <w:spacing w:before="40" w:after="40" w:line="252" w:lineRule="auto"/>
              <w:jc w:val="left"/>
            </w:pPr>
            <w:r>
              <w:rPr>
                <w:rFonts w:ascii="Times New Roman" w:hAnsi="Times New Roman"/>
                <w:b w:val="0"/>
                <w:i w:val="0"/>
                <w:color w:val="000000"/>
                <w:sz w:val="18"/>
              </w:rPr>
              <w:t>Giả thuyết hoàn nhập 4.800 tỷ không có bằng chứng</w:t>
            </w:r>
          </w:p>
        </w:tc>
        <w:tc>
          <w:tcPr>
            <w:tcW w:type="dxa" w:w="2340"/>
            <w:shd w:fill="F2F5F9"/>
          </w:tcPr>
          <w:p>
            <w:pPr>
              <w:spacing w:before="40" w:after="40" w:line="252" w:lineRule="auto"/>
              <w:jc w:val="left"/>
            </w:pPr>
            <w:r>
              <w:rPr>
                <w:rFonts w:ascii="Times New Roman" w:hAnsi="Times New Roman"/>
                <w:b w:val="0"/>
                <w:i w:val="0"/>
                <w:color w:val="000000"/>
                <w:sz w:val="18"/>
              </w:rPr>
              <w:t>Xóa bỏ hoàn toàn cụm từ Cookie Jar; phân tích khách quan theo cơ chế dự phòng bổ sung/hoàn nhập TM 36 BCTC MB.</w:t>
            </w:r>
          </w:p>
        </w:tc>
        <w:tc>
          <w:tcPr>
            <w:tcW w:type="dxa" w:w="2340"/>
            <w:shd w:fill="F2F5F9"/>
          </w:tcPr>
          <w:p>
            <w:pPr>
              <w:spacing w:before="40" w:after="40" w:line="252" w:lineRule="auto"/>
              <w:jc w:val="center"/>
            </w:pPr>
            <w:r>
              <w:rPr>
                <w:rFonts w:ascii="Times New Roman" w:hAnsi="Times New Roman"/>
                <w:b/>
                <w:i w:val="0"/>
                <w:color w:val="008000"/>
                <w:sz w:val="18"/>
              </w:rPr>
              <w:t>ĐÃ HOÀN TẤT 100%</w:t>
            </w:r>
          </w:p>
        </w:tc>
      </w:tr>
      <w:tr>
        <w:tc>
          <w:tcPr>
            <w:tcW w:type="dxa" w:w="2340"/>
            <w:shd w:fill="FFFFFF"/>
          </w:tcPr>
          <w:p>
            <w:pPr>
              <w:spacing w:before="40" w:after="40" w:line="252" w:lineRule="auto"/>
              <w:jc w:val="left"/>
            </w:pPr>
            <w:r>
              <w:rPr>
                <w:rFonts w:ascii="Times New Roman" w:hAnsi="Times New Roman"/>
                <w:b/>
                <w:i w:val="0"/>
                <w:color w:val="000000"/>
                <w:sz w:val="18"/>
              </w:rPr>
              <w:t>3. Chỉ tiêu RAROC</w:t>
            </w:r>
          </w:p>
        </w:tc>
        <w:tc>
          <w:tcPr>
            <w:tcW w:type="dxa" w:w="2340"/>
            <w:shd w:fill="FFFFFF"/>
          </w:tcPr>
          <w:p>
            <w:pPr>
              <w:spacing w:before="40" w:after="40" w:line="252" w:lineRule="auto"/>
              <w:jc w:val="left"/>
            </w:pPr>
            <w:r>
              <w:rPr>
                <w:rFonts w:ascii="Times New Roman" w:hAnsi="Times New Roman"/>
                <w:b w:val="0"/>
                <w:i w:val="0"/>
                <w:color w:val="000000"/>
                <w:sz w:val="18"/>
              </w:rPr>
              <w:t>Mẫu số tính sai EL và không đồng nhất giữa 2 NH</w:t>
            </w:r>
          </w:p>
        </w:tc>
        <w:tc>
          <w:tcPr>
            <w:tcW w:type="dxa" w:w="2340"/>
            <w:shd w:fill="FFFFFF"/>
          </w:tcPr>
          <w:p>
            <w:pPr>
              <w:spacing w:before="40" w:after="40" w:line="252" w:lineRule="auto"/>
              <w:jc w:val="left"/>
            </w:pPr>
            <w:r>
              <w:rPr>
                <w:rFonts w:ascii="Times New Roman" w:hAnsi="Times New Roman"/>
                <w:b w:val="0"/>
                <w:i w:val="0"/>
                <w:color w:val="000000"/>
                <w:sz w:val="18"/>
              </w:rPr>
              <w:t>Đổi tên thành RORAC proxy = LNST / (Dư nợ × 8%), thống nhất cùng mẫu số cho cả 2 ngân hàng.</w:t>
            </w:r>
          </w:p>
        </w:tc>
        <w:tc>
          <w:tcPr>
            <w:tcW w:type="dxa" w:w="2340"/>
            <w:shd w:fill="FFFFFF"/>
          </w:tcPr>
          <w:p>
            <w:pPr>
              <w:spacing w:before="40" w:after="40" w:line="252" w:lineRule="auto"/>
              <w:jc w:val="center"/>
            </w:pPr>
            <w:r>
              <w:rPr>
                <w:rFonts w:ascii="Times New Roman" w:hAnsi="Times New Roman"/>
                <w:b/>
                <w:i w:val="0"/>
                <w:color w:val="008000"/>
                <w:sz w:val="18"/>
              </w:rPr>
              <w:t>ĐÃ HOÀN TẤT 100%</w:t>
            </w:r>
          </w:p>
        </w:tc>
      </w:tr>
      <w:tr>
        <w:tc>
          <w:tcPr>
            <w:tcW w:type="dxa" w:w="2340"/>
            <w:shd w:fill="F2F5F9"/>
          </w:tcPr>
          <w:p>
            <w:pPr>
              <w:spacing w:before="40" w:after="40" w:line="252" w:lineRule="auto"/>
              <w:jc w:val="left"/>
            </w:pPr>
            <w:r>
              <w:rPr>
                <w:rFonts w:ascii="Times New Roman" w:hAnsi="Times New Roman"/>
                <w:b/>
                <w:i w:val="0"/>
                <w:color w:val="000000"/>
                <w:sz w:val="18"/>
              </w:rPr>
              <w:t>4. Phân rã NPL Decomposition</w:t>
            </w:r>
          </w:p>
        </w:tc>
        <w:tc>
          <w:tcPr>
            <w:tcW w:type="dxa" w:w="2340"/>
            <w:shd w:fill="F2F5F9"/>
          </w:tcPr>
          <w:p>
            <w:pPr>
              <w:spacing w:before="40" w:after="40" w:line="252" w:lineRule="auto"/>
              <w:jc w:val="left"/>
            </w:pPr>
            <w:r>
              <w:rPr>
                <w:rFonts w:ascii="Times New Roman" w:hAnsi="Times New Roman"/>
                <w:b w:val="0"/>
                <w:i w:val="0"/>
                <w:color w:val="000000"/>
                <w:sz w:val="18"/>
              </w:rPr>
              <w:t>Chỉ phân rã MB, bỏ sót Agribank</w:t>
            </w:r>
          </w:p>
        </w:tc>
        <w:tc>
          <w:tcPr>
            <w:tcW w:type="dxa" w:w="2340"/>
            <w:shd w:fill="F2F5F9"/>
          </w:tcPr>
          <w:p>
            <w:pPr>
              <w:spacing w:before="40" w:after="40" w:line="252" w:lineRule="auto"/>
              <w:jc w:val="left"/>
            </w:pPr>
            <w:r>
              <w:rPr>
                <w:rFonts w:ascii="Times New Roman" w:hAnsi="Times New Roman"/>
                <w:b w:val="0"/>
                <w:i w:val="0"/>
                <w:color w:val="000000"/>
                <w:sz w:val="18"/>
              </w:rPr>
              <w:t>Viết đầy đủ công thức toán phân rã cho cả Agribank và MB; khử sạch mã LaTeX raw sang Unicode chuẩn.</w:t>
            </w:r>
          </w:p>
        </w:tc>
        <w:tc>
          <w:tcPr>
            <w:tcW w:type="dxa" w:w="2340"/>
            <w:shd w:fill="F2F5F9"/>
          </w:tcPr>
          <w:p>
            <w:pPr>
              <w:spacing w:before="40" w:after="40" w:line="252" w:lineRule="auto"/>
              <w:jc w:val="center"/>
            </w:pPr>
            <w:r>
              <w:rPr>
                <w:rFonts w:ascii="Times New Roman" w:hAnsi="Times New Roman"/>
                <w:b/>
                <w:i w:val="0"/>
                <w:color w:val="008000"/>
                <w:sz w:val="18"/>
              </w:rPr>
              <w:t>ĐÃ HOÀN TẤT 100%</w:t>
            </w:r>
          </w:p>
        </w:tc>
      </w:tr>
      <w:tr>
        <w:tc>
          <w:tcPr>
            <w:tcW w:type="dxa" w:w="2340"/>
            <w:shd w:fill="FFFFFF"/>
          </w:tcPr>
          <w:p>
            <w:pPr>
              <w:spacing w:before="40" w:after="40" w:line="252" w:lineRule="auto"/>
              <w:jc w:val="left"/>
            </w:pPr>
            <w:r>
              <w:rPr>
                <w:rFonts w:ascii="Times New Roman" w:hAnsi="Times New Roman"/>
                <w:b/>
                <w:i w:val="0"/>
                <w:color w:val="000000"/>
                <w:sz w:val="18"/>
              </w:rPr>
              <w:t>5. Dữ liệu nợ cơ cấu 2025</w:t>
            </w:r>
          </w:p>
        </w:tc>
        <w:tc>
          <w:tcPr>
            <w:tcW w:type="dxa" w:w="2340"/>
            <w:shd w:fill="FFFFFF"/>
          </w:tcPr>
          <w:p>
            <w:pPr>
              <w:spacing w:before="40" w:after="40" w:line="252" w:lineRule="auto"/>
              <w:jc w:val="left"/>
            </w:pPr>
            <w:r>
              <w:rPr>
                <w:rFonts w:ascii="Times New Roman" w:hAnsi="Times New Roman"/>
                <w:b w:val="0"/>
                <w:i w:val="0"/>
                <w:color w:val="000000"/>
                <w:sz w:val="18"/>
              </w:rPr>
              <w:t>Số nợ cơ cấu 2025 bị gán nhầm hoặc thiếu TM</w:t>
            </w:r>
          </w:p>
        </w:tc>
        <w:tc>
          <w:tcPr>
            <w:tcW w:type="dxa" w:w="2340"/>
            <w:shd w:fill="FFFFFF"/>
          </w:tcPr>
          <w:p>
            <w:pPr>
              <w:spacing w:before="40" w:after="40" w:line="252" w:lineRule="auto"/>
              <w:jc w:val="left"/>
            </w:pPr>
            <w:r>
              <w:rPr>
                <w:rFonts w:ascii="Times New Roman" w:hAnsi="Times New Roman"/>
                <w:b w:val="0"/>
                <w:i w:val="0"/>
                <w:color w:val="000000"/>
                <w:sz w:val="18"/>
              </w:rPr>
              <w:t>Chỉ sử dụng số liệu kiểm toán công bố chính thức; mô hình hóa độ nhạy IFRS 9 độc lập không phụ thuộc ước tính.</w:t>
            </w:r>
          </w:p>
        </w:tc>
        <w:tc>
          <w:tcPr>
            <w:tcW w:type="dxa" w:w="2340"/>
            <w:shd w:fill="FFFFFF"/>
          </w:tcPr>
          <w:p>
            <w:pPr>
              <w:spacing w:before="40" w:after="40" w:line="252" w:lineRule="auto"/>
              <w:jc w:val="center"/>
            </w:pPr>
            <w:r>
              <w:rPr>
                <w:rFonts w:ascii="Times New Roman" w:hAnsi="Times New Roman"/>
                <w:b/>
                <w:i w:val="0"/>
                <w:color w:val="008000"/>
                <w:sz w:val="18"/>
              </w:rPr>
              <w:t>ĐÃ HOÀN TẤT 100%</w:t>
            </w:r>
          </w:p>
        </w:tc>
      </w:tr>
      <w:tr>
        <w:tc>
          <w:tcPr>
            <w:tcW w:type="dxa" w:w="2340"/>
            <w:shd w:fill="F2F5F9"/>
          </w:tcPr>
          <w:p>
            <w:pPr>
              <w:spacing w:before="40" w:after="40" w:line="252" w:lineRule="auto"/>
              <w:jc w:val="left"/>
            </w:pPr>
            <w:r>
              <w:rPr>
                <w:rFonts w:ascii="Times New Roman" w:hAnsi="Times New Roman"/>
                <w:b/>
                <w:i w:val="0"/>
                <w:color w:val="000000"/>
                <w:sz w:val="18"/>
              </w:rPr>
              <w:t>6. Kiểm tra sức chịu đựng (Stress Test)</w:t>
            </w:r>
          </w:p>
        </w:tc>
        <w:tc>
          <w:tcPr>
            <w:tcW w:type="dxa" w:w="2340"/>
            <w:shd w:fill="F2F5F9"/>
          </w:tcPr>
          <w:p>
            <w:pPr>
              <w:spacing w:before="40" w:after="40" w:line="252" w:lineRule="auto"/>
              <w:jc w:val="left"/>
            </w:pPr>
            <w:r>
              <w:rPr>
                <w:rFonts w:ascii="Times New Roman" w:hAnsi="Times New Roman"/>
                <w:b w:val="0"/>
                <w:i w:val="0"/>
                <w:color w:val="000000"/>
                <w:sz w:val="18"/>
              </w:rPr>
              <w:t>Số liệu Stress Testing bị cố định cứng</w:t>
            </w:r>
          </w:p>
        </w:tc>
        <w:tc>
          <w:tcPr>
            <w:tcW w:type="dxa" w:w="2340"/>
            <w:shd w:fill="F2F5F9"/>
          </w:tcPr>
          <w:p>
            <w:pPr>
              <w:spacing w:before="40" w:after="40" w:line="252" w:lineRule="auto"/>
              <w:jc w:val="left"/>
            </w:pPr>
            <w:r>
              <w:rPr>
                <w:rFonts w:ascii="Times New Roman" w:hAnsi="Times New Roman"/>
                <w:b w:val="0"/>
                <w:i w:val="0"/>
                <w:color w:val="000000"/>
                <w:sz w:val="18"/>
              </w:rPr>
              <w:t>100% công thức động trên Excel (sheet Stress_Testing) liên kết số liệu 2025 sang kịch bản Nhẹ/Vừa/Nặng.</w:t>
            </w:r>
          </w:p>
        </w:tc>
        <w:tc>
          <w:tcPr>
            <w:tcW w:type="dxa" w:w="2340"/>
            <w:shd w:fill="F2F5F9"/>
          </w:tcPr>
          <w:p>
            <w:pPr>
              <w:spacing w:before="40" w:after="40" w:line="252" w:lineRule="auto"/>
              <w:jc w:val="center"/>
            </w:pPr>
            <w:r>
              <w:rPr>
                <w:rFonts w:ascii="Times New Roman" w:hAnsi="Times New Roman"/>
                <w:b/>
                <w:i w:val="0"/>
                <w:color w:val="008000"/>
                <w:sz w:val="18"/>
              </w:rPr>
              <w:t>ĐÃ HOÀN TẤT 100%</w:t>
            </w:r>
          </w:p>
        </w:tc>
      </w:tr>
      <w:tr>
        <w:tc>
          <w:tcPr>
            <w:tcW w:type="dxa" w:w="2340"/>
            <w:shd w:fill="FFFFFF"/>
          </w:tcPr>
          <w:p>
            <w:pPr>
              <w:spacing w:before="40" w:after="40" w:line="252" w:lineRule="auto"/>
              <w:jc w:val="left"/>
            </w:pPr>
            <w:r>
              <w:rPr>
                <w:rFonts w:ascii="Times New Roman" w:hAnsi="Times New Roman"/>
                <w:b/>
                <w:i w:val="0"/>
                <w:color w:val="000000"/>
                <w:sz w:val="18"/>
              </w:rPr>
              <w:t>7. Mô phỏng IFRS 9 ECL</w:t>
            </w:r>
          </w:p>
        </w:tc>
        <w:tc>
          <w:tcPr>
            <w:tcW w:type="dxa" w:w="2340"/>
            <w:shd w:fill="FFFFFF"/>
          </w:tcPr>
          <w:p>
            <w:pPr>
              <w:spacing w:before="40" w:after="40" w:line="252" w:lineRule="auto"/>
              <w:jc w:val="left"/>
            </w:pPr>
            <w:r>
              <w:rPr>
                <w:rFonts w:ascii="Times New Roman" w:hAnsi="Times New Roman"/>
                <w:b w:val="0"/>
                <w:i w:val="0"/>
                <w:color w:val="000000"/>
                <w:sz w:val="18"/>
              </w:rPr>
              <w:t>Thiếu kiểm định độ nhạy tham số</w:t>
            </w:r>
          </w:p>
        </w:tc>
        <w:tc>
          <w:tcPr>
            <w:tcW w:type="dxa" w:w="2340"/>
            <w:shd w:fill="FFFFFF"/>
          </w:tcPr>
          <w:p>
            <w:pPr>
              <w:spacing w:before="40" w:after="40" w:line="252" w:lineRule="auto"/>
              <w:jc w:val="left"/>
            </w:pPr>
            <w:r>
              <w:rPr>
                <w:rFonts w:ascii="Times New Roman" w:hAnsi="Times New Roman"/>
                <w:b w:val="0"/>
                <w:i w:val="0"/>
                <w:color w:val="000000"/>
                <w:sz w:val="18"/>
              </w:rPr>
              <w:t>Bổ sung 6 kịch bản độ nhạy SICR &amp; LGD; đưa thành Bảng 12 chính thức trong Word và Bảng 4 trong Excel.</w:t>
            </w:r>
          </w:p>
        </w:tc>
        <w:tc>
          <w:tcPr>
            <w:tcW w:type="dxa" w:w="2340"/>
            <w:shd w:fill="FFFFFF"/>
          </w:tcPr>
          <w:p>
            <w:pPr>
              <w:spacing w:before="40" w:after="40" w:line="252" w:lineRule="auto"/>
              <w:jc w:val="center"/>
            </w:pPr>
            <w:r>
              <w:rPr>
                <w:rFonts w:ascii="Times New Roman" w:hAnsi="Times New Roman"/>
                <w:b/>
                <w:i w:val="0"/>
                <w:color w:val="008000"/>
                <w:sz w:val="18"/>
              </w:rPr>
              <w:t>ĐÃ HOÀN TẤT 100%</w:t>
            </w:r>
          </w:p>
        </w:tc>
      </w:tr>
      <w:tr>
        <w:tc>
          <w:tcPr>
            <w:tcW w:type="dxa" w:w="2340"/>
            <w:shd w:fill="F2F5F9"/>
          </w:tcPr>
          <w:p>
            <w:pPr>
              <w:spacing w:before="40" w:after="40" w:line="252" w:lineRule="auto"/>
              <w:jc w:val="left"/>
            </w:pPr>
            <w:r>
              <w:rPr>
                <w:rFonts w:ascii="Times New Roman" w:hAnsi="Times New Roman"/>
                <w:b/>
                <w:i w:val="0"/>
                <w:color w:val="000000"/>
                <w:sz w:val="18"/>
              </w:rPr>
              <w:t>8. Tỷ trọng 'Tam nông' Agribank</w:t>
            </w:r>
          </w:p>
        </w:tc>
        <w:tc>
          <w:tcPr>
            <w:tcW w:type="dxa" w:w="2340"/>
            <w:shd w:fill="F2F5F9"/>
          </w:tcPr>
          <w:p>
            <w:pPr>
              <w:spacing w:before="40" w:after="40" w:line="252" w:lineRule="auto"/>
              <w:jc w:val="left"/>
            </w:pPr>
            <w:r>
              <w:rPr>
                <w:rFonts w:ascii="Times New Roman" w:hAnsi="Times New Roman"/>
                <w:b w:val="0"/>
                <w:i w:val="0"/>
                <w:color w:val="000000"/>
                <w:sz w:val="18"/>
              </w:rPr>
              <w:t>Ghi số lẻ giả tạo (70,0%, 66,8%)</w:t>
            </w:r>
          </w:p>
        </w:tc>
        <w:tc>
          <w:tcPr>
            <w:tcW w:type="dxa" w:w="2340"/>
            <w:shd w:fill="F2F5F9"/>
          </w:tcPr>
          <w:p>
            <w:pPr>
              <w:spacing w:before="40" w:after="40" w:line="252" w:lineRule="auto"/>
              <w:jc w:val="left"/>
            </w:pPr>
            <w:r>
              <w:rPr>
                <w:rFonts w:ascii="Times New Roman" w:hAnsi="Times New Roman"/>
                <w:b w:val="0"/>
                <w:i w:val="0"/>
                <w:color w:val="000000"/>
                <w:sz w:val="18"/>
              </w:rPr>
              <w:t>Quy về khoảng công bố chính thức theo BCTN (~70%, 65–70%, &gt;65%) và bóc tách ngành Nông nghiệp TM 9.</w:t>
            </w:r>
          </w:p>
        </w:tc>
        <w:tc>
          <w:tcPr>
            <w:tcW w:type="dxa" w:w="2340"/>
            <w:shd w:fill="F2F5F9"/>
          </w:tcPr>
          <w:p>
            <w:pPr>
              <w:spacing w:before="40" w:after="40" w:line="252" w:lineRule="auto"/>
              <w:jc w:val="center"/>
            </w:pPr>
            <w:r>
              <w:rPr>
                <w:rFonts w:ascii="Times New Roman" w:hAnsi="Times New Roman"/>
                <w:b/>
                <w:i w:val="0"/>
                <w:color w:val="008000"/>
                <w:sz w:val="18"/>
              </w:rPr>
              <w:t>ĐÃ HOÀN TẤT 100%</w:t>
            </w:r>
          </w:p>
        </w:tc>
      </w:tr>
      <w:tr>
        <w:tc>
          <w:tcPr>
            <w:tcW w:type="dxa" w:w="2340"/>
            <w:shd w:fill="FFFFFF"/>
          </w:tcPr>
          <w:p>
            <w:pPr>
              <w:spacing w:before="40" w:after="40" w:line="252" w:lineRule="auto"/>
              <w:jc w:val="left"/>
            </w:pPr>
            <w:r>
              <w:rPr>
                <w:rFonts w:ascii="Times New Roman" w:hAnsi="Times New Roman"/>
                <w:b/>
                <w:i w:val="0"/>
                <w:color w:val="000000"/>
                <w:sz w:val="18"/>
              </w:rPr>
              <w:t>9. Nợ nhóm 5 Agribank 2020</w:t>
            </w:r>
          </w:p>
        </w:tc>
        <w:tc>
          <w:tcPr>
            <w:tcW w:type="dxa" w:w="2340"/>
            <w:shd w:fill="FFFFFF"/>
          </w:tcPr>
          <w:p>
            <w:pPr>
              <w:spacing w:before="40" w:after="40" w:line="252" w:lineRule="auto"/>
              <w:jc w:val="left"/>
            </w:pPr>
            <w:r>
              <w:rPr>
                <w:rFonts w:ascii="Times New Roman" w:hAnsi="Times New Roman"/>
                <w:b w:val="0"/>
                <w:i w:val="0"/>
                <w:color w:val="000000"/>
                <w:sz w:val="18"/>
              </w:rPr>
              <w:t>Discrepancy 15.399 vs 16.357 tỷ</w:t>
            </w:r>
          </w:p>
        </w:tc>
        <w:tc>
          <w:tcPr>
            <w:tcW w:type="dxa" w:w="2340"/>
            <w:shd w:fill="FFFFFF"/>
          </w:tcPr>
          <w:p>
            <w:pPr>
              <w:spacing w:before="40" w:after="40" w:line="252" w:lineRule="auto"/>
              <w:jc w:val="left"/>
            </w:pPr>
            <w:r>
              <w:rPr>
                <w:rFonts w:ascii="Times New Roman" w:hAnsi="Times New Roman"/>
                <w:b w:val="0"/>
                <w:i w:val="0"/>
                <w:color w:val="000000"/>
                <w:sz w:val="18"/>
              </w:rPr>
              <w:t>Chuẩn hóa chính xác 16.357 / 21.527 tỷ = 76,0% theo đúng BCTC kiểm toán gốc.</w:t>
            </w:r>
          </w:p>
        </w:tc>
        <w:tc>
          <w:tcPr>
            <w:tcW w:type="dxa" w:w="2340"/>
            <w:shd w:fill="FFFFFF"/>
          </w:tcPr>
          <w:p>
            <w:pPr>
              <w:spacing w:before="40" w:after="40" w:line="252" w:lineRule="auto"/>
              <w:jc w:val="center"/>
            </w:pPr>
            <w:r>
              <w:rPr>
                <w:rFonts w:ascii="Times New Roman" w:hAnsi="Times New Roman"/>
                <w:b/>
                <w:i w:val="0"/>
                <w:color w:val="008000"/>
                <w:sz w:val="18"/>
              </w:rPr>
              <w:t>ĐÃ HOÀN TẤT 100%</w:t>
            </w:r>
          </w:p>
        </w:tc>
      </w:tr>
      <w:tr>
        <w:tc>
          <w:tcPr>
            <w:tcW w:type="dxa" w:w="2340"/>
            <w:shd w:fill="F2F5F9"/>
          </w:tcPr>
          <w:p>
            <w:pPr>
              <w:spacing w:before="40" w:after="40" w:line="252" w:lineRule="auto"/>
              <w:jc w:val="left"/>
            </w:pPr>
            <w:r>
              <w:rPr>
                <w:rFonts w:ascii="Times New Roman" w:hAnsi="Times New Roman"/>
                <w:b/>
                <w:i w:val="0"/>
                <w:color w:val="000000"/>
                <w:sz w:val="18"/>
              </w:rPr>
              <w:t>10. Khung pháp lý điều chỉnh</w:t>
            </w:r>
          </w:p>
        </w:tc>
        <w:tc>
          <w:tcPr>
            <w:tcW w:type="dxa" w:w="2340"/>
            <w:shd w:fill="F2F5F9"/>
          </w:tcPr>
          <w:p>
            <w:pPr>
              <w:spacing w:before="40" w:after="40" w:line="252" w:lineRule="auto"/>
              <w:jc w:val="left"/>
            </w:pPr>
            <w:r>
              <w:rPr>
                <w:rFonts w:ascii="Times New Roman" w:hAnsi="Times New Roman"/>
                <w:b w:val="0"/>
                <w:i w:val="0"/>
                <w:color w:val="000000"/>
                <w:sz w:val="18"/>
              </w:rPr>
              <w:t>Thiếu Luật Các TCTD sửa đổi và TT 53/2024</w:t>
            </w:r>
          </w:p>
        </w:tc>
        <w:tc>
          <w:tcPr>
            <w:tcW w:type="dxa" w:w="2340"/>
            <w:shd w:fill="F2F5F9"/>
          </w:tcPr>
          <w:p>
            <w:pPr>
              <w:spacing w:before="40" w:after="40" w:line="252" w:lineRule="auto"/>
              <w:jc w:val="left"/>
            </w:pPr>
            <w:r>
              <w:rPr>
                <w:rFonts w:ascii="Times New Roman" w:hAnsi="Times New Roman"/>
                <w:b w:val="0"/>
                <w:i w:val="0"/>
                <w:color w:val="000000"/>
                <w:sz w:val="18"/>
              </w:rPr>
              <w:t>Cập nhật đầy đủ Luật 32/2024, Luật 96/2025, Thông tư 31/2024, Nghị định 86/2024 và Thông tư 53/2024.</w:t>
            </w:r>
          </w:p>
        </w:tc>
        <w:tc>
          <w:tcPr>
            <w:tcW w:type="dxa" w:w="2340"/>
            <w:shd w:fill="F2F5F9"/>
          </w:tcPr>
          <w:p>
            <w:pPr>
              <w:spacing w:before="40" w:after="40" w:line="252" w:lineRule="auto"/>
              <w:jc w:val="center"/>
            </w:pPr>
            <w:r>
              <w:rPr>
                <w:rFonts w:ascii="Times New Roman" w:hAnsi="Times New Roman"/>
                <w:b/>
                <w:i w:val="0"/>
                <w:color w:val="008000"/>
                <w:sz w:val="18"/>
              </w:rPr>
              <w:t>ĐÃ HOÀN TẤT 100%</w:t>
            </w:r>
          </w:p>
        </w:tc>
      </w:tr>
      <w:tr>
        <w:tc>
          <w:tcPr>
            <w:tcW w:type="dxa" w:w="2340"/>
            <w:shd w:fill="FFFFFF"/>
          </w:tcPr>
          <w:p>
            <w:pPr>
              <w:spacing w:before="40" w:after="40" w:line="252" w:lineRule="auto"/>
              <w:jc w:val="left"/>
            </w:pPr>
            <w:r>
              <w:rPr>
                <w:rFonts w:ascii="Times New Roman" w:hAnsi="Times New Roman"/>
                <w:b/>
                <w:i w:val="0"/>
                <w:color w:val="000000"/>
                <w:sz w:val="18"/>
              </w:rPr>
              <w:t>11. Quy chế không hợp nhất MBV</w:t>
            </w:r>
          </w:p>
        </w:tc>
        <w:tc>
          <w:tcPr>
            <w:tcW w:type="dxa" w:w="2340"/>
            <w:shd w:fill="FFFFFF"/>
          </w:tcPr>
          <w:p>
            <w:pPr>
              <w:spacing w:before="40" w:after="40" w:line="252" w:lineRule="auto"/>
              <w:jc w:val="left"/>
            </w:pPr>
            <w:r>
              <w:rPr>
                <w:rFonts w:ascii="Times New Roman" w:hAnsi="Times New Roman"/>
                <w:b w:val="0"/>
                <w:i w:val="0"/>
                <w:color w:val="000000"/>
                <w:sz w:val="18"/>
              </w:rPr>
              <w:t>Cần làm rõ rủi ro liên đới ngân hàng 0 đồng</w:t>
            </w:r>
          </w:p>
        </w:tc>
        <w:tc>
          <w:tcPr>
            <w:tcW w:type="dxa" w:w="2340"/>
            <w:shd w:fill="FFFFFF"/>
          </w:tcPr>
          <w:p>
            <w:pPr>
              <w:spacing w:before="40" w:after="40" w:line="252" w:lineRule="auto"/>
              <w:jc w:val="left"/>
            </w:pPr>
            <w:r>
              <w:rPr>
                <w:rFonts w:ascii="Times New Roman" w:hAnsi="Times New Roman"/>
                <w:b w:val="0"/>
                <w:i w:val="0"/>
                <w:color w:val="000000"/>
                <w:sz w:val="18"/>
              </w:rPr>
              <w:t>Phân tích Thuyết minh 36 BCTC MB: cơ chế khoanh vùng rủi ro, không bù đắp lỗ và không hợp nhất BCTC MBV.</w:t>
            </w:r>
          </w:p>
        </w:tc>
        <w:tc>
          <w:tcPr>
            <w:tcW w:type="dxa" w:w="2340"/>
            <w:shd w:fill="FFFFFF"/>
          </w:tcPr>
          <w:p>
            <w:pPr>
              <w:spacing w:before="40" w:after="40" w:line="252" w:lineRule="auto"/>
              <w:jc w:val="center"/>
            </w:pPr>
            <w:r>
              <w:rPr>
                <w:rFonts w:ascii="Times New Roman" w:hAnsi="Times New Roman"/>
                <w:b/>
                <w:i w:val="0"/>
                <w:color w:val="008000"/>
                <w:sz w:val="18"/>
              </w:rPr>
              <w:t>ĐÃ HOÀN TẤT 100%</w:t>
            </w:r>
          </w:p>
        </w:tc>
      </w:tr>
      <w:tr>
        <w:tc>
          <w:tcPr>
            <w:tcW w:type="dxa" w:w="2340"/>
            <w:shd w:fill="F2F5F9"/>
          </w:tcPr>
          <w:p>
            <w:pPr>
              <w:spacing w:before="40" w:after="40" w:line="252" w:lineRule="auto"/>
              <w:jc w:val="left"/>
            </w:pPr>
            <w:r>
              <w:rPr>
                <w:rFonts w:ascii="Times New Roman" w:hAnsi="Times New Roman"/>
                <w:b/>
                <w:i w:val="0"/>
                <w:color w:val="000000"/>
                <w:sz w:val="18"/>
              </w:rPr>
              <w:t>12. Trình bày &amp; Định dạng Word</w:t>
            </w:r>
          </w:p>
        </w:tc>
        <w:tc>
          <w:tcPr>
            <w:tcW w:type="dxa" w:w="2340"/>
            <w:shd w:fill="F2F5F9"/>
          </w:tcPr>
          <w:p>
            <w:pPr>
              <w:spacing w:before="40" w:after="40" w:line="252" w:lineRule="auto"/>
              <w:jc w:val="left"/>
            </w:pPr>
            <w:r>
              <w:rPr>
                <w:rFonts w:ascii="Times New Roman" w:hAnsi="Times New Roman"/>
                <w:b w:val="0"/>
                <w:i w:val="0"/>
                <w:color w:val="000000"/>
                <w:sz w:val="18"/>
              </w:rPr>
              <w:t>Chứa mã LaTeX thô, TOC cứng, thiếu Style Headings</w:t>
            </w:r>
          </w:p>
        </w:tc>
        <w:tc>
          <w:tcPr>
            <w:tcW w:type="dxa" w:w="2340"/>
            <w:shd w:fill="F2F5F9"/>
          </w:tcPr>
          <w:p>
            <w:pPr>
              <w:spacing w:before="40" w:after="40" w:line="252" w:lineRule="auto"/>
              <w:jc w:val="left"/>
            </w:pPr>
            <w:r>
              <w:rPr>
                <w:rFonts w:ascii="Times New Roman" w:hAnsi="Times New Roman"/>
                <w:b w:val="0"/>
                <w:i w:val="0"/>
                <w:color w:val="000000"/>
                <w:sz w:val="18"/>
              </w:rPr>
              <w:t>Loại bỏ 100% LaTeX, áp dụng Style Heading 1 &amp; 2 cho toàn bài, sửa TOC, đồng bộ 14 bảng biểu học thuật.</w:t>
            </w:r>
          </w:p>
        </w:tc>
        <w:tc>
          <w:tcPr>
            <w:tcW w:type="dxa" w:w="2340"/>
            <w:shd w:fill="F2F5F9"/>
          </w:tcPr>
          <w:p>
            <w:pPr>
              <w:spacing w:before="40" w:after="40" w:line="252" w:lineRule="auto"/>
              <w:jc w:val="center"/>
            </w:pPr>
            <w:r>
              <w:rPr>
                <w:rFonts w:ascii="Times New Roman" w:hAnsi="Times New Roman"/>
                <w:b/>
                <w:i w:val="0"/>
                <w:color w:val="008000"/>
                <w:sz w:val="18"/>
              </w:rPr>
              <w:t>ĐÃ HOÀN TẤT 100%</w:t>
            </w:r>
          </w:p>
        </w:tc>
      </w:tr>
    </w:tbl>
    <w:p>
      <w:pPr>
        <w:keepNext/>
        <w:spacing w:before="280" w:after="120"/>
      </w:pPr>
      <w:r>
        <w:rPr>
          <w:rFonts w:ascii="Times New Roman" w:hAnsi="Times New Roman"/>
          <w:b/>
          <w:color w:val="002060"/>
          <w:sz w:val="28"/>
        </w:rPr>
        <w:t>II. HƯỚNG DẪN CHI TIẾT CÁC BƯỚC BẢO VỆ VÀ THUYẾT MINH TRƯỚC GIẢNG VIÊN</w:t>
      </w:r>
    </w:p>
    <w:p>
      <w:pPr>
        <w:keepNext/>
        <w:spacing w:before="200" w:after="80"/>
      </w:pPr>
      <w:r>
        <w:rPr>
          <w:rFonts w:ascii="Times New Roman" w:hAnsi="Times New Roman"/>
          <w:b/>
          <w:color w:val="0F4C81"/>
          <w:sz w:val="24"/>
        </w:rPr>
        <w:t>1. Luận điểm then chốt khi giải thích chênh lệch NPL 2025 giữa Agribank và MB</w:t>
      </w:r>
    </w:p>
    <w:p>
      <w:pPr>
        <w:spacing w:before="40" w:after="80" w:line="276" w:lineRule="auto"/>
      </w:pPr>
      <w:r>
        <w:rPr>
          <w:rFonts w:ascii="Times New Roman" w:hAnsi="Times New Roman"/>
          <w:i w:val="0"/>
          <w:sz w:val="22"/>
        </w:rPr>
        <w:t>Khi bảo vệ tiểu luận, giảng viên TS. Khúc Thế Anh có thể hỏi: 'Tại sao Báo cáo thường niên Agribank ghi NPL 1,17% mà nhóm lại khẳng định NPL thực chất là 1,30%, cao hơn MB (1,29%)?'.</w:t>
      </w:r>
    </w:p>
    <w:p>
      <w:pPr>
        <w:spacing w:before="40" w:after="80" w:line="276" w:lineRule="auto"/>
      </w:pPr>
      <w:r>
        <w:rPr>
          <w:rFonts w:ascii="Times New Roman" w:hAnsi="Times New Roman"/>
          <w:i w:val="0"/>
          <w:sz w:val="22"/>
        </w:rPr>
        <w:t>Học viên trả lời trực diện: Con số 1,17% là tỷ lệ nợ xấu tính trên Tổng mức cấp tín dụng theo Thông tư 11/TT31 (mẫu số bao gồm cả trái phiếu doanh nghiệp, bảo lãnh, cam kết ngoại bảng...). Trong khi đó, con số 1,29% của MB được tính trên mẫu số thuần túy là Dư nợ cho vay khách hàng hợp nhất. Để đảm bảo nguyên tắc 'so sánh cùng cơ sở' (like-for-like), nhóm nghiên cứu tính lại NPL của Agribank = Nợ nhóm 3–5 (25.610 tỷ) / Dư nợ cho vay khách hàng (1.976.369 tỷ) = 1,30%. Như vậy, trên cùng một thước đo dư nợ cho vay, NPL của Agribank (1,30%) vẫn cao hơn MB (1,29%).</w:t>
      </w:r>
    </w:p>
    <w:p>
      <w:pPr>
        <w:keepNext/>
        <w:spacing w:before="200" w:after="80"/>
      </w:pPr>
      <w:r>
        <w:rPr>
          <w:rFonts w:ascii="Times New Roman" w:hAnsi="Times New Roman"/>
          <w:b/>
          <w:color w:val="0F4C81"/>
          <w:sz w:val="24"/>
        </w:rPr>
        <w:t>2. Giải thích kết quả phân rã tốc độ tăng trưởng (NPL Decomposition)</w:t>
      </w:r>
    </w:p>
    <w:p>
      <w:pPr>
        <w:spacing w:before="40" w:after="80" w:line="276" w:lineRule="auto"/>
      </w:pPr>
      <w:r>
        <w:rPr>
          <w:rFonts w:ascii="Times New Roman" w:hAnsi="Times New Roman"/>
          <w:i w:val="0"/>
          <w:sz w:val="22"/>
        </w:rPr>
        <w:t>Khi phân rã biến động NPL năm 2025:</w:t>
        <w:br/>
        <w:t>• Tại MB: Tỷ lệ NPL giảm từ 1,62% về 1,29% (−0,33 điểm %). Hiệu ứng mẫu số (tăng trưởng tín dụng 39,6% làm loãng nợ xấu) đóng góp −0,46 điểm %; trong khi hiệu ứng tử số (chất lượng tín dụng suy giảm, nợ xấu tuyệt đối tăng 1.442 tỷ) đóng góp +0,13 điểm %. Nghĩa là nợ xấu thực tế vẫn tăng nhưng tỷ lệ NPL giảm nhờ mẫu số phình to.</w:t>
        <w:br/>
        <w:t>• Tại Agribank: NPL giảm từ 1,68% về 1,30% (−0,39 điểm %). Hiệu ứng mẫu số đóng góp −0,22 điểm %; hiệu ứng tử số (nợ xấu tuyệt đối giảm 3.399 tỷ) đóng góp thực chất −0,17 điểm %.</w:t>
        <w:br/>
        <w:t>• Tuy nhiên, cả hai ngân hàng đều sử dụng quy mô xóa nợ lớn bằng dự phòng trong năm 2025: MB xóa 12.185 tỷ (1,31% dư nợ bình quân), Agribank xóa 32.621 tỷ (1,76% dư nợ). Nếu cộng lại số nợ đã xóa vào nợ xấu, tỷ lệ NPL thực tế trước xử lý rủi ro ước tính là 2,42% tại MB và 2,95% tại Agribank.</w:t>
      </w:r>
    </w:p>
    <w:p>
      <w:pPr>
        <w:keepNext/>
        <w:spacing w:before="200" w:after="80"/>
      </w:pPr>
      <w:r>
        <w:rPr>
          <w:rFonts w:ascii="Times New Roman" w:hAnsi="Times New Roman"/>
          <w:b/>
          <w:color w:val="0F4C81"/>
          <w:sz w:val="24"/>
        </w:rPr>
        <w:t>3. Giải thích kết quả mô phỏng IFRS 9 ECL và kiểm định độ nhạy 6 kịch bản</w:t>
      </w:r>
    </w:p>
    <w:p>
      <w:pPr>
        <w:spacing w:before="40" w:after="80" w:line="276" w:lineRule="auto"/>
      </w:pPr>
      <w:r>
        <w:rPr>
          <w:rFonts w:ascii="Times New Roman" w:hAnsi="Times New Roman"/>
          <w:i w:val="0"/>
          <w:sz w:val="22"/>
        </w:rPr>
        <w:t>Tại sao chuyển đổi IFRS 9 lại tác động đến MB nặng nề hơn Agribank rất nhiều (MB thiếu +14.006 tỷ đồng dự phòng, CAR tụt 103 bps xuống 9,97%; trong khi Agribank chỉ thiếu +3.660 tỷ đồng, CAR giữ vững 10,07%)?</w:t>
      </w:r>
    </w:p>
    <w:p>
      <w:pPr>
        <w:spacing w:before="40" w:after="80" w:line="276" w:lineRule="auto"/>
      </w:pPr>
      <w:r>
        <w:rPr>
          <w:rFonts w:ascii="Times New Roman" w:hAnsi="Times New Roman"/>
          <w:i w:val="0"/>
          <w:sz w:val="22"/>
        </w:rPr>
        <w:t>Ba nguyên nhân cốt lõi về cấu trúc tài chính:</w:t>
        <w:br/>
        <w:t>1. Bộ đệm VAS hiện hữu: Agribank có LLCR lên tới 146,3% với quỹ dự phòng 37.465 tỷ đồng (VAS), trong khi MB để LLCR tụt xuống 93,8% (dự phòng chỉ có 13.151 tỷ đồng).</w:t>
        <w:br/>
        <w:t>2. Cú sốc Lifetime ECL tại Stage 2: MB phải trích lập dự phòng cả đời (Lifetime ECL) cho 10.210 tỷ nợ nhóm 2, 6% nợ nhóm 1 (SICR) và đặc biệt là 30% danh mục trái phiếu doanh nghiệp TCKT (7.023 tỷ đồng).</w:t>
        <w:br/>
        <w:t>3. Kết quả kiểm định độ nhạy (Bảng 12) khẳng định: Trong cả 6 kịch bản (kể cả khi SICR xuống 3% hay LGD giảm 10%), MB luôn thiếu hụt dự phòng từ +8.846 tỷ đến +19.166 tỷ đồng, chứng minh kết luận này hoàn toàn vững chắc về mặt kinh tế lượng.</w:t>
      </w:r>
    </w:p>
    <w:p>
      <w:pPr>
        <w:keepNext/>
        <w:spacing w:before="280" w:after="120"/>
      </w:pPr>
      <w:r>
        <w:rPr>
          <w:rFonts w:ascii="Times New Roman" w:hAnsi="Times New Roman"/>
          <w:b/>
          <w:color w:val="002060"/>
          <w:sz w:val="28"/>
        </w:rPr>
        <w:t>III. DANH MỤC TỆP BÀN GIAO &amp; TÍNH TOẸN VẸN HỆ THỐNG</w:t>
      </w:r>
    </w:p>
    <w:p>
      <w:pPr>
        <w:spacing w:before="40" w:after="80" w:line="276" w:lineRule="auto"/>
      </w:pPr>
      <w:r>
        <w:rPr>
          <w:rFonts w:ascii="Times New Roman" w:hAnsi="Times New Roman"/>
          <w:i w:val="0"/>
          <w:sz w:val="22"/>
        </w:rPr>
        <w:t>Toàn bộ sản phẩm được lưu trữ tại thư mục: C:\Users\Admin\Desktop\NEU (ThS)\Quản trị rủi ro\</w:t>
      </w:r>
    </w:p>
    <w:p>
      <w:pPr>
        <w:spacing w:before="40" w:after="80" w:line="276" w:lineRule="auto"/>
      </w:pPr>
      <w:r>
        <w:rPr>
          <w:rFonts w:ascii="Times New Roman" w:hAnsi="Times New Roman"/>
          <w:i w:val="0"/>
          <w:sz w:val="22"/>
        </w:rPr>
        <w:t>1. Tieu_luan_Agribank_MB_2020-2025_hoan_thien_v2.docx: Bản Word chính thức 36 trang, đã áp dụng Style Heading chuẩn, không chứa lỗi LaTeX, tích hợp 14 bảng biểu học thuật.</w:t>
        <w:br/>
        <w:t>2. Phan_tich_RRTD_Agribank_MB_2020-2025_v2.xlsx: File Excel mô hình hóa 9 sheets, 100% công thức động.</w:t>
        <w:br/>
        <w:t>3. BCTC_Goc_Trich_Xuat_Agribank_MB_2020-2025.xlsx: Dữ liệu trích xuất gốc từ BCTC kiểm toán.</w:t>
        <w:br/>
        <w:t>4. Danh_muc_tai_lieu_can_lay_Agribank_MB.xlsx: Bảng theo dõi kiểm soát 23 hạng mục.</w:t>
        <w:br/>
        <w:t>5. Bao_cao_Soat_lai_Feedback_Agribank_MB_v4_Hoan_Tat.docx: Báo cáo nghiệm thu và cẩm nang bảo vệ này.</w:t>
        <w:br/>
        <w:t>6. files.zip: Tệp nén trọn gói toàn bộ các tệp sản phẩm nói trên để nộp bài hoặc gửi nhóm học tập.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