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32"/>
        </w:rPr>
        <w:t>BÁO CÁO SOÁT XÉT KỸ THUẬT &amp; NGHIỆM THU (V5)</w:t>
      </w:r>
    </w:p>
    <w:p>
      <w:pPr>
        <w:spacing w:after="40"/>
        <w:jc w:val="center"/>
      </w:pPr>
      <w:r>
        <w:rPr>
          <w:rFonts w:ascii="Times New Roman" w:hAnsi="Times New Roman" w:eastAsia="Times New Roman"/>
          <w:b w:val="0"/>
          <w:i/>
          <w:sz w:val="23"/>
        </w:rPr>
        <w:t>Đối chiếu chéo Word – Excel, rà soát pháp lý, tài liệu tham khảo và văn phong</w:t>
      </w:r>
    </w:p>
    <w:p>
      <w:pPr>
        <w:spacing w:after="40"/>
        <w:jc w:val="center"/>
      </w:pPr>
      <w:r>
        <w:rPr>
          <w:rFonts w:ascii="Times New Roman" w:hAnsi="Times New Roman" w:eastAsia="Times New Roman"/>
          <w:b/>
          <w:i w:val="0"/>
          <w:sz w:val="21"/>
        </w:rPr>
        <w:t>HỌC PHẦN: QUẢN TRỊ RỦI RO — GIẢNG VIÊN: TS. KHÚC THẾ ANH — LỚP K34_3_NH8 — NHÓM 2</w:t>
      </w:r>
    </w:p>
    <w:p>
      <w:pPr>
        <w:spacing w:after="200"/>
        <w:jc w:val="center"/>
      </w:pPr>
      <w:r>
        <w:rPr>
          <w:rFonts w:ascii="Times New Roman" w:hAnsi="Times New Roman" w:eastAsia="Times New Roman"/>
          <w:b w:val="0"/>
          <w:i/>
          <w:sz w:val="20"/>
        </w:rPr>
        <w:t>Ngày soát xét: 28/10/2026. Thay thế Báo cáo soát lại v4 (một số nội dung v4 chưa chính xác, xem Mục V).</w:t>
      </w:r>
    </w:p>
    <w:p>
      <w:pPr>
        <w:spacing w:after="120"/>
      </w:pPr>
      <w:r>
        <w:rPr>
          <w:rFonts w:ascii="Times New Roman" w:hAnsi="Times New Roman" w:eastAsia="Times New Roman"/>
          <w:b/>
          <w:i w:val="0"/>
          <w:color w:val="1F3864"/>
          <w:sz w:val="26"/>
        </w:rPr>
        <w:t>I. KẾT LUẬN NGHIỆM THU</w:t>
      </w:r>
    </w:p>
    <w:p>
      <w:pPr>
        <w:spacing w:after="80"/>
        <w:jc w:val="both"/>
      </w:pPr>
      <w:r>
        <w:rPr>
          <w:rFonts w:ascii="Times New Roman" w:hAnsi="Times New Roman" w:eastAsia="Times New Roman"/>
          <w:b w:val="0"/>
          <w:i w:val="0"/>
          <w:sz w:val="22"/>
        </w:rPr>
        <w:t>Bản v2 chưa đạt mức "khớp 100%" như báo cáo v4 khẳng định. Soát xét phát hiện 31 điểm cần sửa: 19 điểm về số liệu (Word ↔ Excel hoặc Word ↔ BCTC gốc trích xuất), 6 điểm về pháp lý/tài liệu tham khảo, 1 nhóm điểm về văn phong (15 câu), 2 điểm trình bày và 3 điểm về công bố hạn chế phương pháp. Toàn bộ 31 điểm đã được sửa trong bộ tệp v3. Còn 7 điểm cần nhóm mở lại PDF gốc để xác nhận (Mục IV) vì không thể kiểm chứng chỉ từ dữ liệu trong hai tệp Excel.</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2948"/>
        <w:gridCol w:w="3402"/>
        <w:gridCol w:w="3175"/>
      </w:tblGrid>
      <w:tr>
        <w:tc>
          <w:tcPr>
            <w:tcW w:type="dxa" w:w="2948"/>
            <w:shd w:val="clear" w:color="auto" w:fill="1F3864"/>
          </w:tcPr>
          <w:p>
            <w:r/>
            <w:r>
              <w:rPr>
                <w:rFonts w:ascii="Times New Roman" w:hAnsi="Times New Roman"/>
                <w:b/>
                <w:color w:val="FFFFFF"/>
                <w:sz w:val="18"/>
              </w:rPr>
              <w:t>Hạng mục kiểm tra</w:t>
            </w:r>
          </w:p>
        </w:tc>
        <w:tc>
          <w:tcPr>
            <w:tcW w:type="dxa" w:w="3402"/>
            <w:shd w:val="clear" w:color="auto" w:fill="1F3864"/>
          </w:tcPr>
          <w:p>
            <w:r/>
            <w:r>
              <w:rPr>
                <w:rFonts w:ascii="Times New Roman" w:hAnsi="Times New Roman"/>
                <w:b/>
                <w:color w:val="FFFFFF"/>
                <w:sz w:val="18"/>
              </w:rPr>
              <w:t>Kết quả bản v2</w:t>
            </w:r>
          </w:p>
        </w:tc>
        <w:tc>
          <w:tcPr>
            <w:tcW w:type="dxa" w:w="3175"/>
            <w:shd w:val="clear" w:color="auto" w:fill="1F3864"/>
          </w:tcPr>
          <w:p>
            <w:r/>
            <w:r>
              <w:rPr>
                <w:rFonts w:ascii="Times New Roman" w:hAnsi="Times New Roman"/>
                <w:b/>
                <w:color w:val="FFFFFF"/>
                <w:sz w:val="18"/>
              </w:rPr>
              <w:t>Trạng thái bản v3</w:t>
            </w:r>
          </w:p>
        </w:tc>
      </w:tr>
      <w:tr>
        <w:tc>
          <w:tcPr>
            <w:tcW w:type="dxa" w:w="2948"/>
          </w:tcPr>
          <w:p>
            <w:r/>
            <w:r>
              <w:rPr>
                <w:rFonts w:ascii="Times New Roman" w:hAnsi="Times New Roman"/>
                <w:sz w:val="18"/>
              </w:rPr>
              <w:t>1. Số liệu 14 bảng ↔ Excel (Du_lieu, Chi_tieu, Stress_Testing, IFRS9_Simulation, BCTC_*_Goc)</w:t>
            </w:r>
          </w:p>
        </w:tc>
        <w:tc>
          <w:tcPr>
            <w:tcW w:type="dxa" w:w="3402"/>
          </w:tcPr>
          <w:p>
            <w:r/>
            <w:r>
              <w:rPr>
                <w:rFonts w:ascii="Times New Roman" w:hAnsi="Times New Roman"/>
                <w:sz w:val="18"/>
              </w:rPr>
              <w:t>Số liệu Bảng 1–5, 7, 8, 10, 11 khớp; sai tại Bảng 6 (3 ô), Bảng 9 (10 ô), Bảng 12 (3 ô), Bảng 13 (1 ô), Bảng 14 (3 ô); nguồn Bảng 8 trỏ sai dòng; Bảng 10 thiếu đơn vị điểm %</w:t>
            </w:r>
          </w:p>
        </w:tc>
        <w:tc>
          <w:tcPr>
            <w:tcW w:type="dxa" w:w="3175"/>
          </w:tcPr>
          <w:p>
            <w:r/>
            <w:r>
              <w:rPr>
                <w:rFonts w:ascii="Times New Roman" w:hAnsi="Times New Roman"/>
                <w:sz w:val="18"/>
              </w:rPr>
              <w:t>Đã sửa; mọi số trong lời văn nay đều truy được về công thức Excel (bổ sung Chi_tieu dòng 62–68)</w:t>
            </w:r>
          </w:p>
        </w:tc>
      </w:tr>
      <w:tr>
        <w:tc>
          <w:tcPr>
            <w:tcW w:type="dxa" w:w="2948"/>
            <w:shd w:val="clear" w:color="auto" w:fill="F2F5FA"/>
          </w:tcPr>
          <w:p>
            <w:r/>
            <w:r>
              <w:rPr>
                <w:rFonts w:ascii="Times New Roman" w:hAnsi="Times New Roman"/>
                <w:sz w:val="18"/>
              </w:rPr>
              <w:t>2. Số liệu trong lời văn (Tóm tắt, Chương 4–6)</w:t>
            </w:r>
          </w:p>
        </w:tc>
        <w:tc>
          <w:tcPr>
            <w:tcW w:type="dxa" w:w="3402"/>
            <w:shd w:val="clear" w:color="auto" w:fill="F2F5FA"/>
          </w:tcPr>
          <w:p>
            <w:r/>
            <w:r>
              <w:rPr>
                <w:rFonts w:ascii="Times New Roman" w:hAnsi="Times New Roman"/>
                <w:sz w:val="18"/>
              </w:rPr>
              <w:t>Sai làm tròn, số không khớp BCTC gốc, khoảng giá trị sai (chi tiết A1–A19)</w:t>
            </w:r>
          </w:p>
        </w:tc>
        <w:tc>
          <w:tcPr>
            <w:tcW w:type="dxa" w:w="3175"/>
            <w:shd w:val="clear" w:color="auto" w:fill="F2F5FA"/>
          </w:tcPr>
          <w:p>
            <w:r/>
            <w:r>
              <w:rPr>
                <w:rFonts w:ascii="Times New Roman" w:hAnsi="Times New Roman"/>
                <w:sz w:val="18"/>
              </w:rPr>
              <w:t>Đã sửa</w:t>
            </w:r>
          </w:p>
        </w:tc>
      </w:tr>
      <w:tr>
        <w:tc>
          <w:tcPr>
            <w:tcW w:type="dxa" w:w="2948"/>
          </w:tcPr>
          <w:p>
            <w:r/>
            <w:r>
              <w:rPr>
                <w:rFonts w:ascii="Times New Roman" w:hAnsi="Times New Roman"/>
                <w:sz w:val="18"/>
              </w:rPr>
              <w:t>3. Mã LaTeX thô</w:t>
            </w:r>
          </w:p>
        </w:tc>
        <w:tc>
          <w:tcPr>
            <w:tcW w:type="dxa" w:w="3402"/>
          </w:tcPr>
          <w:p>
            <w:r/>
            <w:r>
              <w:rPr>
                <w:rFonts w:ascii="Times New Roman" w:hAnsi="Times New Roman"/>
                <w:sz w:val="18"/>
              </w:rPr>
              <w:t>Không còn ký hiệu LaTeX; còn ký hiệu ASCII "&gt;=", "-&gt;", "x"</w:t>
            </w:r>
          </w:p>
        </w:tc>
        <w:tc>
          <w:tcPr>
            <w:tcW w:type="dxa" w:w="3175"/>
          </w:tcPr>
          <w:p>
            <w:r/>
            <w:r>
              <w:rPr>
                <w:rFonts w:ascii="Times New Roman" w:hAnsi="Times New Roman"/>
                <w:sz w:val="18"/>
              </w:rPr>
              <w:t>Đã thay bằng ≥, →, ×</w:t>
            </w:r>
          </w:p>
        </w:tc>
      </w:tr>
      <w:tr>
        <w:tc>
          <w:tcPr>
            <w:tcW w:type="dxa" w:w="2948"/>
            <w:shd w:val="clear" w:color="auto" w:fill="F2F5FA"/>
          </w:tcPr>
          <w:p>
            <w:r/>
            <w:r>
              <w:rPr>
                <w:rFonts w:ascii="Times New Roman" w:hAnsi="Times New Roman"/>
                <w:sz w:val="18"/>
              </w:rPr>
              <w:t>4. Trích dẫn pháp lý</w:t>
            </w:r>
          </w:p>
        </w:tc>
        <w:tc>
          <w:tcPr>
            <w:tcW w:type="dxa" w:w="3402"/>
            <w:shd w:val="clear" w:color="auto" w:fill="F2F5FA"/>
          </w:tcPr>
          <w:p>
            <w:r/>
            <w:r>
              <w:rPr>
                <w:rFonts w:ascii="Times New Roman" w:hAnsi="Times New Roman"/>
                <w:sz w:val="18"/>
              </w:rPr>
              <w:t>Sai chủ thể ban hành cơ chế giữ nhóm nợ bão Yagi; sai điều khoản CIC; ngày hiệu lực TT 53 ghi "cuối 2024"</w:t>
            </w:r>
          </w:p>
        </w:tc>
        <w:tc>
          <w:tcPr>
            <w:tcW w:type="dxa" w:w="3175"/>
            <w:shd w:val="clear" w:color="auto" w:fill="F2F5FA"/>
          </w:tcPr>
          <w:p>
            <w:r/>
            <w:r>
              <w:rPr>
                <w:rFonts w:ascii="Times New Roman" w:hAnsi="Times New Roman"/>
                <w:sz w:val="18"/>
              </w:rPr>
              <w:t>Đã sửa; bổ sung QĐ 1510/QĐ-TTg</w:t>
            </w:r>
          </w:p>
        </w:tc>
      </w:tr>
      <w:tr>
        <w:tc>
          <w:tcPr>
            <w:tcW w:type="dxa" w:w="2948"/>
          </w:tcPr>
          <w:p>
            <w:r/>
            <w:r>
              <w:rPr>
                <w:rFonts w:ascii="Times New Roman" w:hAnsi="Times New Roman"/>
                <w:sz w:val="18"/>
              </w:rPr>
              <w:t>5. Tài liệu tham khảo</w:t>
            </w:r>
          </w:p>
        </w:tc>
        <w:tc>
          <w:tcPr>
            <w:tcW w:type="dxa" w:w="3402"/>
          </w:tcPr>
          <w:p>
            <w:r/>
            <w:r>
              <w:rPr>
                <w:rFonts w:ascii="Times New Roman" w:hAnsi="Times New Roman"/>
                <w:sz w:val="18"/>
              </w:rPr>
              <w:t>[1] thiếu KPMG; thiếu văn bản QĐ 1510/QĐ-TTg</w:t>
            </w:r>
          </w:p>
        </w:tc>
        <w:tc>
          <w:tcPr>
            <w:tcW w:type="dxa" w:w="3175"/>
          </w:tcPr>
          <w:p>
            <w:r/>
            <w:r>
              <w:rPr>
                <w:rFonts w:ascii="Times New Roman" w:hAnsi="Times New Roman"/>
                <w:sz w:val="18"/>
              </w:rPr>
              <w:t>Đã sửa; danh mục nay là [1]–[25]</w:t>
            </w:r>
          </w:p>
        </w:tc>
      </w:tr>
      <w:tr>
        <w:tc>
          <w:tcPr>
            <w:tcW w:type="dxa" w:w="2948"/>
            <w:shd w:val="clear" w:color="auto" w:fill="F2F5FA"/>
          </w:tcPr>
          <w:p>
            <w:r/>
            <w:r>
              <w:rPr>
                <w:rFonts w:ascii="Times New Roman" w:hAnsi="Times New Roman"/>
                <w:sz w:val="18"/>
              </w:rPr>
              <w:t>6. Văn phong khách quan</w:t>
            </w:r>
          </w:p>
        </w:tc>
        <w:tc>
          <w:tcPr>
            <w:tcW w:type="dxa" w:w="3402"/>
            <w:shd w:val="clear" w:color="auto" w:fill="F2F5FA"/>
          </w:tcPr>
          <w:p>
            <w:r/>
            <w:r>
              <w:rPr>
                <w:rFonts w:ascii="Times New Roman" w:hAnsi="Times New Roman"/>
                <w:sz w:val="18"/>
              </w:rPr>
              <w:t>15 câu suy diễn động cơ hoặc khẳng định quá mức</w:t>
            </w:r>
          </w:p>
        </w:tc>
        <w:tc>
          <w:tcPr>
            <w:tcW w:type="dxa" w:w="3175"/>
            <w:shd w:val="clear" w:color="auto" w:fill="F2F5FA"/>
          </w:tcPr>
          <w:p>
            <w:r/>
            <w:r>
              <w:rPr>
                <w:rFonts w:ascii="Times New Roman" w:hAnsi="Times New Roman"/>
                <w:sz w:val="18"/>
              </w:rPr>
              <w:t>Đã viết lại trung tính</w:t>
            </w:r>
          </w:p>
        </w:tc>
      </w:tr>
      <w:tr>
        <w:tc>
          <w:tcPr>
            <w:tcW w:type="dxa" w:w="2948"/>
          </w:tcPr>
          <w:p>
            <w:r/>
            <w:r>
              <w:rPr>
                <w:rFonts w:ascii="Times New Roman" w:hAnsi="Times New Roman"/>
                <w:sz w:val="18"/>
              </w:rPr>
              <w:t>7. Đánh số Bảng 1–14</w:t>
            </w:r>
          </w:p>
        </w:tc>
        <w:tc>
          <w:tcPr>
            <w:tcW w:type="dxa" w:w="3402"/>
          </w:tcPr>
          <w:p>
            <w:r/>
            <w:r>
              <w:rPr>
                <w:rFonts w:ascii="Times New Roman" w:hAnsi="Times New Roman"/>
                <w:sz w:val="18"/>
              </w:rPr>
              <w:t>Liên tục, không nhảy số</w:t>
            </w:r>
          </w:p>
        </w:tc>
        <w:tc>
          <w:tcPr>
            <w:tcW w:type="dxa" w:w="3175"/>
          </w:tcPr>
          <w:p>
            <w:r/>
            <w:r>
              <w:rPr>
                <w:rFonts w:ascii="Times New Roman" w:hAnsi="Times New Roman"/>
                <w:sz w:val="18"/>
              </w:rPr>
              <w:t>Giữ nguyên</w:t>
            </w:r>
          </w:p>
        </w:tc>
      </w:tr>
      <w:tr>
        <w:tc>
          <w:tcPr>
            <w:tcW w:type="dxa" w:w="2948"/>
            <w:shd w:val="clear" w:color="auto" w:fill="F2F5FA"/>
          </w:tcPr>
          <w:p>
            <w:r/>
            <w:r>
              <w:rPr>
                <w:rFonts w:ascii="Times New Roman" w:hAnsi="Times New Roman"/>
                <w:sz w:val="18"/>
              </w:rPr>
              <w:t>8. Mục lục</w:t>
            </w:r>
          </w:p>
        </w:tc>
        <w:tc>
          <w:tcPr>
            <w:tcW w:type="dxa" w:w="3402"/>
            <w:shd w:val="clear" w:color="auto" w:fill="F2F5FA"/>
          </w:tcPr>
          <w:p>
            <w:r/>
            <w:r>
              <w:rPr>
                <w:rFonts w:ascii="Times New Roman" w:hAnsi="Times New Roman"/>
                <w:sz w:val="18"/>
              </w:rPr>
              <w:t>Gõ tay, số trang lệch 1 trang ở hầu hết mục</w:t>
            </w:r>
          </w:p>
        </w:tc>
        <w:tc>
          <w:tcPr>
            <w:tcW w:type="dxa" w:w="3175"/>
            <w:shd w:val="clear" w:color="auto" w:fill="F2F5FA"/>
          </w:tcPr>
          <w:p>
            <w:r/>
            <w:r>
              <w:rPr>
                <w:rFonts w:ascii="Times New Roman" w:hAnsi="Times New Roman"/>
                <w:sz w:val="18"/>
              </w:rPr>
              <w:t>Thay bằng mục lục tự động (trường TOC)</w:t>
            </w:r>
          </w:p>
        </w:tc>
      </w:tr>
    </w:tbl>
    <w:p>
      <w:pPr>
        <w:spacing w:after="120"/>
      </w:pPr>
    </w:p>
    <w:p>
      <w:pPr>
        <w:spacing w:after="120"/>
      </w:pPr>
      <w:r>
        <w:rPr>
          <w:rFonts w:ascii="Times New Roman" w:hAnsi="Times New Roman" w:eastAsia="Times New Roman"/>
          <w:b/>
          <w:i w:val="0"/>
          <w:color w:val="1F3864"/>
          <w:sz w:val="26"/>
        </w:rPr>
        <w:t>II. CHI TIẾT CÁC ĐIỂM ĐÃ SỬA (VỊ TRÍ → HIỆN TẠI → SỬA ĐỔI)</w:t>
      </w:r>
    </w:p>
    <w:p>
      <w:pPr>
        <w:spacing w:after="80"/>
      </w:pPr>
      <w:r>
        <w:rPr>
          <w:rFonts w:ascii="Times New Roman" w:hAnsi="Times New Roman" w:eastAsia="Times New Roman"/>
          <w:b w:val="0"/>
          <w:i/>
          <w:sz w:val="19"/>
        </w:rPr>
        <w:t>Số trang theo bản v3 (dựng bằng LibreOffice, 34 trang); khi mở bằng Word có thể lệch ±1 trang.</w:t>
      </w:r>
    </w:p>
    <w:p>
      <w:pPr>
        <w:spacing w:after="80"/>
      </w:pPr>
      <w:r>
        <w:rPr>
          <w:rFonts w:ascii="Times New Roman" w:hAnsi="Times New Roman" w:eastAsia="Times New Roman"/>
          <w:b/>
          <w:i w:val="0"/>
          <w:color w:val="1F3864"/>
          <w:sz w:val="23"/>
        </w:rPr>
        <w:t>A. Số liệu – đối chiếu Word ↔ Excel</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567"/>
        <w:gridCol w:w="2494"/>
        <w:gridCol w:w="2778"/>
        <w:gridCol w:w="3685"/>
      </w:tblGrid>
      <w:tr>
        <w:tc>
          <w:tcPr>
            <w:tcW w:type="dxa" w:w="567"/>
            <w:shd w:val="clear" w:color="auto" w:fill="1F3864"/>
          </w:tcPr>
          <w:p>
            <w:r/>
            <w:r>
              <w:rPr>
                <w:rFonts w:ascii="Times New Roman" w:hAnsi="Times New Roman"/>
                <w:b/>
                <w:color w:val="FFFFFF"/>
                <w:sz w:val="17"/>
              </w:rPr>
              <w:t>#</w:t>
            </w:r>
          </w:p>
        </w:tc>
        <w:tc>
          <w:tcPr>
            <w:tcW w:type="dxa" w:w="2494"/>
            <w:shd w:val="clear" w:color="auto" w:fill="1F3864"/>
          </w:tcPr>
          <w:p>
            <w:r/>
            <w:r>
              <w:rPr>
                <w:rFonts w:ascii="Times New Roman" w:hAnsi="Times New Roman"/>
                <w:b/>
                <w:color w:val="FFFFFF"/>
                <w:sz w:val="17"/>
              </w:rPr>
              <w:t>Vị trí</w:t>
            </w:r>
          </w:p>
        </w:tc>
        <w:tc>
          <w:tcPr>
            <w:tcW w:type="dxa" w:w="2778"/>
            <w:shd w:val="clear" w:color="auto" w:fill="1F3864"/>
          </w:tcPr>
          <w:p>
            <w:r/>
            <w:r>
              <w:rPr>
                <w:rFonts w:ascii="Times New Roman" w:hAnsi="Times New Roman"/>
                <w:b/>
                <w:color w:val="FFFFFF"/>
                <w:sz w:val="17"/>
              </w:rPr>
              <w:t>Nội dung hiện tại (v2)</w:t>
            </w:r>
          </w:p>
        </w:tc>
        <w:tc>
          <w:tcPr>
            <w:tcW w:type="dxa" w:w="3685"/>
            <w:shd w:val="clear" w:color="auto" w:fill="1F3864"/>
          </w:tcPr>
          <w:p>
            <w:r/>
            <w:r>
              <w:rPr>
                <w:rFonts w:ascii="Times New Roman" w:hAnsi="Times New Roman"/>
                <w:b/>
                <w:color w:val="FFFFFF"/>
                <w:sz w:val="17"/>
              </w:rPr>
              <w:t>Sửa đổi (v3)</w:t>
            </w:r>
          </w:p>
        </w:tc>
      </w:tr>
      <w:tr>
        <w:tc>
          <w:tcPr>
            <w:tcW w:type="dxa" w:w="567"/>
          </w:tcPr>
          <w:p>
            <w:r/>
            <w:r>
              <w:rPr>
                <w:rFonts w:ascii="Times New Roman" w:hAnsi="Times New Roman"/>
                <w:sz w:val="17"/>
              </w:rPr>
              <w:t>A1</w:t>
            </w:r>
          </w:p>
        </w:tc>
        <w:tc>
          <w:tcPr>
            <w:tcW w:type="dxa" w:w="2494"/>
          </w:tcPr>
          <w:p>
            <w:r/>
            <w:r>
              <w:rPr>
                <w:rFonts w:ascii="Times New Roman" w:hAnsi="Times New Roman"/>
                <w:sz w:val="17"/>
              </w:rPr>
              <w:t>Bảng 9 (tr.19), dòng "Nợ xấu khối công ty con"; Mục 5.2 (tr.26)</w:t>
            </w:r>
          </w:p>
        </w:tc>
        <w:tc>
          <w:tcPr>
            <w:tcW w:type="dxa" w:w="2778"/>
          </w:tcPr>
          <w:p>
            <w:r/>
            <w:r>
              <w:rPr>
                <w:rFonts w:ascii="Times New Roman" w:hAnsi="Times New Roman"/>
                <w:sz w:val="17"/>
              </w:rPr>
              <w:t>555 / 892 / 1.351 / 1.662 / 1.981 tỷ (2020–2024)</w:t>
            </w:r>
          </w:p>
        </w:tc>
        <w:tc>
          <w:tcPr>
            <w:tcW w:type="dxa" w:w="3685"/>
          </w:tcPr>
          <w:p>
            <w:r/>
            <w:r>
              <w:rPr>
                <w:rFonts w:ascii="Times New Roman" w:hAnsi="Times New Roman"/>
                <w:sz w:val="17"/>
              </w:rPr>
              <w:t>649 / 940 / 1.406 / 1.683 / 2.092 tỷ (= nợ xấu HN − riêng lẻ, BCTC_MB_Goc dòng 60). Năm 2025 (2.509) giữ nguyên</w:t>
            </w:r>
          </w:p>
        </w:tc>
      </w:tr>
      <w:tr>
        <w:tc>
          <w:tcPr>
            <w:tcW w:type="dxa" w:w="567"/>
            <w:shd w:val="clear" w:color="auto" w:fill="F2F5FA"/>
          </w:tcPr>
          <w:p>
            <w:r/>
            <w:r>
              <w:rPr>
                <w:rFonts w:ascii="Times New Roman" w:hAnsi="Times New Roman"/>
                <w:sz w:val="17"/>
              </w:rPr>
              <w:t>A2</w:t>
            </w:r>
          </w:p>
        </w:tc>
        <w:tc>
          <w:tcPr>
            <w:tcW w:type="dxa" w:w="2494"/>
            <w:shd w:val="clear" w:color="auto" w:fill="F2F5FA"/>
          </w:tcPr>
          <w:p>
            <w:r/>
            <w:r>
              <w:rPr>
                <w:rFonts w:ascii="Times New Roman" w:hAnsi="Times New Roman"/>
                <w:sz w:val="17"/>
              </w:rPr>
              <w:t>Bảng 9, dòng "BĐS &amp; Xây dựng / Dư nợ"; Mục 5.3, 6.2</w:t>
            </w:r>
          </w:p>
        </w:tc>
        <w:tc>
          <w:tcPr>
            <w:tcW w:type="dxa" w:w="2778"/>
            <w:shd w:val="clear" w:color="auto" w:fill="F2F5FA"/>
          </w:tcPr>
          <w:p>
            <w:r/>
            <w:r>
              <w:rPr>
                <w:rFonts w:ascii="Times New Roman" w:hAnsi="Times New Roman"/>
                <w:sz w:val="17"/>
              </w:rPr>
              <w:t>10,6% / 10,2% / 10,7% / 12,2% / 12,9%</w:t>
            </w:r>
          </w:p>
        </w:tc>
        <w:tc>
          <w:tcPr>
            <w:tcW w:type="dxa" w:w="3685"/>
            <w:shd w:val="clear" w:color="auto" w:fill="F2F5FA"/>
          </w:tcPr>
          <w:p>
            <w:r/>
            <w:r>
              <w:rPr>
                <w:rFonts w:ascii="Times New Roman" w:hAnsi="Times New Roman"/>
                <w:sz w:val="17"/>
              </w:rPr>
              <w:t>9,2% / 9,7% / 10,4% / 11,8% / 12,4% (= TM 10.4 BĐS + XD / dư nợ HN; Chi_tieu dòng 63). 2025: 15,4% giữ nguyên</w:t>
            </w:r>
          </w:p>
        </w:tc>
      </w:tr>
      <w:tr>
        <w:tc>
          <w:tcPr>
            <w:tcW w:type="dxa" w:w="567"/>
          </w:tcPr>
          <w:p>
            <w:r/>
            <w:r>
              <w:rPr>
                <w:rFonts w:ascii="Times New Roman" w:hAnsi="Times New Roman"/>
                <w:sz w:val="17"/>
              </w:rPr>
              <w:t>A3</w:t>
            </w:r>
          </w:p>
        </w:tc>
        <w:tc>
          <w:tcPr>
            <w:tcW w:type="dxa" w:w="2494"/>
          </w:tcPr>
          <w:p>
            <w:r/>
            <w:r>
              <w:rPr>
                <w:rFonts w:ascii="Times New Roman" w:hAnsi="Times New Roman"/>
                <w:sz w:val="17"/>
              </w:rPr>
              <w:t>Bảng 6 (tr.15), LLCR Agribank 2021</w:t>
            </w:r>
          </w:p>
        </w:tc>
        <w:tc>
          <w:tcPr>
            <w:tcW w:type="dxa" w:w="2778"/>
          </w:tcPr>
          <w:p>
            <w:r/>
            <w:r>
              <w:rPr>
                <w:rFonts w:ascii="Times New Roman" w:hAnsi="Times New Roman"/>
                <w:sz w:val="17"/>
              </w:rPr>
              <w:t>140,9%</w:t>
            </w:r>
          </w:p>
        </w:tc>
        <w:tc>
          <w:tcPr>
            <w:tcW w:type="dxa" w:w="3685"/>
          </w:tcPr>
          <w:p>
            <w:r/>
            <w:r>
              <w:rPr>
                <w:rFonts w:ascii="Times New Roman" w:hAnsi="Times New Roman"/>
                <w:sz w:val="17"/>
              </w:rPr>
              <w:t>140,8% (34.583 / 24.554 = 140,85%)</w:t>
            </w:r>
          </w:p>
        </w:tc>
      </w:tr>
      <w:tr>
        <w:tc>
          <w:tcPr>
            <w:tcW w:type="dxa" w:w="567"/>
            <w:shd w:val="clear" w:color="auto" w:fill="F2F5FA"/>
          </w:tcPr>
          <w:p>
            <w:r/>
            <w:r>
              <w:rPr>
                <w:rFonts w:ascii="Times New Roman" w:hAnsi="Times New Roman"/>
                <w:sz w:val="17"/>
              </w:rPr>
              <w:t>A4</w:t>
            </w:r>
          </w:p>
        </w:tc>
        <w:tc>
          <w:tcPr>
            <w:tcW w:type="dxa" w:w="2494"/>
            <w:shd w:val="clear" w:color="auto" w:fill="F2F5FA"/>
          </w:tcPr>
          <w:p>
            <w:r/>
            <w:r>
              <w:rPr>
                <w:rFonts w:ascii="Times New Roman" w:hAnsi="Times New Roman"/>
                <w:sz w:val="17"/>
              </w:rPr>
              <w:t>LLCR hợp nhất MB 2024–2025: Tóm tắt, Mục 4.2, 4.7, 5.3, 5.4, 6.2, Bảng 6, 13, 14 (12 vị trí)</w:t>
            </w:r>
          </w:p>
        </w:tc>
        <w:tc>
          <w:tcPr>
            <w:tcW w:type="dxa" w:w="2778"/>
            <w:shd w:val="clear" w:color="auto" w:fill="F2F5FA"/>
          </w:tcPr>
          <w:p>
            <w:r/>
            <w:r>
              <w:rPr>
                <w:rFonts w:ascii="Times New Roman" w:hAnsi="Times New Roman"/>
                <w:sz w:val="17"/>
              </w:rPr>
              <w:t>92,3% và 93,8%</w:t>
            </w:r>
          </w:p>
        </w:tc>
        <w:tc>
          <w:tcPr>
            <w:tcW w:type="dxa" w:w="3685"/>
            <w:shd w:val="clear" w:color="auto" w:fill="F2F5FA"/>
          </w:tcPr>
          <w:p>
            <w:r/>
            <w:r>
              <w:rPr>
                <w:rFonts w:ascii="Times New Roman" w:hAnsi="Times New Roman"/>
                <w:sz w:val="17"/>
              </w:rPr>
              <w:t>92,2% và 93,7% (11.610 / 12.585 = 92,25%; 13.151 / 14.027 = 93,75%)</w:t>
            </w:r>
          </w:p>
        </w:tc>
      </w:tr>
      <w:tr>
        <w:tc>
          <w:tcPr>
            <w:tcW w:type="dxa" w:w="567"/>
          </w:tcPr>
          <w:p>
            <w:r/>
            <w:r>
              <w:rPr>
                <w:rFonts w:ascii="Times New Roman" w:hAnsi="Times New Roman"/>
                <w:sz w:val="17"/>
              </w:rPr>
              <w:t>A5</w:t>
            </w:r>
          </w:p>
        </w:tc>
        <w:tc>
          <w:tcPr>
            <w:tcW w:type="dxa" w:w="2494"/>
          </w:tcPr>
          <w:p>
            <w:r/>
            <w:r>
              <w:rPr>
                <w:rFonts w:ascii="Times New Roman" w:hAnsi="Times New Roman"/>
                <w:sz w:val="17"/>
              </w:rPr>
              <w:t>Mục 5.1 (tr.24), nợ nhóm 5 Agribank 2023</w:t>
            </w:r>
          </w:p>
        </w:tc>
        <w:tc>
          <w:tcPr>
            <w:tcW w:type="dxa" w:w="2778"/>
          </w:tcPr>
          <w:p>
            <w:r/>
            <w:r>
              <w:rPr>
                <w:rFonts w:ascii="Times New Roman" w:hAnsi="Times New Roman"/>
                <w:sz w:val="17"/>
              </w:rPr>
              <w:t>19.744 / 28.721 = 68,7%; khoảng "68,7%–79,0%"</w:t>
            </w:r>
          </w:p>
        </w:tc>
        <w:tc>
          <w:tcPr>
            <w:tcW w:type="dxa" w:w="3685"/>
          </w:tcPr>
          <w:p>
            <w:r/>
            <w:r>
              <w:rPr>
                <w:rFonts w:ascii="Times New Roman" w:hAnsi="Times New Roman"/>
                <w:sz w:val="17"/>
              </w:rPr>
              <w:t>19.248 / 28.721 = 67,0%; khoảng "67,0%–79,0%". Căn cứ: nhóm 3 (3.880) + nhóm 4 (5.593) + nhóm 5 (19.248) = 28.721 tỷ; với 19.744 tổng sẽ là 29.217 tỷ. Nay khớp với Mục 4.3, 6.1 và Bảng 13</w:t>
            </w:r>
          </w:p>
        </w:tc>
      </w:tr>
      <w:tr>
        <w:tc>
          <w:tcPr>
            <w:tcW w:type="dxa" w:w="567"/>
            <w:shd w:val="clear" w:color="auto" w:fill="F2F5FA"/>
          </w:tcPr>
          <w:p>
            <w:r/>
            <w:r>
              <w:rPr>
                <w:rFonts w:ascii="Times New Roman" w:hAnsi="Times New Roman"/>
                <w:sz w:val="17"/>
              </w:rPr>
              <w:t>A6</w:t>
            </w:r>
          </w:p>
        </w:tc>
        <w:tc>
          <w:tcPr>
            <w:tcW w:type="dxa" w:w="2494"/>
            <w:shd w:val="clear" w:color="auto" w:fill="F2F5FA"/>
          </w:tcPr>
          <w:p>
            <w:r/>
            <w:r>
              <w:rPr>
                <w:rFonts w:ascii="Times New Roman" w:hAnsi="Times New Roman"/>
                <w:sz w:val="17"/>
              </w:rPr>
              <w:t>Mục 4.7, 5.1, 6.1 – tỷ trọng BĐS trong TSBĐ Agribank</w:t>
            </w:r>
          </w:p>
        </w:tc>
        <w:tc>
          <w:tcPr>
            <w:tcW w:type="dxa" w:w="2778"/>
            <w:shd w:val="clear" w:color="auto" w:fill="F2F5FA"/>
          </w:tcPr>
          <w:p>
            <w:r/>
            <w:r>
              <w:rPr>
                <w:rFonts w:ascii="Times New Roman" w:hAnsi="Times New Roman"/>
                <w:sz w:val="17"/>
              </w:rPr>
              <w:t>"89,0%" và "89,0%–91,8%"</w:t>
            </w:r>
          </w:p>
        </w:tc>
        <w:tc>
          <w:tcPr>
            <w:tcW w:type="dxa" w:w="3685"/>
            <w:shd w:val="clear" w:color="auto" w:fill="F2F5FA"/>
          </w:tcPr>
          <w:p>
            <w:r/>
            <w:r>
              <w:rPr>
                <w:rFonts w:ascii="Times New Roman" w:hAnsi="Times New Roman"/>
                <w:sz w:val="17"/>
              </w:rPr>
              <w:t>"90,2%" (năm 2025) và "88,3%–91,7%" (Chi_tieu dòng 68)</w:t>
            </w:r>
          </w:p>
        </w:tc>
      </w:tr>
      <w:tr>
        <w:tc>
          <w:tcPr>
            <w:tcW w:type="dxa" w:w="567"/>
          </w:tcPr>
          <w:p>
            <w:r/>
            <w:r>
              <w:rPr>
                <w:rFonts w:ascii="Times New Roman" w:hAnsi="Times New Roman"/>
                <w:sz w:val="17"/>
              </w:rPr>
              <w:t>A7</w:t>
            </w:r>
          </w:p>
        </w:tc>
        <w:tc>
          <w:tcPr>
            <w:tcW w:type="dxa" w:w="2494"/>
          </w:tcPr>
          <w:p>
            <w:r/>
            <w:r>
              <w:rPr>
                <w:rFonts w:ascii="Times New Roman" w:hAnsi="Times New Roman"/>
                <w:sz w:val="17"/>
              </w:rPr>
              <w:t>Mục 5.1, 6.1 – CPDP / LN trước dự phòng Agribank</w:t>
            </w:r>
          </w:p>
        </w:tc>
        <w:tc>
          <w:tcPr>
            <w:tcW w:type="dxa" w:w="2778"/>
          </w:tcPr>
          <w:p>
            <w:r/>
            <w:r>
              <w:rPr>
                <w:rFonts w:ascii="Times New Roman" w:hAnsi="Times New Roman"/>
                <w:sz w:val="17"/>
              </w:rPr>
              <w:t>42,8%–59,0%</w:t>
            </w:r>
          </w:p>
        </w:tc>
        <w:tc>
          <w:tcPr>
            <w:tcW w:type="dxa" w:w="3685"/>
          </w:tcPr>
          <w:p>
            <w:r/>
            <w:r>
              <w:rPr>
                <w:rFonts w:ascii="Times New Roman" w:hAnsi="Times New Roman"/>
                <w:sz w:val="17"/>
              </w:rPr>
              <w:t>42,8%–59,1% (Chi_tieu dòng 12: 2021 = 59,10%)</w:t>
            </w:r>
          </w:p>
        </w:tc>
      </w:tr>
      <w:tr>
        <w:tc>
          <w:tcPr>
            <w:tcW w:type="dxa" w:w="567"/>
            <w:shd w:val="clear" w:color="auto" w:fill="F2F5FA"/>
          </w:tcPr>
          <w:p>
            <w:r/>
            <w:r>
              <w:rPr>
                <w:rFonts w:ascii="Times New Roman" w:hAnsi="Times New Roman"/>
                <w:sz w:val="17"/>
              </w:rPr>
              <w:t>A8</w:t>
            </w:r>
          </w:p>
        </w:tc>
        <w:tc>
          <w:tcPr>
            <w:tcW w:type="dxa" w:w="2494"/>
            <w:shd w:val="clear" w:color="auto" w:fill="F2F5FA"/>
          </w:tcPr>
          <w:p>
            <w:r/>
            <w:r>
              <w:rPr>
                <w:rFonts w:ascii="Times New Roman" w:hAnsi="Times New Roman"/>
                <w:sz w:val="17"/>
              </w:rPr>
              <w:t>Bảng 14 (tr.29), dòng 3</w:t>
            </w:r>
          </w:p>
        </w:tc>
        <w:tc>
          <w:tcPr>
            <w:tcW w:type="dxa" w:w="2778"/>
            <w:shd w:val="clear" w:color="auto" w:fill="F2F5FA"/>
          </w:tcPr>
          <w:p>
            <w:r/>
            <w:r>
              <w:rPr>
                <w:rFonts w:ascii="Times New Roman" w:hAnsi="Times New Roman"/>
                <w:sz w:val="17"/>
              </w:rPr>
              <w:t>xóa nợ lũy kế 127.830 tỷ</w:t>
            </w:r>
          </w:p>
        </w:tc>
        <w:tc>
          <w:tcPr>
            <w:tcW w:type="dxa" w:w="3685"/>
            <w:shd w:val="clear" w:color="auto" w:fill="F2F5FA"/>
          </w:tcPr>
          <w:p>
            <w:r/>
            <w:r>
              <w:rPr>
                <w:rFonts w:ascii="Times New Roman" w:hAnsi="Times New Roman"/>
                <w:sz w:val="17"/>
              </w:rPr>
              <w:t>127.831 tỷ (khớp Mục 5.1 và tổng TM 10/11)</w:t>
            </w:r>
          </w:p>
        </w:tc>
      </w:tr>
      <w:tr>
        <w:tc>
          <w:tcPr>
            <w:tcW w:type="dxa" w:w="567"/>
          </w:tcPr>
          <w:p>
            <w:r/>
            <w:r>
              <w:rPr>
                <w:rFonts w:ascii="Times New Roman" w:hAnsi="Times New Roman"/>
                <w:sz w:val="17"/>
              </w:rPr>
              <w:t>A9</w:t>
            </w:r>
          </w:p>
        </w:tc>
        <w:tc>
          <w:tcPr>
            <w:tcW w:type="dxa" w:w="2494"/>
          </w:tcPr>
          <w:p>
            <w:r/>
            <w:r>
              <w:rPr>
                <w:rFonts w:ascii="Times New Roman" w:hAnsi="Times New Roman"/>
                <w:sz w:val="17"/>
              </w:rPr>
              <w:t>Mục 5.3 – tỷ trọng BĐS trong TSBĐ của MB năm 2022</w:t>
            </w:r>
          </w:p>
        </w:tc>
        <w:tc>
          <w:tcPr>
            <w:tcW w:type="dxa" w:w="2778"/>
          </w:tcPr>
          <w:p>
            <w:r/>
            <w:r>
              <w:rPr>
                <w:rFonts w:ascii="Times New Roman" w:hAnsi="Times New Roman"/>
                <w:sz w:val="17"/>
              </w:rPr>
              <w:t>46,8%</w:t>
            </w:r>
          </w:p>
        </w:tc>
        <w:tc>
          <w:tcPr>
            <w:tcW w:type="dxa" w:w="3685"/>
          </w:tcPr>
          <w:p>
            <w:r/>
            <w:r>
              <w:rPr>
                <w:rFonts w:ascii="Times New Roman" w:hAnsi="Times New Roman"/>
                <w:sz w:val="17"/>
              </w:rPr>
              <w:t>38,8% (534.897 / 1.379.184; Chi_tieu dòng 66)</w:t>
            </w:r>
          </w:p>
        </w:tc>
      </w:tr>
      <w:tr>
        <w:tc>
          <w:tcPr>
            <w:tcW w:type="dxa" w:w="567"/>
            <w:shd w:val="clear" w:color="auto" w:fill="F2F5FA"/>
          </w:tcPr>
          <w:p>
            <w:r/>
            <w:r>
              <w:rPr>
                <w:rFonts w:ascii="Times New Roman" w:hAnsi="Times New Roman"/>
                <w:sz w:val="17"/>
              </w:rPr>
              <w:t>A10</w:t>
            </w:r>
          </w:p>
        </w:tc>
        <w:tc>
          <w:tcPr>
            <w:tcW w:type="dxa" w:w="2494"/>
            <w:shd w:val="clear" w:color="auto" w:fill="F2F5FA"/>
          </w:tcPr>
          <w:p>
            <w:r/>
            <w:r>
              <w:rPr>
                <w:rFonts w:ascii="Times New Roman" w:hAnsi="Times New Roman"/>
                <w:sz w:val="17"/>
              </w:rPr>
              <w:t>Mục 5.4 – thu hồi nợ đã XLRR của MB năm 2024</w:t>
            </w:r>
          </w:p>
        </w:tc>
        <w:tc>
          <w:tcPr>
            <w:tcW w:type="dxa" w:w="2778"/>
            <w:shd w:val="clear" w:color="auto" w:fill="F2F5FA"/>
          </w:tcPr>
          <w:p>
            <w:r/>
            <w:r>
              <w:rPr>
                <w:rFonts w:ascii="Times New Roman" w:hAnsi="Times New Roman"/>
                <w:sz w:val="17"/>
              </w:rPr>
              <w:t>2.381 tỷ; tăng 74,0%</w:t>
            </w:r>
          </w:p>
        </w:tc>
        <w:tc>
          <w:tcPr>
            <w:tcW w:type="dxa" w:w="3685"/>
            <w:shd w:val="clear" w:color="auto" w:fill="F2F5FA"/>
          </w:tcPr>
          <w:p>
            <w:r/>
            <w:r>
              <w:rPr>
                <w:rFonts w:ascii="Times New Roman" w:hAnsi="Times New Roman"/>
                <w:sz w:val="17"/>
              </w:rPr>
              <w:t>2.452 tỷ; tăng 68,9% (BCTC_MB_Goc dòng 42)</w:t>
            </w:r>
          </w:p>
        </w:tc>
      </w:tr>
      <w:tr>
        <w:tc>
          <w:tcPr>
            <w:tcW w:type="dxa" w:w="567"/>
          </w:tcPr>
          <w:p>
            <w:r/>
            <w:r>
              <w:rPr>
                <w:rFonts w:ascii="Times New Roman" w:hAnsi="Times New Roman"/>
                <w:sz w:val="17"/>
              </w:rPr>
              <w:t>A11</w:t>
            </w:r>
          </w:p>
        </w:tc>
        <w:tc>
          <w:tcPr>
            <w:tcW w:type="dxa" w:w="2494"/>
          </w:tcPr>
          <w:p>
            <w:r/>
            <w:r>
              <w:rPr>
                <w:rFonts w:ascii="Times New Roman" w:hAnsi="Times New Roman"/>
                <w:sz w:val="17"/>
              </w:rPr>
              <w:t>Mục 5.2 – bội số NPL công ty con / NPL ngân hàng mẹ</w:t>
            </w:r>
          </w:p>
        </w:tc>
        <w:tc>
          <w:tcPr>
            <w:tcW w:type="dxa" w:w="2778"/>
          </w:tcPr>
          <w:p>
            <w:r/>
            <w:r>
              <w:rPr>
                <w:rFonts w:ascii="Times New Roman" w:hAnsi="Times New Roman"/>
                <w:sz w:val="17"/>
              </w:rPr>
              <w:t>"cao gấp 5–7 lần"</w:t>
            </w:r>
          </w:p>
        </w:tc>
        <w:tc>
          <w:tcPr>
            <w:tcW w:type="dxa" w:w="3685"/>
          </w:tcPr>
          <w:p>
            <w:r/>
            <w:r>
              <w:rPr>
                <w:rFonts w:ascii="Times New Roman" w:hAnsi="Times New Roman"/>
                <w:sz w:val="17"/>
              </w:rPr>
              <w:t>"khoảng 5,6–9,1 lần" (Chi_tieu dòng 65)</w:t>
            </w:r>
          </w:p>
        </w:tc>
      </w:tr>
      <w:tr>
        <w:tc>
          <w:tcPr>
            <w:tcW w:type="dxa" w:w="567"/>
            <w:shd w:val="clear" w:color="auto" w:fill="F2F5FA"/>
          </w:tcPr>
          <w:p>
            <w:r/>
            <w:r>
              <w:rPr>
                <w:rFonts w:ascii="Times New Roman" w:hAnsi="Times New Roman"/>
                <w:sz w:val="17"/>
              </w:rPr>
              <w:t>A12</w:t>
            </w:r>
          </w:p>
        </w:tc>
        <w:tc>
          <w:tcPr>
            <w:tcW w:type="dxa" w:w="2494"/>
            <w:shd w:val="clear" w:color="auto" w:fill="F2F5FA"/>
          </w:tcPr>
          <w:p>
            <w:r/>
            <w:r>
              <w:rPr>
                <w:rFonts w:ascii="Times New Roman" w:hAnsi="Times New Roman"/>
                <w:sz w:val="17"/>
              </w:rPr>
              <w:t>Bảng 12 (tr.23), KB3 – Agribank</w:t>
            </w:r>
          </w:p>
        </w:tc>
        <w:tc>
          <w:tcPr>
            <w:tcW w:type="dxa" w:w="2778"/>
            <w:shd w:val="clear" w:color="auto" w:fill="F2F5FA"/>
          </w:tcPr>
          <w:p>
            <w:r/>
            <w:r>
              <w:rPr>
                <w:rFonts w:ascii="Times New Roman" w:hAnsi="Times New Roman"/>
                <w:sz w:val="17"/>
              </w:rPr>
              <w:t>Thiếu +5.489 tỷ (+14,6%)</w:t>
            </w:r>
          </w:p>
        </w:tc>
        <w:tc>
          <w:tcPr>
            <w:tcW w:type="dxa" w:w="3685"/>
            <w:shd w:val="clear" w:color="auto" w:fill="F2F5FA"/>
          </w:tcPr>
          <w:p>
            <w:r/>
            <w:r>
              <w:rPr>
                <w:rFonts w:ascii="Times New Roman" w:hAnsi="Times New Roman"/>
                <w:sz w:val="17"/>
              </w:rPr>
              <w:t>+14,7% (5.489 / 37.465 = 14,65%)</w:t>
            </w:r>
          </w:p>
        </w:tc>
      </w:tr>
      <w:tr>
        <w:tc>
          <w:tcPr>
            <w:tcW w:type="dxa" w:w="567"/>
          </w:tcPr>
          <w:p>
            <w:r/>
            <w:r>
              <w:rPr>
                <w:rFonts w:ascii="Times New Roman" w:hAnsi="Times New Roman"/>
                <w:sz w:val="17"/>
              </w:rPr>
              <w:t>A13</w:t>
            </w:r>
          </w:p>
        </w:tc>
        <w:tc>
          <w:tcPr>
            <w:tcW w:type="dxa" w:w="2494"/>
          </w:tcPr>
          <w:p>
            <w:r/>
            <w:r>
              <w:rPr>
                <w:rFonts w:ascii="Times New Roman" w:hAnsi="Times New Roman"/>
                <w:sz w:val="17"/>
              </w:rPr>
              <w:t>Bảng 12, KB4 – cột đánh giá</w:t>
            </w:r>
          </w:p>
        </w:tc>
        <w:tc>
          <w:tcPr>
            <w:tcW w:type="dxa" w:w="2778"/>
          </w:tcPr>
          <w:p>
            <w:r/>
            <w:r>
              <w:rPr>
                <w:rFonts w:ascii="Times New Roman" w:hAnsi="Times New Roman"/>
                <w:sz w:val="17"/>
              </w:rPr>
              <w:t>"MB tổn thất -12,8% VCSH; cả hai tiệm cận ngưỡng 9,5%"</w:t>
            </w:r>
          </w:p>
        </w:tc>
        <w:tc>
          <w:tcPr>
            <w:tcW w:type="dxa" w:w="3685"/>
          </w:tcPr>
          <w:p>
            <w:r/>
            <w:r>
              <w:rPr>
                <w:rFonts w:ascii="Times New Roman" w:hAnsi="Times New Roman"/>
                <w:sz w:val="17"/>
              </w:rPr>
              <w:t>VCSH MB giảm khoảng 10,3% (18.243 × 0,8 / 142.023); bỏ "ngưỡng 9,5%" vì không phải ngưỡng pháp lý</w:t>
            </w:r>
          </w:p>
        </w:tc>
      </w:tr>
      <w:tr>
        <w:tc>
          <w:tcPr>
            <w:tcW w:type="dxa" w:w="567"/>
            <w:shd w:val="clear" w:color="auto" w:fill="F2F5FA"/>
          </w:tcPr>
          <w:p>
            <w:r/>
            <w:r>
              <w:rPr>
                <w:rFonts w:ascii="Times New Roman" w:hAnsi="Times New Roman"/>
                <w:sz w:val="17"/>
              </w:rPr>
              <w:t>A14</w:t>
            </w:r>
          </w:p>
        </w:tc>
        <w:tc>
          <w:tcPr>
            <w:tcW w:type="dxa" w:w="2494"/>
            <w:shd w:val="clear" w:color="auto" w:fill="F2F5FA"/>
          </w:tcPr>
          <w:p>
            <w:r/>
            <w:r>
              <w:rPr>
                <w:rFonts w:ascii="Times New Roman" w:hAnsi="Times New Roman"/>
                <w:sz w:val="17"/>
              </w:rPr>
              <w:t>Bảng 12, KB3 – cột đánh giá</w:t>
            </w:r>
          </w:p>
        </w:tc>
        <w:tc>
          <w:tcPr>
            <w:tcW w:type="dxa" w:w="2778"/>
            <w:shd w:val="clear" w:color="auto" w:fill="F2F5FA"/>
          </w:tcPr>
          <w:p>
            <w:r/>
            <w:r>
              <w:rPr>
                <w:rFonts w:ascii="Times New Roman" w:hAnsi="Times New Roman"/>
                <w:sz w:val="17"/>
              </w:rPr>
              <w:t>"Agribank giữ vững CAR tối thiểu 10,00%; MB xuống dưới ngưỡng 10,00%"</w:t>
            </w:r>
          </w:p>
        </w:tc>
        <w:tc>
          <w:tcPr>
            <w:tcW w:type="dxa" w:w="3685"/>
            <w:shd w:val="clear" w:color="auto" w:fill="F2F5FA"/>
          </w:tcPr>
          <w:p>
            <w:r/>
            <w:r>
              <w:rPr>
                <w:rFonts w:ascii="Times New Roman" w:hAnsi="Times New Roman"/>
                <w:sz w:val="17"/>
              </w:rPr>
              <w:t>Diễn đạt lại: CAR Agribank 9,998% (≈10,00%), MB 9,97%; 10% không phải ngưỡng pháp lý</w:t>
            </w:r>
          </w:p>
        </w:tc>
      </w:tr>
      <w:tr>
        <w:tc>
          <w:tcPr>
            <w:tcW w:type="dxa" w:w="567"/>
          </w:tcPr>
          <w:p>
            <w:r/>
            <w:r>
              <w:rPr>
                <w:rFonts w:ascii="Times New Roman" w:hAnsi="Times New Roman"/>
                <w:sz w:val="17"/>
              </w:rPr>
              <w:t>A15</w:t>
            </w:r>
          </w:p>
        </w:tc>
        <w:tc>
          <w:tcPr>
            <w:tcW w:type="dxa" w:w="2494"/>
          </w:tcPr>
          <w:p>
            <w:r/>
            <w:r>
              <w:rPr>
                <w:rFonts w:ascii="Times New Roman" w:hAnsi="Times New Roman"/>
                <w:sz w:val="17"/>
              </w:rPr>
              <w:t>Nguồn Bảng 8 (tr.18)</w:t>
            </w:r>
          </w:p>
        </w:tc>
        <w:tc>
          <w:tcPr>
            <w:tcW w:type="dxa" w:w="2778"/>
          </w:tcPr>
          <w:p>
            <w:r/>
            <w:r>
              <w:rPr>
                <w:rFonts w:ascii="Times New Roman" w:hAnsi="Times New Roman"/>
                <w:sz w:val="17"/>
              </w:rPr>
              <w:t>sheet Chi_tieu, dòng 20–21 và 35–37</w:t>
            </w:r>
          </w:p>
        </w:tc>
        <w:tc>
          <w:tcPr>
            <w:tcW w:type="dxa" w:w="3685"/>
          </w:tcPr>
          <w:p>
            <w:r/>
            <w:r>
              <w:rPr>
                <w:rFonts w:ascii="Times New Roman" w:hAnsi="Times New Roman"/>
                <w:sz w:val="17"/>
              </w:rPr>
              <w:t>dòng 48–56 (vị trí thực của khối RORAC)</w:t>
            </w:r>
          </w:p>
        </w:tc>
      </w:tr>
      <w:tr>
        <w:tc>
          <w:tcPr>
            <w:tcW w:type="dxa" w:w="567"/>
            <w:shd w:val="clear" w:color="auto" w:fill="F2F5FA"/>
          </w:tcPr>
          <w:p>
            <w:r/>
            <w:r>
              <w:rPr>
                <w:rFonts w:ascii="Times New Roman" w:hAnsi="Times New Roman"/>
                <w:sz w:val="17"/>
              </w:rPr>
              <w:t>A16</w:t>
            </w:r>
          </w:p>
        </w:tc>
        <w:tc>
          <w:tcPr>
            <w:tcW w:type="dxa" w:w="2494"/>
            <w:shd w:val="clear" w:color="auto" w:fill="F2F5FA"/>
          </w:tcPr>
          <w:p>
            <w:r/>
            <w:r>
              <w:rPr>
                <w:rFonts w:ascii="Times New Roman" w:hAnsi="Times New Roman"/>
                <w:sz w:val="17"/>
              </w:rPr>
              <w:t>Mục 4.3, 6.1 – nợ nhóm 2 Agribank</w:t>
            </w:r>
          </w:p>
        </w:tc>
        <w:tc>
          <w:tcPr>
            <w:tcW w:type="dxa" w:w="2778"/>
            <w:shd w:val="clear" w:color="auto" w:fill="F2F5FA"/>
          </w:tcPr>
          <w:p>
            <w:r/>
            <w:r>
              <w:rPr>
                <w:rFonts w:ascii="Times New Roman" w:hAnsi="Times New Roman"/>
                <w:sz w:val="17"/>
              </w:rPr>
              <w:t>"tỷ lệ nợ nhóm 2 đạt đỉnh 2,44% năm 2022"</w:t>
            </w:r>
          </w:p>
        </w:tc>
        <w:tc>
          <w:tcPr>
            <w:tcW w:type="dxa" w:w="3685"/>
            <w:shd w:val="clear" w:color="auto" w:fill="F2F5FA"/>
          </w:tcPr>
          <w:p>
            <w:r/>
            <w:r>
              <w:rPr>
                <w:rFonts w:ascii="Times New Roman" w:hAnsi="Times New Roman"/>
                <w:sz w:val="17"/>
              </w:rPr>
              <w:t>Đỉnh tuyệt đối 35.280 tỷ năm 2022 (2,44%); tỷ lệ cao nhất của giai đoạn là 2,48% (2020)</w:t>
            </w:r>
          </w:p>
        </w:tc>
      </w:tr>
      <w:tr>
        <w:tc>
          <w:tcPr>
            <w:tcW w:type="dxa" w:w="567"/>
          </w:tcPr>
          <w:p>
            <w:r/>
            <w:r>
              <w:rPr>
                <w:rFonts w:ascii="Times New Roman" w:hAnsi="Times New Roman"/>
                <w:sz w:val="17"/>
              </w:rPr>
              <w:t>A17</w:t>
            </w:r>
          </w:p>
        </w:tc>
        <w:tc>
          <w:tcPr>
            <w:tcW w:type="dxa" w:w="2494"/>
          </w:tcPr>
          <w:p>
            <w:r/>
            <w:r>
              <w:rPr>
                <w:rFonts w:ascii="Times New Roman" w:hAnsi="Times New Roman"/>
                <w:sz w:val="17"/>
              </w:rPr>
              <w:t>Bảng 10 (tr.21), dòng thặng dư CAR</w:t>
            </w:r>
          </w:p>
        </w:tc>
        <w:tc>
          <w:tcPr>
            <w:tcW w:type="dxa" w:w="2778"/>
          </w:tcPr>
          <w:p>
            <w:r/>
            <w:r>
              <w:rPr>
                <w:rFonts w:ascii="Times New Roman" w:hAnsi="Times New Roman"/>
                <w:sz w:val="17"/>
              </w:rPr>
              <w:t>+2,22% / +1,89% / +1,44% / +0,67%</w:t>
            </w:r>
          </w:p>
        </w:tc>
        <w:tc>
          <w:tcPr>
            <w:tcW w:type="dxa" w:w="3685"/>
          </w:tcPr>
          <w:p>
            <w:r/>
            <w:r>
              <w:rPr>
                <w:rFonts w:ascii="Times New Roman" w:hAnsi="Times New Roman"/>
                <w:sz w:val="17"/>
              </w:rPr>
              <w:t>Ghi đơn vị điểm %: +2,22 / +1,89 / +1,44 / +0,67</w:t>
            </w:r>
          </w:p>
        </w:tc>
      </w:tr>
      <w:tr>
        <w:tc>
          <w:tcPr>
            <w:tcW w:type="dxa" w:w="567"/>
            <w:shd w:val="clear" w:color="auto" w:fill="F2F5FA"/>
          </w:tcPr>
          <w:p>
            <w:r/>
            <w:r>
              <w:rPr>
                <w:rFonts w:ascii="Times New Roman" w:hAnsi="Times New Roman"/>
                <w:sz w:val="17"/>
              </w:rPr>
              <w:t>A18</w:t>
            </w:r>
          </w:p>
        </w:tc>
        <w:tc>
          <w:tcPr>
            <w:tcW w:type="dxa" w:w="2494"/>
            <w:shd w:val="clear" w:color="auto" w:fill="F2F5FA"/>
          </w:tcPr>
          <w:p>
            <w:r/>
            <w:r>
              <w:rPr>
                <w:rFonts w:ascii="Times New Roman" w:hAnsi="Times New Roman"/>
                <w:sz w:val="17"/>
              </w:rPr>
              <w:t>Mục 2.2, 5.3 – chứng khoán nợ do TCTD phát hành 2022</w:t>
            </w:r>
          </w:p>
        </w:tc>
        <w:tc>
          <w:tcPr>
            <w:tcW w:type="dxa" w:w="2778"/>
            <w:shd w:val="clear" w:color="auto" w:fill="F2F5FA"/>
          </w:tcPr>
          <w:p>
            <w:r/>
            <w:r>
              <w:rPr>
                <w:rFonts w:ascii="Times New Roman" w:hAnsi="Times New Roman"/>
                <w:sz w:val="17"/>
              </w:rPr>
              <w:t>66.307 tỷ (Excel BCTC_MB_Goc dòng 53 ghi 68.221 tỷ)</w:t>
            </w:r>
          </w:p>
        </w:tc>
        <w:tc>
          <w:tcPr>
            <w:tcW w:type="dxa" w:w="3685"/>
            <w:shd w:val="clear" w:color="auto" w:fill="F2F5FA"/>
          </w:tcPr>
          <w:p>
            <w:r/>
            <w:r>
              <w:rPr>
                <w:rFonts w:ascii="Times New Roman" w:hAnsi="Times New Roman"/>
                <w:sz w:val="17"/>
              </w:rPr>
              <w:t>Bỏ con số khỏi lời văn (không ảnh hưởng lập luận) cho tới khi nhóm xác nhận (xem IV.1)</w:t>
            </w:r>
          </w:p>
        </w:tc>
      </w:tr>
      <w:tr>
        <w:tc>
          <w:tcPr>
            <w:tcW w:type="dxa" w:w="567"/>
          </w:tcPr>
          <w:p>
            <w:r/>
            <w:r>
              <w:rPr>
                <w:rFonts w:ascii="Times New Roman" w:hAnsi="Times New Roman"/>
                <w:sz w:val="17"/>
              </w:rPr>
              <w:t>A19</w:t>
            </w:r>
          </w:p>
        </w:tc>
        <w:tc>
          <w:tcPr>
            <w:tcW w:type="dxa" w:w="2494"/>
          </w:tcPr>
          <w:p>
            <w:r/>
            <w:r>
              <w:rPr>
                <w:rFonts w:ascii="Times New Roman" w:hAnsi="Times New Roman"/>
                <w:sz w:val="17"/>
              </w:rPr>
              <w:t>Excel – tỷ trọng tam nông Agribank 2020–2022 (BCTC_Agribank_Goc D57:F57, cả hai tệp)</w:t>
            </w:r>
          </w:p>
        </w:tc>
        <w:tc>
          <w:tcPr>
            <w:tcW w:type="dxa" w:w="2778"/>
          </w:tcPr>
          <w:p>
            <w:r/>
            <w:r>
              <w:rPr>
                <w:rFonts w:ascii="Times New Roman" w:hAnsi="Times New Roman"/>
                <w:sz w:val="17"/>
              </w:rPr>
              <w:t>68,5% / 67,2% / 65,5% (số lẻ không có trong BCTN)</w:t>
            </w:r>
          </w:p>
        </w:tc>
        <w:tc>
          <w:tcPr>
            <w:tcW w:type="dxa" w:w="3685"/>
          </w:tcPr>
          <w:p>
            <w:r/>
            <w:r>
              <w:rPr>
                <w:rFonts w:ascii="Times New Roman" w:hAnsi="Times New Roman"/>
                <w:sz w:val="17"/>
              </w:rPr>
              <w:t>~70% / 65–70% / &gt;65%, đúng như Word Bảng 9 và ghi chú sheet Kiem_chung</w:t>
            </w:r>
          </w:p>
        </w:tc>
      </w:tr>
    </w:tbl>
    <w:p>
      <w:pPr>
        <w:spacing w:after="120"/>
      </w:pPr>
    </w:p>
    <w:p>
      <w:pPr>
        <w:spacing w:after="80"/>
      </w:pPr>
      <w:r>
        <w:rPr>
          <w:rFonts w:ascii="Times New Roman" w:hAnsi="Times New Roman" w:eastAsia="Times New Roman"/>
          <w:b/>
          <w:i w:val="0"/>
          <w:color w:val="1F3864"/>
          <w:sz w:val="23"/>
        </w:rPr>
        <w:t>B. Pháp lý và tài liệu tham khảo</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567"/>
        <w:gridCol w:w="2041"/>
        <w:gridCol w:w="2948"/>
        <w:gridCol w:w="3969"/>
      </w:tblGrid>
      <w:tr>
        <w:tc>
          <w:tcPr>
            <w:tcW w:type="dxa" w:w="567"/>
            <w:shd w:val="clear" w:color="auto" w:fill="1F3864"/>
          </w:tcPr>
          <w:p>
            <w:r/>
            <w:r>
              <w:rPr>
                <w:rFonts w:ascii="Times New Roman" w:hAnsi="Times New Roman"/>
                <w:b/>
                <w:color w:val="FFFFFF"/>
                <w:sz w:val="17"/>
              </w:rPr>
              <w:t>#</w:t>
            </w:r>
          </w:p>
        </w:tc>
        <w:tc>
          <w:tcPr>
            <w:tcW w:type="dxa" w:w="2041"/>
            <w:shd w:val="clear" w:color="auto" w:fill="1F3864"/>
          </w:tcPr>
          <w:p>
            <w:r/>
            <w:r>
              <w:rPr>
                <w:rFonts w:ascii="Times New Roman" w:hAnsi="Times New Roman"/>
                <w:b/>
                <w:color w:val="FFFFFF"/>
                <w:sz w:val="17"/>
              </w:rPr>
              <w:t>Vị trí</w:t>
            </w:r>
          </w:p>
        </w:tc>
        <w:tc>
          <w:tcPr>
            <w:tcW w:type="dxa" w:w="2948"/>
            <w:shd w:val="clear" w:color="auto" w:fill="1F3864"/>
          </w:tcPr>
          <w:p>
            <w:r/>
            <w:r>
              <w:rPr>
                <w:rFonts w:ascii="Times New Roman" w:hAnsi="Times New Roman"/>
                <w:b/>
                <w:color w:val="FFFFFF"/>
                <w:sz w:val="17"/>
              </w:rPr>
              <w:t>Nội dung hiện tại (v2)</w:t>
            </w:r>
          </w:p>
        </w:tc>
        <w:tc>
          <w:tcPr>
            <w:tcW w:type="dxa" w:w="3969"/>
            <w:shd w:val="clear" w:color="auto" w:fill="1F3864"/>
          </w:tcPr>
          <w:p>
            <w:r/>
            <w:r>
              <w:rPr>
                <w:rFonts w:ascii="Times New Roman" w:hAnsi="Times New Roman"/>
                <w:b/>
                <w:color w:val="FFFFFF"/>
                <w:sz w:val="17"/>
              </w:rPr>
              <w:t>Sửa đổi (v3)</w:t>
            </w:r>
          </w:p>
        </w:tc>
      </w:tr>
      <w:tr>
        <w:tc>
          <w:tcPr>
            <w:tcW w:type="dxa" w:w="567"/>
          </w:tcPr>
          <w:p>
            <w:r/>
            <w:r>
              <w:rPr>
                <w:rFonts w:ascii="Times New Roman" w:hAnsi="Times New Roman"/>
                <w:sz w:val="17"/>
              </w:rPr>
              <w:t>B1</w:t>
            </w:r>
          </w:p>
        </w:tc>
        <w:tc>
          <w:tcPr>
            <w:tcW w:type="dxa" w:w="2041"/>
          </w:tcPr>
          <w:p>
            <w:r/>
            <w:r>
              <w:rPr>
                <w:rFonts w:ascii="Times New Roman" w:hAnsi="Times New Roman"/>
                <w:sz w:val="17"/>
              </w:rPr>
              <w:t>Bảng 1 (tr.7), dòng TT 53/2024; Mục 5.1</w:t>
            </w:r>
          </w:p>
        </w:tc>
        <w:tc>
          <w:tcPr>
            <w:tcW w:type="dxa" w:w="2948"/>
          </w:tcPr>
          <w:p>
            <w:r/>
            <w:r>
              <w:rPr>
                <w:rFonts w:ascii="Times New Roman" w:hAnsi="Times New Roman"/>
                <w:sz w:val="17"/>
              </w:rPr>
              <w:t>TT 53 "giữ nguyên nhóm nợ, trích dự phòng 35% (2024), 70% (2025)"; hiệu lực "Cuối 2024"</w:t>
            </w:r>
          </w:p>
        </w:tc>
        <w:tc>
          <w:tcPr>
            <w:tcW w:type="dxa" w:w="3969"/>
          </w:tcPr>
          <w:p>
            <w:r/>
            <w:r>
              <w:rPr>
                <w:rFonts w:ascii="Times New Roman" w:hAnsi="Times New Roman"/>
                <w:sz w:val="17"/>
              </w:rPr>
              <w:t>TT 53/2024 (hiệu lực 04/12/2024) chỉ quy định cơ cấu lại thời hạn trả nợ; việc giữ nguyên nhóm nợ và lộ trình trích dự phòng cụ thể bổ sung tối thiểu 35% đến 31/12/2024 và 70% đến 31/12/2025 thuộc Quyết định 1510/QĐ-TTg ngày 04/12/2024</w:t>
            </w:r>
          </w:p>
        </w:tc>
      </w:tr>
      <w:tr>
        <w:tc>
          <w:tcPr>
            <w:tcW w:type="dxa" w:w="567"/>
            <w:shd w:val="clear" w:color="auto" w:fill="F2F5FA"/>
          </w:tcPr>
          <w:p>
            <w:r/>
            <w:r>
              <w:rPr>
                <w:rFonts w:ascii="Times New Roman" w:hAnsi="Times New Roman"/>
                <w:sz w:val="17"/>
              </w:rPr>
              <w:t>B2</w:t>
            </w:r>
          </w:p>
        </w:tc>
        <w:tc>
          <w:tcPr>
            <w:tcW w:type="dxa" w:w="2041"/>
            <w:shd w:val="clear" w:color="auto" w:fill="F2F5FA"/>
          </w:tcPr>
          <w:p>
            <w:r/>
            <w:r>
              <w:rPr>
                <w:rFonts w:ascii="Times New Roman" w:hAnsi="Times New Roman"/>
                <w:sz w:val="17"/>
              </w:rPr>
              <w:t>Mục 5.3 – phân loại nợ theo CIC</w:t>
            </w:r>
          </w:p>
        </w:tc>
        <w:tc>
          <w:tcPr>
            <w:tcW w:type="dxa" w:w="2948"/>
            <w:shd w:val="clear" w:color="auto" w:fill="F2F5FA"/>
          </w:tcPr>
          <w:p>
            <w:r/>
            <w:r>
              <w:rPr>
                <w:rFonts w:ascii="Times New Roman" w:hAnsi="Times New Roman"/>
                <w:sz w:val="17"/>
              </w:rPr>
              <w:t>"theo Điều 10 Thông tư 11/2021"</w:t>
            </w:r>
          </w:p>
        </w:tc>
        <w:tc>
          <w:tcPr>
            <w:tcW w:type="dxa" w:w="3969"/>
            <w:shd w:val="clear" w:color="auto" w:fill="F2F5FA"/>
          </w:tcPr>
          <w:p>
            <w:r/>
            <w:r>
              <w:rPr>
                <w:rFonts w:ascii="Times New Roman" w:hAnsi="Times New Roman"/>
                <w:sz w:val="17"/>
              </w:rPr>
              <w:t>"theo Điều 8 Thông tư 11/2021" (Điều 10 là phân loại theo phương pháp định lượng; Điều 8 quy định quy trình CIC cung cấp kết quả và TCTD điều chỉnh nhóm nợ)</w:t>
            </w:r>
          </w:p>
        </w:tc>
      </w:tr>
      <w:tr>
        <w:tc>
          <w:tcPr>
            <w:tcW w:type="dxa" w:w="567"/>
          </w:tcPr>
          <w:p>
            <w:r/>
            <w:r>
              <w:rPr>
                <w:rFonts w:ascii="Times New Roman" w:hAnsi="Times New Roman"/>
                <w:sz w:val="17"/>
              </w:rPr>
              <w:t>B3</w:t>
            </w:r>
          </w:p>
        </w:tc>
        <w:tc>
          <w:tcPr>
            <w:tcW w:type="dxa" w:w="2041"/>
          </w:tcPr>
          <w:p>
            <w:r/>
            <w:r>
              <w:rPr>
                <w:rFonts w:ascii="Times New Roman" w:hAnsi="Times New Roman"/>
                <w:sz w:val="17"/>
              </w:rPr>
              <w:t>Mục 5.1 – biện pháp của Agribank</w:t>
            </w:r>
          </w:p>
        </w:tc>
        <w:tc>
          <w:tcPr>
            <w:tcW w:type="dxa" w:w="2948"/>
          </w:tcPr>
          <w:p>
            <w:r/>
            <w:r>
              <w:rPr>
                <w:rFonts w:ascii="Times New Roman" w:hAnsi="Times New Roman"/>
                <w:sz w:val="17"/>
              </w:rPr>
              <w:t>"áp dụng Luật 96/2025 (Điều 198a) để thu hồi … đạt 12.123 tỷ năm 2025"</w:t>
            </w:r>
          </w:p>
        </w:tc>
        <w:tc>
          <w:tcPr>
            <w:tcW w:type="dxa" w:w="3969"/>
          </w:tcPr>
          <w:p>
            <w:r/>
            <w:r>
              <w:rPr>
                <w:rFonts w:ascii="Times New Roman" w:hAnsi="Times New Roman"/>
                <w:sz w:val="17"/>
              </w:rPr>
              <w:t>Luật 96/2025 chỉ có hiệu lực từ 15/10/2025 → ghi là cơ sở pháp lý bổ sung từ 15/10/2025, không gán toàn bộ kết quả thu hồi năm 2025 cho luật này</w:t>
            </w:r>
          </w:p>
        </w:tc>
      </w:tr>
      <w:tr>
        <w:tc>
          <w:tcPr>
            <w:tcW w:type="dxa" w:w="567"/>
            <w:shd w:val="clear" w:color="auto" w:fill="F2F5FA"/>
          </w:tcPr>
          <w:p>
            <w:r/>
            <w:r>
              <w:rPr>
                <w:rFonts w:ascii="Times New Roman" w:hAnsi="Times New Roman"/>
                <w:sz w:val="17"/>
              </w:rPr>
              <w:t>B4</w:t>
            </w:r>
          </w:p>
        </w:tc>
        <w:tc>
          <w:tcPr>
            <w:tcW w:type="dxa" w:w="2041"/>
            <w:shd w:val="clear" w:color="auto" w:fill="F2F5FA"/>
          </w:tcPr>
          <w:p>
            <w:r/>
            <w:r>
              <w:rPr>
                <w:rFonts w:ascii="Times New Roman" w:hAnsi="Times New Roman"/>
                <w:sz w:val="17"/>
              </w:rPr>
              <w:t>Mục 4.2 – trích dẫn Laeven &amp; Majnoni (2003)</w:t>
            </w:r>
          </w:p>
        </w:tc>
        <w:tc>
          <w:tcPr>
            <w:tcW w:type="dxa" w:w="2948"/>
            <w:shd w:val="clear" w:color="auto" w:fill="F2F5FA"/>
          </w:tcPr>
          <w:p>
            <w:r/>
            <w:r>
              <w:rPr>
                <w:rFonts w:ascii="Times New Roman" w:hAnsi="Times New Roman"/>
                <w:sz w:val="17"/>
              </w:rPr>
              <w:t>"giả thuyết làm mượt lợi nhuận"</w:t>
            </w:r>
          </w:p>
        </w:tc>
        <w:tc>
          <w:tcPr>
            <w:tcW w:type="dxa" w:w="3969"/>
            <w:shd w:val="clear" w:color="auto" w:fill="F2F5FA"/>
          </w:tcPr>
          <w:p>
            <w:r/>
            <w:r>
              <w:rPr>
                <w:rFonts w:ascii="Times New Roman" w:hAnsi="Times New Roman"/>
                <w:sz w:val="17"/>
              </w:rPr>
              <w:t>Bổ sung đúng luận điểm chính của bài: trích lập dự phòng thuận chu kỳ ("quá ít, quá muộn") kèm động cơ làm mượt lợi nhuận</w:t>
            </w:r>
          </w:p>
        </w:tc>
      </w:tr>
      <w:tr>
        <w:tc>
          <w:tcPr>
            <w:tcW w:type="dxa" w:w="567"/>
          </w:tcPr>
          <w:p>
            <w:r/>
            <w:r>
              <w:rPr>
                <w:rFonts w:ascii="Times New Roman" w:hAnsi="Times New Roman"/>
                <w:sz w:val="17"/>
              </w:rPr>
              <w:t>B5</w:t>
            </w:r>
          </w:p>
        </w:tc>
        <w:tc>
          <w:tcPr>
            <w:tcW w:type="dxa" w:w="2041"/>
          </w:tcPr>
          <w:p>
            <w:r/>
            <w:r>
              <w:rPr>
                <w:rFonts w:ascii="Times New Roman" w:hAnsi="Times New Roman"/>
                <w:sz w:val="17"/>
              </w:rPr>
              <w:t>TLTK [1]</w:t>
            </w:r>
          </w:p>
        </w:tc>
        <w:tc>
          <w:tcPr>
            <w:tcW w:type="dxa" w:w="2948"/>
          </w:tcPr>
          <w:p>
            <w:r/>
            <w:r>
              <w:rPr>
                <w:rFonts w:ascii="Times New Roman" w:hAnsi="Times New Roman"/>
                <w:sz w:val="17"/>
              </w:rPr>
              <w:t>Kiểm toán bởi "Ernst &amp; Young và Deloitte"</w:t>
            </w:r>
          </w:p>
        </w:tc>
        <w:tc>
          <w:tcPr>
            <w:tcW w:type="dxa" w:w="3969"/>
          </w:tcPr>
          <w:p>
            <w:r/>
            <w:r>
              <w:rPr>
                <w:rFonts w:ascii="Times New Roman" w:hAnsi="Times New Roman"/>
                <w:sz w:val="17"/>
              </w:rPr>
              <w:t>Deloitte Việt Nam, KPMG Việt Nam và Ernst &amp; Young Việt Nam (theo sheet Muc_luc_Ho_so_PDF: 2020 Deloitte; 2021, 2023 KPMG; 2025 EY)</w:t>
            </w:r>
          </w:p>
        </w:tc>
      </w:tr>
      <w:tr>
        <w:tc>
          <w:tcPr>
            <w:tcW w:type="dxa" w:w="567"/>
            <w:shd w:val="clear" w:color="auto" w:fill="F2F5FA"/>
          </w:tcPr>
          <w:p>
            <w:r/>
            <w:r>
              <w:rPr>
                <w:rFonts w:ascii="Times New Roman" w:hAnsi="Times New Roman"/>
                <w:sz w:val="17"/>
              </w:rPr>
              <w:t>B6</w:t>
            </w:r>
          </w:p>
        </w:tc>
        <w:tc>
          <w:tcPr>
            <w:tcW w:type="dxa" w:w="2041"/>
            <w:shd w:val="clear" w:color="auto" w:fill="F2F5FA"/>
          </w:tcPr>
          <w:p>
            <w:r/>
            <w:r>
              <w:rPr>
                <w:rFonts w:ascii="Times New Roman" w:hAnsi="Times New Roman"/>
                <w:sz w:val="17"/>
              </w:rPr>
              <w:t>Danh mục TLTK</w:t>
            </w:r>
          </w:p>
        </w:tc>
        <w:tc>
          <w:tcPr>
            <w:tcW w:type="dxa" w:w="2948"/>
            <w:shd w:val="clear" w:color="auto" w:fill="F2F5FA"/>
          </w:tcPr>
          <w:p>
            <w:r/>
            <w:r>
              <w:rPr>
                <w:rFonts w:ascii="Times New Roman" w:hAnsi="Times New Roman"/>
                <w:sz w:val="17"/>
              </w:rPr>
              <w:t>[1]–[24], thiếu QĐ 1510/QĐ-TTg</w:t>
            </w:r>
          </w:p>
        </w:tc>
        <w:tc>
          <w:tcPr>
            <w:tcW w:type="dxa" w:w="3969"/>
            <w:shd w:val="clear" w:color="auto" w:fill="F2F5FA"/>
          </w:tcPr>
          <w:p>
            <w:r/>
            <w:r>
              <w:rPr>
                <w:rFonts w:ascii="Times New Roman" w:hAnsi="Times New Roman"/>
                <w:sz w:val="17"/>
              </w:rPr>
              <w:t>Thêm [17] Thủ tướng Chính phủ (2024), QĐ 1510/QĐ-TTg; tài liệu tiếng Anh đánh số lại [18]–[25]. Thân bài không trích theo số [n] nên không phải sửa chỗ khác</w:t>
            </w:r>
          </w:p>
        </w:tc>
      </w:tr>
    </w:tbl>
    <w:p>
      <w:pPr>
        <w:spacing w:after="120"/>
      </w:pPr>
    </w:p>
    <w:p>
      <w:pPr>
        <w:spacing w:after="80"/>
      </w:pPr>
      <w:r>
        <w:rPr>
          <w:rFonts w:ascii="Times New Roman" w:hAnsi="Times New Roman" w:eastAsia="Times New Roman"/>
          <w:b/>
          <w:i w:val="0"/>
          <w:color w:val="1F3864"/>
          <w:sz w:val="23"/>
        </w:rPr>
        <w:t>C. Văn phong học thuật (bỏ suy diễn động cơ, khẳng định quá mức)</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567"/>
        <w:gridCol w:w="1927"/>
        <w:gridCol w:w="3515"/>
        <w:gridCol w:w="3515"/>
      </w:tblGrid>
      <w:tr>
        <w:tc>
          <w:tcPr>
            <w:tcW w:type="dxa" w:w="567"/>
            <w:shd w:val="clear" w:color="auto" w:fill="1F3864"/>
          </w:tcPr>
          <w:p>
            <w:r/>
            <w:r>
              <w:rPr>
                <w:rFonts w:ascii="Times New Roman" w:hAnsi="Times New Roman"/>
                <w:b/>
                <w:color w:val="FFFFFF"/>
                <w:sz w:val="17"/>
              </w:rPr>
              <w:t>#</w:t>
            </w:r>
          </w:p>
        </w:tc>
        <w:tc>
          <w:tcPr>
            <w:tcW w:type="dxa" w:w="1928"/>
            <w:shd w:val="clear" w:color="auto" w:fill="1F3864"/>
          </w:tcPr>
          <w:p>
            <w:r/>
            <w:r>
              <w:rPr>
                <w:rFonts w:ascii="Times New Roman" w:hAnsi="Times New Roman"/>
                <w:b/>
                <w:color w:val="FFFFFF"/>
                <w:sz w:val="17"/>
              </w:rPr>
              <w:t>Vị trí</w:t>
            </w:r>
          </w:p>
        </w:tc>
        <w:tc>
          <w:tcPr>
            <w:tcW w:type="dxa" w:w="3515"/>
            <w:shd w:val="clear" w:color="auto" w:fill="1F3864"/>
          </w:tcPr>
          <w:p>
            <w:r/>
            <w:r>
              <w:rPr>
                <w:rFonts w:ascii="Times New Roman" w:hAnsi="Times New Roman"/>
                <w:b/>
                <w:color w:val="FFFFFF"/>
                <w:sz w:val="17"/>
              </w:rPr>
              <w:t>Hiện tại (v2)</w:t>
            </w:r>
          </w:p>
        </w:tc>
        <w:tc>
          <w:tcPr>
            <w:tcW w:type="dxa" w:w="3515"/>
            <w:shd w:val="clear" w:color="auto" w:fill="1F3864"/>
          </w:tcPr>
          <w:p>
            <w:r/>
            <w:r>
              <w:rPr>
                <w:rFonts w:ascii="Times New Roman" w:hAnsi="Times New Roman"/>
                <w:b/>
                <w:color w:val="FFFFFF"/>
                <w:sz w:val="17"/>
              </w:rPr>
              <w:t>Sửa đổi (v3)</w:t>
            </w:r>
          </w:p>
        </w:tc>
      </w:tr>
      <w:tr>
        <w:tc>
          <w:tcPr>
            <w:tcW w:type="dxa" w:w="567"/>
          </w:tcPr>
          <w:p>
            <w:r/>
            <w:r>
              <w:rPr>
                <w:rFonts w:ascii="Times New Roman" w:hAnsi="Times New Roman"/>
                <w:sz w:val="17"/>
              </w:rPr>
              <w:t>C1</w:t>
            </w:r>
          </w:p>
        </w:tc>
        <w:tc>
          <w:tcPr>
            <w:tcW w:type="dxa" w:w="1928"/>
          </w:tcPr>
          <w:p>
            <w:r/>
            <w:r>
              <w:rPr>
                <w:rFonts w:ascii="Times New Roman" w:hAnsi="Times New Roman"/>
                <w:sz w:val="17"/>
              </w:rPr>
              <w:t>Lời mở đầu – RQ2</w:t>
            </w:r>
          </w:p>
        </w:tc>
        <w:tc>
          <w:tcPr>
            <w:tcW w:type="dxa" w:w="3515"/>
          </w:tcPr>
          <w:p>
            <w:r/>
            <w:r>
              <w:rPr>
                <w:rFonts w:ascii="Times New Roman" w:hAnsi="Times New Roman"/>
                <w:sz w:val="17"/>
              </w:rPr>
              <w:t>"xóa nợ kỹ thuật"</w:t>
            </w:r>
          </w:p>
        </w:tc>
        <w:tc>
          <w:tcPr>
            <w:tcW w:type="dxa" w:w="3515"/>
          </w:tcPr>
          <w:p>
            <w:r/>
            <w:r>
              <w:rPr>
                <w:rFonts w:ascii="Times New Roman" w:hAnsi="Times New Roman"/>
                <w:sz w:val="17"/>
              </w:rPr>
              <w:t>"xử lý nợ bằng dự phòng"</w:t>
            </w:r>
          </w:p>
        </w:tc>
      </w:tr>
      <w:tr>
        <w:tc>
          <w:tcPr>
            <w:tcW w:type="dxa" w:w="567"/>
            <w:shd w:val="clear" w:color="auto" w:fill="F2F5FA"/>
          </w:tcPr>
          <w:p>
            <w:r/>
            <w:r>
              <w:rPr>
                <w:rFonts w:ascii="Times New Roman" w:hAnsi="Times New Roman"/>
                <w:sz w:val="17"/>
              </w:rPr>
              <w:t>C2</w:t>
            </w:r>
          </w:p>
        </w:tc>
        <w:tc>
          <w:tcPr>
            <w:tcW w:type="dxa" w:w="1928"/>
            <w:shd w:val="clear" w:color="auto" w:fill="F2F5FA"/>
          </w:tcPr>
          <w:p>
            <w:r/>
            <w:r>
              <w:rPr>
                <w:rFonts w:ascii="Times New Roman" w:hAnsi="Times New Roman"/>
                <w:sz w:val="17"/>
              </w:rPr>
              <w:t>Mục 1.2</w:t>
            </w:r>
          </w:p>
        </w:tc>
        <w:tc>
          <w:tcPr>
            <w:tcW w:type="dxa" w:w="3515"/>
            <w:shd w:val="clear" w:color="auto" w:fill="F2F5FA"/>
          </w:tcPr>
          <w:p>
            <w:r/>
            <w:r>
              <w:rPr>
                <w:rFonts w:ascii="Times New Roman" w:hAnsi="Times New Roman"/>
                <w:sz w:val="17"/>
              </w:rPr>
              <w:t>"tạo ra hiện tượng Đảo nợ kỹ thuật … biến các khoản nợ thực tế đã mất khả năng thanh toán thành nợ tiềm ẩn"</w:t>
            </w:r>
          </w:p>
        </w:tc>
        <w:tc>
          <w:tcPr>
            <w:tcW w:type="dxa" w:w="3515"/>
            <w:shd w:val="clear" w:color="auto" w:fill="F2F5FA"/>
          </w:tcPr>
          <w:p>
            <w:r/>
            <w:r>
              <w:rPr>
                <w:rFonts w:ascii="Times New Roman" w:hAnsi="Times New Roman"/>
                <w:sz w:val="17"/>
              </w:rPr>
              <w:t>"tạo ra nguy cơ đảo nợ … có thể khiến tỷ lệ nợ xấu nội bảng thấp hơn chất lượng tài sản thực tế"</w:t>
            </w:r>
          </w:p>
        </w:tc>
      </w:tr>
      <w:tr>
        <w:tc>
          <w:tcPr>
            <w:tcW w:type="dxa" w:w="567"/>
          </w:tcPr>
          <w:p>
            <w:r/>
            <w:r>
              <w:rPr>
                <w:rFonts w:ascii="Times New Roman" w:hAnsi="Times New Roman"/>
                <w:sz w:val="17"/>
              </w:rPr>
              <w:t>C3</w:t>
            </w:r>
          </w:p>
        </w:tc>
        <w:tc>
          <w:tcPr>
            <w:tcW w:type="dxa" w:w="1928"/>
          </w:tcPr>
          <w:p>
            <w:r/>
            <w:r>
              <w:rPr>
                <w:rFonts w:ascii="Times New Roman" w:hAnsi="Times New Roman"/>
                <w:sz w:val="17"/>
              </w:rPr>
              <w:t>Chương 3</w:t>
            </w:r>
          </w:p>
        </w:tc>
        <w:tc>
          <w:tcPr>
            <w:tcW w:type="dxa" w:w="3515"/>
          </w:tcPr>
          <w:p>
            <w:r/>
            <w:r>
              <w:rPr>
                <w:rFonts w:ascii="Times New Roman" w:hAnsi="Times New Roman"/>
                <w:sz w:val="17"/>
              </w:rPr>
              <w:t>"5 nhóm rủi ro chuẩn tắc của BCBS"</w:t>
            </w:r>
          </w:p>
        </w:tc>
        <w:tc>
          <w:tcPr>
            <w:tcW w:type="dxa" w:w="3515"/>
          </w:tcPr>
          <w:p>
            <w:r/>
            <w:r>
              <w:rPr>
                <w:rFonts w:ascii="Times New Roman" w:hAnsi="Times New Roman"/>
                <w:sz w:val="17"/>
              </w:rPr>
              <w:t>"5 nhóm, tham chiếu khung giám sát của BCBS" (BCBS không ban hành bộ 5 nhóm này)</w:t>
            </w:r>
          </w:p>
        </w:tc>
      </w:tr>
      <w:tr>
        <w:tc>
          <w:tcPr>
            <w:tcW w:type="dxa" w:w="567"/>
            <w:shd w:val="clear" w:color="auto" w:fill="F2F5FA"/>
          </w:tcPr>
          <w:p>
            <w:r/>
            <w:r>
              <w:rPr>
                <w:rFonts w:ascii="Times New Roman" w:hAnsi="Times New Roman"/>
                <w:sz w:val="17"/>
              </w:rPr>
              <w:t>C4</w:t>
            </w:r>
          </w:p>
        </w:tc>
        <w:tc>
          <w:tcPr>
            <w:tcW w:type="dxa" w:w="1928"/>
            <w:shd w:val="clear" w:color="auto" w:fill="F2F5FA"/>
          </w:tcPr>
          <w:p>
            <w:r/>
            <w:r>
              <w:rPr>
                <w:rFonts w:ascii="Times New Roman" w:hAnsi="Times New Roman"/>
                <w:sz w:val="17"/>
              </w:rPr>
              <w:t>Mục 4.7 – sau Bảng 12</w:t>
            </w:r>
          </w:p>
        </w:tc>
        <w:tc>
          <w:tcPr>
            <w:tcW w:type="dxa" w:w="3515"/>
            <w:shd w:val="clear" w:color="auto" w:fill="F2F5FA"/>
          </w:tcPr>
          <w:p>
            <w:r/>
            <w:r>
              <w:rPr>
                <w:rFonts w:ascii="Times New Roman" w:hAnsi="Times New Roman"/>
                <w:sz w:val="17"/>
              </w:rPr>
              <w:t>"hoàn toàn vững chắc … tham số kinh tế lượng"</w:t>
            </w:r>
          </w:p>
        </w:tc>
        <w:tc>
          <w:tcPr>
            <w:tcW w:type="dxa" w:w="3515"/>
            <w:shd w:val="clear" w:color="auto" w:fill="F2F5FA"/>
          </w:tcPr>
          <w:p>
            <w:r/>
            <w:r>
              <w:rPr>
                <w:rFonts w:ascii="Times New Roman" w:hAnsi="Times New Roman"/>
                <w:sz w:val="17"/>
              </w:rPr>
              <w:t>Ổn định trong phạm vi tham số đã kiểm định; vẫn phụ thuộc giả định PD/LGD (không phải tham số kinh tế lượng)</w:t>
            </w:r>
          </w:p>
        </w:tc>
      </w:tr>
      <w:tr>
        <w:tc>
          <w:tcPr>
            <w:tcW w:type="dxa" w:w="567"/>
          </w:tcPr>
          <w:p>
            <w:r/>
            <w:r>
              <w:rPr>
                <w:rFonts w:ascii="Times New Roman" w:hAnsi="Times New Roman"/>
                <w:sz w:val="17"/>
              </w:rPr>
              <w:t>C5</w:t>
            </w:r>
          </w:p>
        </w:tc>
        <w:tc>
          <w:tcPr>
            <w:tcW w:type="dxa" w:w="1928"/>
          </w:tcPr>
          <w:p>
            <w:r/>
            <w:r>
              <w:rPr>
                <w:rFonts w:ascii="Times New Roman" w:hAnsi="Times New Roman"/>
                <w:sz w:val="17"/>
              </w:rPr>
              <w:t>Mục 5.1</w:t>
            </w:r>
          </w:p>
        </w:tc>
        <w:tc>
          <w:tcPr>
            <w:tcW w:type="dxa" w:w="3515"/>
          </w:tcPr>
          <w:p>
            <w:r/>
            <w:r>
              <w:rPr>
                <w:rFonts w:ascii="Times New Roman" w:hAnsi="Times New Roman"/>
                <w:sz w:val="17"/>
              </w:rPr>
              <w:t>"điển cứu vụ án Lifepro"</w:t>
            </w:r>
          </w:p>
        </w:tc>
        <w:tc>
          <w:tcPr>
            <w:tcW w:type="dxa" w:w="3515"/>
          </w:tcPr>
          <w:p>
            <w:r/>
            <w:r>
              <w:rPr>
                <w:rFonts w:ascii="Times New Roman" w:hAnsi="Times New Roman"/>
                <w:sz w:val="17"/>
              </w:rPr>
              <w:t>"vụ án Lifepro (phát sinh trước giai đoạn nghiên cứu, xét xử 2015–2016)"</w:t>
            </w:r>
          </w:p>
        </w:tc>
      </w:tr>
      <w:tr>
        <w:tc>
          <w:tcPr>
            <w:tcW w:type="dxa" w:w="567"/>
            <w:shd w:val="clear" w:color="auto" w:fill="F2F5FA"/>
          </w:tcPr>
          <w:p>
            <w:r/>
            <w:r>
              <w:rPr>
                <w:rFonts w:ascii="Times New Roman" w:hAnsi="Times New Roman"/>
                <w:sz w:val="17"/>
              </w:rPr>
              <w:t>C6</w:t>
            </w:r>
          </w:p>
        </w:tc>
        <w:tc>
          <w:tcPr>
            <w:tcW w:type="dxa" w:w="1928"/>
            <w:shd w:val="clear" w:color="auto" w:fill="F2F5FA"/>
          </w:tcPr>
          <w:p>
            <w:r/>
            <w:r>
              <w:rPr>
                <w:rFonts w:ascii="Times New Roman" w:hAnsi="Times New Roman"/>
                <w:sz w:val="17"/>
              </w:rPr>
              <w:t>Mục 5.2 – vụ Gia Lai</w:t>
            </w:r>
          </w:p>
        </w:tc>
        <w:tc>
          <w:tcPr>
            <w:tcW w:type="dxa" w:w="3515"/>
            <w:shd w:val="clear" w:color="auto" w:fill="F2F5FA"/>
          </w:tcPr>
          <w:p>
            <w:r/>
            <w:r>
              <w:rPr>
                <w:rFonts w:ascii="Times New Roman" w:hAnsi="Times New Roman"/>
                <w:sz w:val="17"/>
              </w:rPr>
              <w:t>"chiếm đoạt hàng chục tỷ đồng" (không nguồn)</w:t>
            </w:r>
          </w:p>
        </w:tc>
        <w:tc>
          <w:tcPr>
            <w:tcW w:type="dxa" w:w="3515"/>
            <w:shd w:val="clear" w:color="auto" w:fill="F2F5FA"/>
          </w:tcPr>
          <w:p>
            <w:r/>
            <w:r>
              <w:rPr>
                <w:rFonts w:ascii="Times New Roman" w:hAnsi="Times New Roman"/>
                <w:sz w:val="17"/>
              </w:rPr>
              <w:t>Ghi rõ "theo thông tin báo chí"</w:t>
            </w:r>
          </w:p>
        </w:tc>
      </w:tr>
      <w:tr>
        <w:tc>
          <w:tcPr>
            <w:tcW w:type="dxa" w:w="567"/>
          </w:tcPr>
          <w:p>
            <w:r/>
            <w:r>
              <w:rPr>
                <w:rFonts w:ascii="Times New Roman" w:hAnsi="Times New Roman"/>
                <w:sz w:val="17"/>
              </w:rPr>
              <w:t>C7</w:t>
            </w:r>
          </w:p>
        </w:tc>
        <w:tc>
          <w:tcPr>
            <w:tcW w:type="dxa" w:w="1928"/>
          </w:tcPr>
          <w:p>
            <w:r/>
            <w:r>
              <w:rPr>
                <w:rFonts w:ascii="Times New Roman" w:hAnsi="Times New Roman"/>
                <w:sz w:val="17"/>
              </w:rPr>
              <w:t>Mục 5.3 – nguyên nhân (iii)</w:t>
            </w:r>
          </w:p>
        </w:tc>
        <w:tc>
          <w:tcPr>
            <w:tcW w:type="dxa" w:w="3515"/>
          </w:tcPr>
          <w:p>
            <w:r/>
            <w:r>
              <w:rPr>
                <w:rFonts w:ascii="Times New Roman" w:hAnsi="Times New Roman"/>
                <w:sz w:val="17"/>
              </w:rPr>
              <w:t>"Hành vi giảm trích lập dự phòng" được nêu như nguyên nhân làm nợ xấu tăng</w:t>
            </w:r>
          </w:p>
        </w:tc>
        <w:tc>
          <w:tcPr>
            <w:tcW w:type="dxa" w:w="3515"/>
          </w:tcPr>
          <w:p>
            <w:r/>
            <w:r>
              <w:rPr>
                <w:rFonts w:ascii="Times New Roman" w:hAnsi="Times New Roman"/>
                <w:sz w:val="17"/>
              </w:rPr>
              <w:t>"Bộ đệm dự phòng không tăng tương ứng với nợ xấu" – mô tả hệ quả, không quy động cơ</w:t>
            </w:r>
          </w:p>
        </w:tc>
      </w:tr>
      <w:tr>
        <w:tc>
          <w:tcPr>
            <w:tcW w:type="dxa" w:w="567"/>
            <w:shd w:val="clear" w:color="auto" w:fill="F2F5FA"/>
          </w:tcPr>
          <w:p>
            <w:r/>
            <w:r>
              <w:rPr>
                <w:rFonts w:ascii="Times New Roman" w:hAnsi="Times New Roman"/>
                <w:sz w:val="17"/>
              </w:rPr>
              <w:t>C8</w:t>
            </w:r>
          </w:p>
        </w:tc>
        <w:tc>
          <w:tcPr>
            <w:tcW w:type="dxa" w:w="1928"/>
            <w:shd w:val="clear" w:color="auto" w:fill="F2F5FA"/>
          </w:tcPr>
          <w:p>
            <w:r/>
            <w:r>
              <w:rPr>
                <w:rFonts w:ascii="Times New Roman" w:hAnsi="Times New Roman"/>
                <w:sz w:val="17"/>
              </w:rPr>
              <w:t>Mục 5.4 – nguyên nhân (ii)</w:t>
            </w:r>
          </w:p>
        </w:tc>
        <w:tc>
          <w:tcPr>
            <w:tcW w:type="dxa" w:w="3515"/>
            <w:shd w:val="clear" w:color="auto" w:fill="F2F5FA"/>
          </w:tcPr>
          <w:p>
            <w:r/>
            <w:r>
              <w:rPr>
                <w:rFonts w:ascii="Times New Roman" w:hAnsi="Times New Roman"/>
                <w:sz w:val="17"/>
              </w:rPr>
              <w:t>"Cơ chế xử lý kỹ thuật cuối năm"; "như đã chứng minh"</w:t>
            </w:r>
          </w:p>
        </w:tc>
        <w:tc>
          <w:tcPr>
            <w:tcW w:type="dxa" w:w="3515"/>
            <w:shd w:val="clear" w:color="auto" w:fill="F2F5FA"/>
          </w:tcPr>
          <w:p>
            <w:r/>
            <w:r>
              <w:rPr>
                <w:rFonts w:ascii="Times New Roman" w:hAnsi="Times New Roman"/>
                <w:sz w:val="17"/>
              </w:rPr>
              <w:t>"Tác động cuối năm của việc xử lý nợ bằng dự phòng kết hợp tăng trưởng dư nợ"; "như đã nêu"</w:t>
            </w:r>
          </w:p>
        </w:tc>
      </w:tr>
      <w:tr>
        <w:tc>
          <w:tcPr>
            <w:tcW w:type="dxa" w:w="567"/>
          </w:tcPr>
          <w:p>
            <w:r/>
            <w:r>
              <w:rPr>
                <w:rFonts w:ascii="Times New Roman" w:hAnsi="Times New Roman"/>
                <w:sz w:val="17"/>
              </w:rPr>
              <w:t>C9</w:t>
            </w:r>
          </w:p>
        </w:tc>
        <w:tc>
          <w:tcPr>
            <w:tcW w:type="dxa" w:w="1928"/>
          </w:tcPr>
          <w:p>
            <w:r/>
            <w:r>
              <w:rPr>
                <w:rFonts w:ascii="Times New Roman" w:hAnsi="Times New Roman"/>
                <w:sz w:val="17"/>
              </w:rPr>
              <w:t>Mục 5.4 – biện pháp (2)</w:t>
            </w:r>
          </w:p>
        </w:tc>
        <w:tc>
          <w:tcPr>
            <w:tcW w:type="dxa" w:w="3515"/>
          </w:tcPr>
          <w:p>
            <w:r/>
            <w:r>
              <w:rPr>
                <w:rFonts w:ascii="Times New Roman" w:hAnsi="Times New Roman"/>
                <w:sz w:val="17"/>
              </w:rPr>
              <w:t>"Tận dụng hạn mức … để giải ngân … tạo hiệu ứng mẫu số kéo giảm NPL"</w:t>
            </w:r>
          </w:p>
        </w:tc>
        <w:tc>
          <w:tcPr>
            <w:tcW w:type="dxa" w:w="3515"/>
          </w:tcPr>
          <w:p>
            <w:r/>
            <w:r>
              <w:rPr>
                <w:rFonts w:ascii="Times New Roman" w:hAnsi="Times New Roman"/>
                <w:sz w:val="17"/>
              </w:rPr>
              <w:t>Mô tả việc mở rộng tín dụng và hiệu ứng mẫu số như hệ quả số học, không gán mục đích</w:t>
            </w:r>
          </w:p>
        </w:tc>
      </w:tr>
      <w:tr>
        <w:tc>
          <w:tcPr>
            <w:tcW w:type="dxa" w:w="567"/>
            <w:shd w:val="clear" w:color="auto" w:fill="F2F5FA"/>
          </w:tcPr>
          <w:p>
            <w:r/>
            <w:r>
              <w:rPr>
                <w:rFonts w:ascii="Times New Roman" w:hAnsi="Times New Roman"/>
                <w:sz w:val="17"/>
              </w:rPr>
              <w:t>C10</w:t>
            </w:r>
          </w:p>
        </w:tc>
        <w:tc>
          <w:tcPr>
            <w:tcW w:type="dxa" w:w="1928"/>
            <w:shd w:val="clear" w:color="auto" w:fill="F2F5FA"/>
          </w:tcPr>
          <w:p>
            <w:r/>
            <w:r>
              <w:rPr>
                <w:rFonts w:ascii="Times New Roman" w:hAnsi="Times New Roman"/>
                <w:sz w:val="17"/>
              </w:rPr>
              <w:t>Mục 5.4 – hậu quả</w:t>
            </w:r>
          </w:p>
        </w:tc>
        <w:tc>
          <w:tcPr>
            <w:tcW w:type="dxa" w:w="3515"/>
            <w:shd w:val="clear" w:color="auto" w:fill="F2F5FA"/>
          </w:tcPr>
          <w:p>
            <w:r/>
            <w:r>
              <w:rPr>
                <w:rFonts w:ascii="Times New Roman" w:hAnsi="Times New Roman"/>
                <w:sz w:val="17"/>
              </w:rPr>
              <w:t>"NPL bề mặt giảm đẹp"</w:t>
            </w:r>
          </w:p>
        </w:tc>
        <w:tc>
          <w:tcPr>
            <w:tcW w:type="dxa" w:w="3515"/>
            <w:shd w:val="clear" w:color="auto" w:fill="F2F5FA"/>
          </w:tcPr>
          <w:p>
            <w:r/>
            <w:r>
              <w:rPr>
                <w:rFonts w:ascii="Times New Roman" w:hAnsi="Times New Roman"/>
                <w:sz w:val="17"/>
              </w:rPr>
              <w:t>"NPL bề mặt giảm"</w:t>
            </w:r>
          </w:p>
        </w:tc>
      </w:tr>
      <w:tr>
        <w:tc>
          <w:tcPr>
            <w:tcW w:type="dxa" w:w="567"/>
          </w:tcPr>
          <w:p>
            <w:r/>
            <w:r>
              <w:rPr>
                <w:rFonts w:ascii="Times New Roman" w:hAnsi="Times New Roman"/>
                <w:sz w:val="17"/>
              </w:rPr>
              <w:t>C11</w:t>
            </w:r>
          </w:p>
        </w:tc>
        <w:tc>
          <w:tcPr>
            <w:tcW w:type="dxa" w:w="1928"/>
          </w:tcPr>
          <w:p>
            <w:r/>
            <w:r>
              <w:rPr>
                <w:rFonts w:ascii="Times New Roman" w:hAnsi="Times New Roman"/>
                <w:sz w:val="17"/>
              </w:rPr>
              <w:t>Bảng 13 – Giám sát (MB)</w:t>
            </w:r>
          </w:p>
        </w:tc>
        <w:tc>
          <w:tcPr>
            <w:tcW w:type="dxa" w:w="3515"/>
          </w:tcPr>
          <w:p>
            <w:r/>
            <w:r>
              <w:rPr>
                <w:rFonts w:ascii="Times New Roman" w:hAnsi="Times New Roman"/>
                <w:sz w:val="17"/>
              </w:rPr>
              <w:t>"tận dụng cơ chế miễn hợp nhất MBV … để giữ lành mạnh bảng cân đối"</w:t>
            </w:r>
          </w:p>
        </w:tc>
        <w:tc>
          <w:tcPr>
            <w:tcW w:type="dxa" w:w="3515"/>
          </w:tcPr>
          <w:p>
            <w:r/>
            <w:r>
              <w:rPr>
                <w:rFonts w:ascii="Times New Roman" w:hAnsi="Times New Roman"/>
                <w:sz w:val="17"/>
              </w:rPr>
              <w:t>"BCTC hợp nhất không bao gồm MBV … cần giám sát rủi ro liên đới ngoài phạm vi hợp nhất"</w:t>
            </w:r>
          </w:p>
        </w:tc>
      </w:tr>
      <w:tr>
        <w:tc>
          <w:tcPr>
            <w:tcW w:type="dxa" w:w="567"/>
            <w:shd w:val="clear" w:color="auto" w:fill="F2F5FA"/>
          </w:tcPr>
          <w:p>
            <w:r/>
            <w:r>
              <w:rPr>
                <w:rFonts w:ascii="Times New Roman" w:hAnsi="Times New Roman"/>
                <w:sz w:val="17"/>
              </w:rPr>
              <w:t>C12</w:t>
            </w:r>
          </w:p>
        </w:tc>
        <w:tc>
          <w:tcPr>
            <w:tcW w:type="dxa" w:w="1928"/>
            <w:shd w:val="clear" w:color="auto" w:fill="F2F5FA"/>
          </w:tcPr>
          <w:p>
            <w:r/>
            <w:r>
              <w:rPr>
                <w:rFonts w:ascii="Times New Roman" w:hAnsi="Times New Roman"/>
                <w:sz w:val="17"/>
              </w:rPr>
              <w:t>Bảng 13 – Môi trường kiểm soát (Agribank)</w:t>
            </w:r>
          </w:p>
        </w:tc>
        <w:tc>
          <w:tcPr>
            <w:tcW w:type="dxa" w:w="3515"/>
            <w:shd w:val="clear" w:color="auto" w:fill="F2F5FA"/>
          </w:tcPr>
          <w:p>
            <w:r/>
            <w:r>
              <w:rPr>
                <w:rFonts w:ascii="Times New Roman" w:hAnsi="Times New Roman"/>
                <w:sz w:val="17"/>
              </w:rPr>
              <w:t>"đã được khắc phục"</w:t>
            </w:r>
          </w:p>
        </w:tc>
        <w:tc>
          <w:tcPr>
            <w:tcW w:type="dxa" w:w="3515"/>
            <w:shd w:val="clear" w:color="auto" w:fill="F2F5FA"/>
          </w:tcPr>
          <w:p>
            <w:r/>
            <w:r>
              <w:rPr>
                <w:rFonts w:ascii="Times New Roman" w:hAnsi="Times New Roman"/>
                <w:sz w:val="17"/>
              </w:rPr>
              <w:t>"đã được xử lý bằng việc siết hạn mức phán quyết"</w:t>
            </w:r>
          </w:p>
        </w:tc>
      </w:tr>
      <w:tr>
        <w:tc>
          <w:tcPr>
            <w:tcW w:type="dxa" w:w="567"/>
          </w:tcPr>
          <w:p>
            <w:r/>
            <w:r>
              <w:rPr>
                <w:rFonts w:ascii="Times New Roman" w:hAnsi="Times New Roman"/>
                <w:sz w:val="17"/>
              </w:rPr>
              <w:t>C13</w:t>
            </w:r>
          </w:p>
        </w:tc>
        <w:tc>
          <w:tcPr>
            <w:tcW w:type="dxa" w:w="1928"/>
          </w:tcPr>
          <w:p>
            <w:r/>
            <w:r>
              <w:rPr>
                <w:rFonts w:ascii="Times New Roman" w:hAnsi="Times New Roman"/>
                <w:sz w:val="17"/>
              </w:rPr>
              <w:t>Mục 6.2 – nguyên nhân chủ quan</w:t>
            </w:r>
          </w:p>
        </w:tc>
        <w:tc>
          <w:tcPr>
            <w:tcW w:type="dxa" w:w="3515"/>
          </w:tcPr>
          <w:p>
            <w:r/>
            <w:r>
              <w:rPr>
                <w:rFonts w:ascii="Times New Roman" w:hAnsi="Times New Roman"/>
                <w:sz w:val="17"/>
              </w:rPr>
              <w:t>"lựa chọn chính sách trích lập vừa đủ … để bảo toàn đà tăng trưởng lợi nhuận"</w:t>
            </w:r>
          </w:p>
        </w:tc>
        <w:tc>
          <w:tcPr>
            <w:tcW w:type="dxa" w:w="3515"/>
          </w:tcPr>
          <w:p>
            <w:r/>
            <w:r>
              <w:rPr>
                <w:rFonts w:ascii="Times New Roman" w:hAnsi="Times New Roman"/>
                <w:sz w:val="17"/>
              </w:rPr>
              <w:t>"mức trích lập 2023–2025 không theo kịp tốc độ tăng nợ xấu, khiến LLCR giảm dưới 100%"</w:t>
            </w:r>
          </w:p>
        </w:tc>
      </w:tr>
      <w:tr>
        <w:tc>
          <w:tcPr>
            <w:tcW w:type="dxa" w:w="567"/>
            <w:shd w:val="clear" w:color="auto" w:fill="F2F5FA"/>
          </w:tcPr>
          <w:p>
            <w:r/>
            <w:r>
              <w:rPr>
                <w:rFonts w:ascii="Times New Roman" w:hAnsi="Times New Roman"/>
                <w:sz w:val="17"/>
              </w:rPr>
              <w:t>C14</w:t>
            </w:r>
          </w:p>
        </w:tc>
        <w:tc>
          <w:tcPr>
            <w:tcW w:type="dxa" w:w="1928"/>
            <w:shd w:val="clear" w:color="auto" w:fill="F2F5FA"/>
          </w:tcPr>
          <w:p>
            <w:r/>
            <w:r>
              <w:rPr>
                <w:rFonts w:ascii="Times New Roman" w:hAnsi="Times New Roman"/>
                <w:sz w:val="17"/>
              </w:rPr>
              <w:t>Mục 7.3 – kiến nghị 3</w:t>
            </w:r>
          </w:p>
        </w:tc>
        <w:tc>
          <w:tcPr>
            <w:tcW w:type="dxa" w:w="3515"/>
            <w:shd w:val="clear" w:color="auto" w:fill="F2F5FA"/>
          </w:tcPr>
          <w:p>
            <w:r/>
            <w:r>
              <w:rPr>
                <w:rFonts w:ascii="Times New Roman" w:hAnsi="Times New Roman"/>
                <w:sz w:val="17"/>
              </w:rPr>
              <w:t>"Chấm dứt hành vi hoàn nhập dự phòng đột biến để làm đẹp lợi nhuận" (mâu thuẫn Mục 4.2: khoản hoàn nhập 4.800 tỷ không được BCTC xác nhận)</w:t>
            </w:r>
          </w:p>
        </w:tc>
        <w:tc>
          <w:tcPr>
            <w:tcW w:type="dxa" w:w="3515"/>
            <w:shd w:val="clear" w:color="auto" w:fill="F2F5FA"/>
          </w:tcPr>
          <w:p>
            <w:r/>
            <w:r>
              <w:rPr>
                <w:rFonts w:ascii="Times New Roman" w:hAnsi="Times New Roman"/>
                <w:sz w:val="17"/>
              </w:rPr>
              <w:t>"Duy trì chính sách trích lập ổn định, ngược chu kỳ, tránh để chi phí dự phòng giảm trong năm nợ xấu tăng mạnh như 2023"</w:t>
            </w:r>
          </w:p>
        </w:tc>
      </w:tr>
      <w:tr>
        <w:tc>
          <w:tcPr>
            <w:tcW w:type="dxa" w:w="567"/>
          </w:tcPr>
          <w:p>
            <w:r/>
            <w:r>
              <w:rPr>
                <w:rFonts w:ascii="Times New Roman" w:hAnsi="Times New Roman"/>
                <w:sz w:val="17"/>
              </w:rPr>
              <w:t>C15</w:t>
            </w:r>
          </w:p>
        </w:tc>
        <w:tc>
          <w:tcPr>
            <w:tcW w:type="dxa" w:w="1928"/>
          </w:tcPr>
          <w:p>
            <w:r/>
            <w:r>
              <w:rPr>
                <w:rFonts w:ascii="Times New Roman" w:hAnsi="Times New Roman"/>
                <w:sz w:val="17"/>
              </w:rPr>
              <w:t>Kết luận</w:t>
            </w:r>
          </w:p>
        </w:tc>
        <w:tc>
          <w:tcPr>
            <w:tcW w:type="dxa" w:w="3515"/>
          </w:tcPr>
          <w:p>
            <w:r/>
            <w:r>
              <w:rPr>
                <w:rFonts w:ascii="Times New Roman" w:hAnsi="Times New Roman"/>
                <w:sz w:val="17"/>
              </w:rPr>
              <w:t>"Nghiên cứu đã chứng minh"; "mức độ tổn thương nặng nề"</w:t>
            </w:r>
          </w:p>
        </w:tc>
        <w:tc>
          <w:tcPr>
            <w:tcW w:type="dxa" w:w="3515"/>
          </w:tcPr>
          <w:p>
            <w:r/>
            <w:r>
              <w:rPr>
                <w:rFonts w:ascii="Times New Roman" w:hAnsi="Times New Roman"/>
                <w:sz w:val="17"/>
              </w:rPr>
              <w:t>"Kết quả nghiên cứu cho thấy"; "mức độ nhạy cảm lớn hơn"</w:t>
            </w:r>
          </w:p>
        </w:tc>
      </w:tr>
    </w:tbl>
    <w:p>
      <w:pPr>
        <w:spacing w:after="120"/>
      </w:pPr>
    </w:p>
    <w:p>
      <w:pPr>
        <w:spacing w:after="80"/>
      </w:pPr>
      <w:r>
        <w:rPr>
          <w:rFonts w:ascii="Times New Roman" w:hAnsi="Times New Roman" w:eastAsia="Times New Roman"/>
          <w:b/>
          <w:i w:val="0"/>
          <w:color w:val="1F3864"/>
          <w:sz w:val="23"/>
        </w:rPr>
        <w:t>D. Trình bày</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567"/>
        <w:gridCol w:w="1701"/>
        <w:gridCol w:w="3628"/>
        <w:gridCol w:w="3628"/>
      </w:tblGrid>
      <w:tr>
        <w:tc>
          <w:tcPr>
            <w:tcW w:type="dxa" w:w="567"/>
            <w:shd w:val="clear" w:color="auto" w:fill="1F3864"/>
          </w:tcPr>
          <w:p>
            <w:r/>
            <w:r>
              <w:rPr>
                <w:rFonts w:ascii="Times New Roman" w:hAnsi="Times New Roman"/>
                <w:b/>
                <w:color w:val="FFFFFF"/>
                <w:sz w:val="17"/>
              </w:rPr>
              <w:t>#</w:t>
            </w:r>
          </w:p>
        </w:tc>
        <w:tc>
          <w:tcPr>
            <w:tcW w:type="dxa" w:w="1701"/>
            <w:shd w:val="clear" w:color="auto" w:fill="1F3864"/>
          </w:tcPr>
          <w:p>
            <w:r/>
            <w:r>
              <w:rPr>
                <w:rFonts w:ascii="Times New Roman" w:hAnsi="Times New Roman"/>
                <w:b/>
                <w:color w:val="FFFFFF"/>
                <w:sz w:val="17"/>
              </w:rPr>
              <w:t>Vị trí</w:t>
            </w:r>
          </w:p>
        </w:tc>
        <w:tc>
          <w:tcPr>
            <w:tcW w:type="dxa" w:w="3628"/>
            <w:shd w:val="clear" w:color="auto" w:fill="1F3864"/>
          </w:tcPr>
          <w:p>
            <w:r/>
            <w:r>
              <w:rPr>
                <w:rFonts w:ascii="Times New Roman" w:hAnsi="Times New Roman"/>
                <w:b/>
                <w:color w:val="FFFFFF"/>
                <w:sz w:val="17"/>
              </w:rPr>
              <w:t>Hiện tại (v2)</w:t>
            </w:r>
          </w:p>
        </w:tc>
        <w:tc>
          <w:tcPr>
            <w:tcW w:type="dxa" w:w="3628"/>
            <w:shd w:val="clear" w:color="auto" w:fill="1F3864"/>
          </w:tcPr>
          <w:p>
            <w:r/>
            <w:r>
              <w:rPr>
                <w:rFonts w:ascii="Times New Roman" w:hAnsi="Times New Roman"/>
                <w:b/>
                <w:color w:val="FFFFFF"/>
                <w:sz w:val="17"/>
              </w:rPr>
              <w:t>Sửa đổi (v3)</w:t>
            </w:r>
          </w:p>
        </w:tc>
      </w:tr>
      <w:tr>
        <w:tc>
          <w:tcPr>
            <w:tcW w:type="dxa" w:w="567"/>
          </w:tcPr>
          <w:p>
            <w:r/>
            <w:r>
              <w:rPr>
                <w:rFonts w:ascii="Times New Roman" w:hAnsi="Times New Roman"/>
                <w:sz w:val="17"/>
              </w:rPr>
              <w:t>D1</w:t>
            </w:r>
          </w:p>
        </w:tc>
        <w:tc>
          <w:tcPr>
            <w:tcW w:type="dxa" w:w="1701"/>
          </w:tcPr>
          <w:p>
            <w:r/>
            <w:r>
              <w:rPr>
                <w:rFonts w:ascii="Times New Roman" w:hAnsi="Times New Roman"/>
                <w:sz w:val="17"/>
              </w:rPr>
              <w:t>Mục 1.1, 1.2</w:t>
            </w:r>
          </w:p>
        </w:tc>
        <w:tc>
          <w:tcPr>
            <w:tcW w:type="dxa" w:w="3628"/>
          </w:tcPr>
          <w:p>
            <w:r/>
            <w:r>
              <w:rPr>
                <w:rFonts w:ascii="Times New Roman" w:hAnsi="Times New Roman"/>
                <w:sz w:val="17"/>
              </w:rPr>
              <w:t>Ký hiệu ASCII "CAR &gt;= 8%", "-&gt;", "EAD x PD x LGD" (không còn mã LaTeX)</w:t>
            </w:r>
          </w:p>
        </w:tc>
        <w:tc>
          <w:tcPr>
            <w:tcW w:type="dxa" w:w="3628"/>
          </w:tcPr>
          <w:p>
            <w:r/>
            <w:r>
              <w:rPr>
                <w:rFonts w:ascii="Times New Roman" w:hAnsi="Times New Roman"/>
                <w:sz w:val="17"/>
              </w:rPr>
              <w:t>Thay bằng "≥", "→", "×"</w:t>
            </w:r>
          </w:p>
        </w:tc>
      </w:tr>
      <w:tr>
        <w:tc>
          <w:tcPr>
            <w:tcW w:type="dxa" w:w="567"/>
            <w:shd w:val="clear" w:color="auto" w:fill="F2F5FA"/>
          </w:tcPr>
          <w:p>
            <w:r/>
            <w:r>
              <w:rPr>
                <w:rFonts w:ascii="Times New Roman" w:hAnsi="Times New Roman"/>
                <w:sz w:val="17"/>
              </w:rPr>
              <w:t>D2</w:t>
            </w:r>
          </w:p>
        </w:tc>
        <w:tc>
          <w:tcPr>
            <w:tcW w:type="dxa" w:w="1701"/>
            <w:shd w:val="clear" w:color="auto" w:fill="F2F5FA"/>
          </w:tcPr>
          <w:p>
            <w:r/>
            <w:r>
              <w:rPr>
                <w:rFonts w:ascii="Times New Roman" w:hAnsi="Times New Roman"/>
                <w:sz w:val="17"/>
              </w:rPr>
              <w:t>Mục lục (tr.2–3)</w:t>
            </w:r>
          </w:p>
        </w:tc>
        <w:tc>
          <w:tcPr>
            <w:tcW w:type="dxa" w:w="3628"/>
            <w:shd w:val="clear" w:color="auto" w:fill="F2F5FA"/>
          </w:tcPr>
          <w:p>
            <w:r/>
            <w:r>
              <w:rPr>
                <w:rFonts w:ascii="Times New Roman" w:hAnsi="Times New Roman"/>
                <w:sz w:val="17"/>
              </w:rPr>
              <w:t>Gõ tay; số trang lệch 1 trang ở hầu hết mục (ví dụ Lời mở đầu ghi 3, thực tế 4)</w:t>
            </w:r>
          </w:p>
        </w:tc>
        <w:tc>
          <w:tcPr>
            <w:tcW w:type="dxa" w:w="3628"/>
            <w:shd w:val="clear" w:color="auto" w:fill="F2F5FA"/>
          </w:tcPr>
          <w:p>
            <w:r/>
            <w:r>
              <w:rPr>
                <w:rFonts w:ascii="Times New Roman" w:hAnsi="Times New Roman"/>
                <w:sz w:val="17"/>
              </w:rPr>
              <w:t>Mục lục tự động (TOC \o "1-2") dựng từ Heading 1/2, có dấu chấm dẫn; Word sẽ hỏi cập nhật trường khi mở tệp → chọn Yes</w:t>
            </w:r>
          </w:p>
        </w:tc>
      </w:tr>
    </w:tbl>
    <w:p>
      <w:pPr>
        <w:spacing w:after="120"/>
      </w:pPr>
    </w:p>
    <w:p>
      <w:pPr>
        <w:spacing w:after="80"/>
      </w:pPr>
      <w:r>
        <w:rPr>
          <w:rFonts w:ascii="Times New Roman" w:hAnsi="Times New Roman" w:eastAsia="Times New Roman"/>
          <w:b/>
          <w:i w:val="0"/>
          <w:color w:val="1F3864"/>
          <w:sz w:val="23"/>
        </w:rPr>
        <w:t>E. Công bố hạn chế phương pháp (không đổi số liệu)</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567"/>
        <w:gridCol w:w="1927"/>
        <w:gridCol w:w="3515"/>
        <w:gridCol w:w="3515"/>
      </w:tblGrid>
      <w:tr>
        <w:tc>
          <w:tcPr>
            <w:tcW w:type="dxa" w:w="567"/>
            <w:shd w:val="clear" w:color="auto" w:fill="1F3864"/>
          </w:tcPr>
          <w:p>
            <w:r/>
            <w:r>
              <w:rPr>
                <w:rFonts w:ascii="Times New Roman" w:hAnsi="Times New Roman"/>
                <w:b/>
                <w:color w:val="FFFFFF"/>
                <w:sz w:val="17"/>
              </w:rPr>
              <w:t>#</w:t>
            </w:r>
          </w:p>
        </w:tc>
        <w:tc>
          <w:tcPr>
            <w:tcW w:type="dxa" w:w="1928"/>
            <w:shd w:val="clear" w:color="auto" w:fill="1F3864"/>
          </w:tcPr>
          <w:p>
            <w:r/>
            <w:r>
              <w:rPr>
                <w:rFonts w:ascii="Times New Roman" w:hAnsi="Times New Roman"/>
                <w:b/>
                <w:color w:val="FFFFFF"/>
                <w:sz w:val="17"/>
              </w:rPr>
              <w:t>Vị trí</w:t>
            </w:r>
          </w:p>
        </w:tc>
        <w:tc>
          <w:tcPr>
            <w:tcW w:type="dxa" w:w="3515"/>
            <w:shd w:val="clear" w:color="auto" w:fill="1F3864"/>
          </w:tcPr>
          <w:p>
            <w:r/>
            <w:r>
              <w:rPr>
                <w:rFonts w:ascii="Times New Roman" w:hAnsi="Times New Roman"/>
                <w:b/>
                <w:color w:val="FFFFFF"/>
                <w:sz w:val="17"/>
              </w:rPr>
              <w:t>Vấn đề</w:t>
            </w:r>
          </w:p>
        </w:tc>
        <w:tc>
          <w:tcPr>
            <w:tcW w:type="dxa" w:w="3515"/>
            <w:shd w:val="clear" w:color="auto" w:fill="1F3864"/>
          </w:tcPr>
          <w:p>
            <w:r/>
            <w:r>
              <w:rPr>
                <w:rFonts w:ascii="Times New Roman" w:hAnsi="Times New Roman"/>
                <w:b/>
                <w:color w:val="FFFFFF"/>
                <w:sz w:val="17"/>
              </w:rPr>
              <w:t>Xử lý</w:t>
            </w:r>
          </w:p>
        </w:tc>
      </w:tr>
      <w:tr>
        <w:tc>
          <w:tcPr>
            <w:tcW w:type="dxa" w:w="567"/>
          </w:tcPr>
          <w:p>
            <w:r/>
            <w:r>
              <w:rPr>
                <w:rFonts w:ascii="Times New Roman" w:hAnsi="Times New Roman"/>
                <w:sz w:val="17"/>
              </w:rPr>
              <w:t>E1</w:t>
            </w:r>
          </w:p>
        </w:tc>
        <w:tc>
          <w:tcPr>
            <w:tcW w:type="dxa" w:w="1928"/>
          </w:tcPr>
          <w:p>
            <w:r/>
            <w:r>
              <w:rPr>
                <w:rFonts w:ascii="Times New Roman" w:hAnsi="Times New Roman"/>
                <w:sz w:val="17"/>
              </w:rPr>
              <w:t>Mục 4.6 (tr.21–22) và sheet Stress_Testing dòng 58–61</w:t>
            </w:r>
          </w:p>
        </w:tc>
        <w:tc>
          <w:tcPr>
            <w:tcW w:type="dxa" w:w="3515"/>
          </w:tcPr>
          <w:p>
            <w:r/>
            <w:r>
              <w:rPr>
                <w:rFonts w:ascii="Times New Roman" w:hAnsi="Times New Roman"/>
                <w:sz w:val="17"/>
              </w:rPr>
              <w:t>Lời văn mô tả 4 cơ chế truyền dẫn "100% công thức", nhưng công thức dùng 12 hệ số hiệu chỉnh cố định; dự phòng tăng thêm bị trừ vào vốn hai lần (qua LNTT và trừ trực tiếp ×1,72/×0,645); MB không có kênh giá BĐS</w:t>
            </w:r>
          </w:p>
        </w:tc>
        <w:tc>
          <w:tcPr>
            <w:tcW w:type="dxa" w:w="3515"/>
          </w:tcPr>
          <w:p>
            <w:r/>
            <w:r>
              <w:rPr>
                <w:rFonts w:ascii="Times New Roman" w:hAnsi="Times New Roman"/>
                <w:sz w:val="17"/>
              </w:rPr>
              <w:t>Giữ nguyên Bảng 10 (theo lựa chọn của nhóm); bổ sung đoạn hạn chế (a)–(c) vào Word và Excel; kết quả được trình bày là so sánh độ nhạy tương đối</w:t>
            </w:r>
          </w:p>
        </w:tc>
      </w:tr>
      <w:tr>
        <w:tc>
          <w:tcPr>
            <w:tcW w:type="dxa" w:w="567"/>
            <w:shd w:val="clear" w:color="auto" w:fill="F2F5FA"/>
          </w:tcPr>
          <w:p>
            <w:r/>
            <w:r>
              <w:rPr>
                <w:rFonts w:ascii="Times New Roman" w:hAnsi="Times New Roman"/>
                <w:sz w:val="17"/>
              </w:rPr>
              <w:t>E2</w:t>
            </w:r>
          </w:p>
        </w:tc>
        <w:tc>
          <w:tcPr>
            <w:tcW w:type="dxa" w:w="1928"/>
            <w:shd w:val="clear" w:color="auto" w:fill="F2F5FA"/>
          </w:tcPr>
          <w:p>
            <w:r/>
            <w:r>
              <w:rPr>
                <w:rFonts w:ascii="Times New Roman" w:hAnsi="Times New Roman"/>
                <w:sz w:val="17"/>
              </w:rPr>
              <w:t>Mục 4.7 và sheet IFRS9_Simulation dòng 41–44</w:t>
            </w:r>
          </w:p>
        </w:tc>
        <w:tc>
          <w:tcPr>
            <w:tcW w:type="dxa" w:w="3515"/>
            <w:shd w:val="clear" w:color="auto" w:fill="F2F5FA"/>
          </w:tcPr>
          <w:p>
            <w:r/>
            <w:r>
              <w:rPr>
                <w:rFonts w:ascii="Times New Roman" w:hAnsi="Times New Roman"/>
                <w:sz w:val="17"/>
              </w:rPr>
              <w:t>Gap của MB gồm cả ECL TPDN (~983 tỷ) nhưng so với dự phòng VAS chỉ của cho vay; CAR sau IFRS 9 chia cho dư nợ thay RWA</w:t>
            </w:r>
          </w:p>
        </w:tc>
        <w:tc>
          <w:tcPr>
            <w:tcW w:type="dxa" w:w="3515"/>
            <w:shd w:val="clear" w:color="auto" w:fill="F2F5FA"/>
          </w:tcPr>
          <w:p>
            <w:r/>
            <w:r>
              <w:rPr>
                <w:rFonts w:ascii="Times New Roman" w:hAnsi="Times New Roman"/>
                <w:sz w:val="17"/>
              </w:rPr>
              <w:t>Giữ nguyên các số chuẩn (14.006 tỷ; 9,97%; 3.660 tỷ; 10,07%); bổ sung lưu ý phương pháp (a)–(b)</w:t>
            </w:r>
          </w:p>
        </w:tc>
      </w:tr>
      <w:tr>
        <w:tc>
          <w:tcPr>
            <w:tcW w:type="dxa" w:w="567"/>
          </w:tcPr>
          <w:p>
            <w:r/>
            <w:r>
              <w:rPr>
                <w:rFonts w:ascii="Times New Roman" w:hAnsi="Times New Roman"/>
                <w:sz w:val="17"/>
              </w:rPr>
              <w:t>E3</w:t>
            </w:r>
          </w:p>
        </w:tc>
        <w:tc>
          <w:tcPr>
            <w:tcW w:type="dxa" w:w="1928"/>
          </w:tcPr>
          <w:p>
            <w:r/>
            <w:r>
              <w:rPr>
                <w:rFonts w:ascii="Times New Roman" w:hAnsi="Times New Roman"/>
                <w:sz w:val="17"/>
              </w:rPr>
              <w:t>Bảng 11 – phân bổ dự phòng VAS theo Stage</w:t>
            </w:r>
          </w:p>
        </w:tc>
        <w:tc>
          <w:tcPr>
            <w:tcW w:type="dxa" w:w="3515"/>
          </w:tcPr>
          <w:p>
            <w:r/>
            <w:r>
              <w:rPr>
                <w:rFonts w:ascii="Times New Roman" w:hAnsi="Times New Roman"/>
                <w:sz w:val="17"/>
              </w:rPr>
              <w:t>Không giải thích cách tách 1.064/21.799 (Agribank), 511/4.542 (MB)</w:t>
            </w:r>
          </w:p>
        </w:tc>
        <w:tc>
          <w:tcPr>
            <w:tcW w:type="dxa" w:w="3515"/>
          </w:tcPr>
          <w:p>
            <w:r/>
            <w:r>
              <w:rPr>
                <w:rFonts w:ascii="Times New Roman" w:hAnsi="Times New Roman"/>
                <w:sz w:val="17"/>
              </w:rPr>
              <w:t>Ghi chú tại IFRS9_Simulation dòng 44: Stage 1 = DP chung; Stage 2 = 5% × nhóm 2; Stage 3 = DP cụ thể còn lại</w:t>
            </w:r>
          </w:p>
        </w:tc>
      </w:tr>
    </w:tbl>
    <w:p>
      <w:pPr>
        <w:spacing w:after="120"/>
      </w:pPr>
    </w:p>
    <w:p>
      <w:pPr>
        <w:spacing w:after="120"/>
      </w:pPr>
      <w:r>
        <w:rPr>
          <w:rFonts w:ascii="Times New Roman" w:hAnsi="Times New Roman" w:eastAsia="Times New Roman"/>
          <w:b/>
          <w:i w:val="0"/>
          <w:color w:val="1F3864"/>
          <w:sz w:val="26"/>
        </w:rPr>
        <w:t>III. CÁC MỐC CHUẨN ĐÃ XÁC NHẬN NHẤT QUÁN TRONG BẢN V3</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1927"/>
        <w:gridCol w:w="4195"/>
        <w:gridCol w:w="3402"/>
      </w:tblGrid>
      <w:tr>
        <w:tc>
          <w:tcPr>
            <w:tcW w:type="dxa" w:w="1928"/>
            <w:shd w:val="clear" w:color="auto" w:fill="1F3864"/>
          </w:tcPr>
          <w:p>
            <w:r/>
            <w:r>
              <w:rPr>
                <w:rFonts w:ascii="Times New Roman" w:hAnsi="Times New Roman"/>
                <w:b/>
                <w:color w:val="FFFFFF"/>
                <w:sz w:val="17"/>
              </w:rPr>
              <w:t>Mốc</w:t>
            </w:r>
          </w:p>
        </w:tc>
        <w:tc>
          <w:tcPr>
            <w:tcW w:type="dxa" w:w="4195"/>
            <w:shd w:val="clear" w:color="auto" w:fill="1F3864"/>
          </w:tcPr>
          <w:p>
            <w:r/>
            <w:r>
              <w:rPr>
                <w:rFonts w:ascii="Times New Roman" w:hAnsi="Times New Roman"/>
                <w:b/>
                <w:color w:val="FFFFFF"/>
                <w:sz w:val="17"/>
              </w:rPr>
              <w:t>Giá trị trong Word v3</w:t>
            </w:r>
          </w:p>
        </w:tc>
        <w:tc>
          <w:tcPr>
            <w:tcW w:type="dxa" w:w="3402"/>
            <w:shd w:val="clear" w:color="auto" w:fill="1F3864"/>
          </w:tcPr>
          <w:p>
            <w:r/>
            <w:r>
              <w:rPr>
                <w:rFonts w:ascii="Times New Roman" w:hAnsi="Times New Roman"/>
                <w:b/>
                <w:color w:val="FFFFFF"/>
                <w:sz w:val="17"/>
              </w:rPr>
              <w:t>Đối chiếu Excel</w:t>
            </w:r>
          </w:p>
        </w:tc>
      </w:tr>
      <w:tr>
        <w:tc>
          <w:tcPr>
            <w:tcW w:type="dxa" w:w="1928"/>
          </w:tcPr>
          <w:p>
            <w:r/>
            <w:r>
              <w:rPr>
                <w:rFonts w:ascii="Times New Roman" w:hAnsi="Times New Roman"/>
                <w:sz w:val="17"/>
              </w:rPr>
              <w:t>NPL 2025 cùng cơ sở</w:t>
            </w:r>
          </w:p>
        </w:tc>
        <w:tc>
          <w:tcPr>
            <w:tcW w:type="dxa" w:w="4195"/>
          </w:tcPr>
          <w:p>
            <w:r/>
            <w:r>
              <w:rPr>
                <w:rFonts w:ascii="Times New Roman" w:hAnsi="Times New Roman"/>
                <w:sz w:val="17"/>
              </w:rPr>
              <w:t>Agribank 1,30% (25.610 / 1.976.369); MB 1,29% (14.027 / 1.084.019); BCTN Agribank 1,17%</w:t>
            </w:r>
          </w:p>
        </w:tc>
        <w:tc>
          <w:tcPr>
            <w:tcW w:type="dxa" w:w="3402"/>
          </w:tcPr>
          <w:p>
            <w:r/>
            <w:r>
              <w:rPr>
                <w:rFonts w:ascii="Times New Roman" w:hAnsi="Times New Roman"/>
                <w:sz w:val="17"/>
              </w:rPr>
              <w:t>BCTC_*_Goc dòng 24–26; Chi_tieu dòng 42: chênh +0,002 điểm %</w:t>
            </w:r>
          </w:p>
        </w:tc>
      </w:tr>
      <w:tr>
        <w:tc>
          <w:tcPr>
            <w:tcW w:type="dxa" w:w="1928"/>
            <w:shd w:val="clear" w:color="auto" w:fill="F2F5FA"/>
          </w:tcPr>
          <w:p>
            <w:r/>
            <w:r>
              <w:rPr>
                <w:rFonts w:ascii="Times New Roman" w:hAnsi="Times New Roman"/>
                <w:sz w:val="17"/>
              </w:rPr>
              <w:t>Phân rã NPL 2025</w:t>
            </w:r>
          </w:p>
        </w:tc>
        <w:tc>
          <w:tcPr>
            <w:tcW w:type="dxa" w:w="4195"/>
            <w:shd w:val="clear" w:color="auto" w:fill="F2F5FA"/>
          </w:tcPr>
          <w:p>
            <w:r/>
            <w:r>
              <w:rPr>
                <w:rFonts w:ascii="Times New Roman" w:hAnsi="Times New Roman"/>
                <w:sz w:val="17"/>
              </w:rPr>
              <w:t>MB: mẫu số −0,46; tử số +0,13; tổng −0,33 điểm %. Agribank: −0,22; −0,17; tổng −0,39 điểm %</w:t>
            </w:r>
          </w:p>
        </w:tc>
        <w:tc>
          <w:tcPr>
            <w:tcW w:type="dxa" w:w="3402"/>
            <w:shd w:val="clear" w:color="auto" w:fill="F2F5FA"/>
          </w:tcPr>
          <w:p>
            <w:r/>
            <w:r>
              <w:rPr>
                <w:rFonts w:ascii="Times New Roman" w:hAnsi="Times New Roman"/>
                <w:sz w:val="17"/>
              </w:rPr>
              <w:t>Tính lại đúng đến 0,01 điểm %</w:t>
            </w:r>
          </w:p>
        </w:tc>
      </w:tr>
      <w:tr>
        <w:tc>
          <w:tcPr>
            <w:tcW w:type="dxa" w:w="1928"/>
          </w:tcPr>
          <w:p>
            <w:r/>
            <w:r>
              <w:rPr>
                <w:rFonts w:ascii="Times New Roman" w:hAnsi="Times New Roman"/>
                <w:sz w:val="17"/>
              </w:rPr>
              <w:t>RORAC proxy 2025</w:t>
            </w:r>
          </w:p>
        </w:tc>
        <w:tc>
          <w:tcPr>
            <w:tcW w:type="dxa" w:w="4195"/>
          </w:tcPr>
          <w:p>
            <w:r/>
            <w:r>
              <w:rPr>
                <w:rFonts w:ascii="Times New Roman" w:hAnsi="Times New Roman"/>
                <w:sz w:val="17"/>
              </w:rPr>
              <w:t>Agribank 15,8%; MB 31,6%; khoảng 10,8%–16,7% và 31,6%–49,3%</w:t>
            </w:r>
          </w:p>
        </w:tc>
        <w:tc>
          <w:tcPr>
            <w:tcW w:type="dxa" w:w="3402"/>
          </w:tcPr>
          <w:p>
            <w:r/>
            <w:r>
              <w:rPr>
                <w:rFonts w:ascii="Times New Roman" w:hAnsi="Times New Roman"/>
                <w:sz w:val="17"/>
              </w:rPr>
              <w:t>Chi_tieu dòng 51, 55</w:t>
            </w:r>
          </w:p>
        </w:tc>
      </w:tr>
      <w:tr>
        <w:tc>
          <w:tcPr>
            <w:tcW w:type="dxa" w:w="1928"/>
            <w:shd w:val="clear" w:color="auto" w:fill="F2F5FA"/>
          </w:tcPr>
          <w:p>
            <w:r/>
            <w:r>
              <w:rPr>
                <w:rFonts w:ascii="Times New Roman" w:hAnsi="Times New Roman"/>
                <w:sz w:val="17"/>
              </w:rPr>
              <w:t>Nợ nhóm 5 Agribank</w:t>
            </w:r>
          </w:p>
        </w:tc>
        <w:tc>
          <w:tcPr>
            <w:tcW w:type="dxa" w:w="4195"/>
            <w:shd w:val="clear" w:color="auto" w:fill="F2F5FA"/>
          </w:tcPr>
          <w:p>
            <w:r/>
            <w:r>
              <w:rPr>
                <w:rFonts w:ascii="Times New Roman" w:hAnsi="Times New Roman"/>
                <w:sz w:val="17"/>
              </w:rPr>
              <w:t>2020: 76,0%; 2023: 67,0% (19.248 / 28.721); 2025: 79,0%</w:t>
            </w:r>
          </w:p>
        </w:tc>
        <w:tc>
          <w:tcPr>
            <w:tcW w:type="dxa" w:w="3402"/>
            <w:shd w:val="clear" w:color="auto" w:fill="F2F5FA"/>
          </w:tcPr>
          <w:p>
            <w:r/>
            <w:r>
              <w:rPr>
                <w:rFonts w:ascii="Times New Roman" w:hAnsi="Times New Roman"/>
                <w:sz w:val="17"/>
              </w:rPr>
              <w:t>Chi_tieu dòng 14 (sửa theo A5)</w:t>
            </w:r>
          </w:p>
        </w:tc>
      </w:tr>
      <w:tr>
        <w:tc>
          <w:tcPr>
            <w:tcW w:type="dxa" w:w="1928"/>
          </w:tcPr>
          <w:p>
            <w:r/>
            <w:r>
              <w:rPr>
                <w:rFonts w:ascii="Times New Roman" w:hAnsi="Times New Roman"/>
                <w:sz w:val="17"/>
              </w:rPr>
              <w:t>IFRS 9 cơ sở</w:t>
            </w:r>
          </w:p>
        </w:tc>
        <w:tc>
          <w:tcPr>
            <w:tcW w:type="dxa" w:w="4195"/>
          </w:tcPr>
          <w:p>
            <w:r/>
            <w:r>
              <w:rPr>
                <w:rFonts w:ascii="Times New Roman" w:hAnsi="Times New Roman"/>
                <w:sz w:val="17"/>
              </w:rPr>
              <w:t>MB thiếu +14.006 tỷ (+106,5%), CAR 9,97% (−103 bps); Agribank thiếu +3.660 tỷ (+9,8%), CAR 10,07% (−15 bps)</w:t>
            </w:r>
          </w:p>
        </w:tc>
        <w:tc>
          <w:tcPr>
            <w:tcW w:type="dxa" w:w="3402"/>
          </w:tcPr>
          <w:p>
            <w:r/>
            <w:r>
              <w:rPr>
                <w:rFonts w:ascii="Times New Roman" w:hAnsi="Times New Roman"/>
                <w:sz w:val="17"/>
              </w:rPr>
              <w:t>IFRS9_Simulation dòng 18–25; Bảng 12 khớp dòng 34–39</w:t>
            </w:r>
          </w:p>
        </w:tc>
      </w:tr>
      <w:tr>
        <w:tc>
          <w:tcPr>
            <w:tcW w:type="dxa" w:w="1928"/>
            <w:shd w:val="clear" w:color="auto" w:fill="F2F5FA"/>
          </w:tcPr>
          <w:p>
            <w:r/>
            <w:r>
              <w:rPr>
                <w:rFonts w:ascii="Times New Roman" w:hAnsi="Times New Roman"/>
                <w:sz w:val="17"/>
              </w:rPr>
              <w:t>Stress test cực đoan</w:t>
            </w:r>
          </w:p>
        </w:tc>
        <w:tc>
          <w:tcPr>
            <w:tcW w:type="dxa" w:w="4195"/>
            <w:shd w:val="clear" w:color="auto" w:fill="F2F5FA"/>
          </w:tcPr>
          <w:p>
            <w:r/>
            <w:r>
              <w:rPr>
                <w:rFonts w:ascii="Times New Roman" w:hAnsi="Times New Roman"/>
                <w:sz w:val="17"/>
              </w:rPr>
              <w:t>CAR Agribank 8,67%; LNTT MB −69,3%; CAR MB 9,73%</w:t>
            </w:r>
          </w:p>
        </w:tc>
        <w:tc>
          <w:tcPr>
            <w:tcW w:type="dxa" w:w="3402"/>
            <w:shd w:val="clear" w:color="auto" w:fill="F2F5FA"/>
          </w:tcPr>
          <w:p>
            <w:r/>
            <w:r>
              <w:rPr>
                <w:rFonts w:ascii="Times New Roman" w:hAnsi="Times New Roman"/>
                <w:sz w:val="17"/>
              </w:rPr>
              <w:t>Stress_Testing dòng 31, 47, 50</w:t>
            </w:r>
          </w:p>
        </w:tc>
      </w:tr>
      <w:tr>
        <w:tc>
          <w:tcPr>
            <w:tcW w:type="dxa" w:w="1928"/>
          </w:tcPr>
          <w:p>
            <w:r/>
            <w:r>
              <w:rPr>
                <w:rFonts w:ascii="Times New Roman" w:hAnsi="Times New Roman"/>
                <w:sz w:val="17"/>
              </w:rPr>
              <w:t>MBV không hợp nhất</w:t>
            </w:r>
          </w:p>
        </w:tc>
        <w:tc>
          <w:tcPr>
            <w:tcW w:type="dxa" w:w="4195"/>
          </w:tcPr>
          <w:p>
            <w:r/>
            <w:r>
              <w:rPr>
                <w:rFonts w:ascii="Times New Roman" w:hAnsi="Times New Roman"/>
                <w:sz w:val="17"/>
              </w:rPr>
              <w:t>Điều 185 Luật Các TCTD 2024; TM 3.4 BCTC HN 2025 MB</w:t>
            </w:r>
          </w:p>
        </w:tc>
        <w:tc>
          <w:tcPr>
            <w:tcW w:type="dxa" w:w="3402"/>
          </w:tcPr>
          <w:p>
            <w:r/>
            <w:r>
              <w:rPr>
                <w:rFonts w:ascii="Times New Roman" w:hAnsi="Times New Roman"/>
                <w:sz w:val="17"/>
              </w:rPr>
              <w:t>Xem IV.4 về số thuyết minh</w:t>
            </w:r>
          </w:p>
        </w:tc>
      </w:tr>
    </w:tbl>
    <w:p>
      <w:pPr>
        <w:spacing w:after="120"/>
      </w:pPr>
    </w:p>
    <w:p>
      <w:pPr>
        <w:spacing w:after="120"/>
      </w:pPr>
      <w:r>
        <w:rPr>
          <w:rFonts w:ascii="Times New Roman" w:hAnsi="Times New Roman" w:eastAsia="Times New Roman"/>
          <w:b/>
          <w:i w:val="0"/>
          <w:color w:val="1F3864"/>
          <w:sz w:val="26"/>
        </w:rPr>
        <w:t>IV. ĐIỂM CẦN NHÓM XÁC NHẬN TRÊN PDF GỐC (CHƯA THỂ KIỂM CHỨNG TỪ EXCEL)</w:t>
      </w:r>
    </w:p>
    <w:p>
      <w:pPr>
        <w:spacing w:after="80"/>
        <w:jc w:val="both"/>
      </w:pPr>
      <w:r>
        <w:rPr>
          <w:rFonts w:ascii="Times New Roman" w:hAnsi="Times New Roman" w:eastAsia="Times New Roman"/>
          <w:b w:val="0"/>
          <w:i w:val="0"/>
          <w:sz w:val="21"/>
        </w:rPr>
        <w:t>1. Chứng khoán nợ do TCTD phát hành cuối 2022 của MB: sheet Kiem_chung ghi 66.307 tỷ (TM 12 BCTC HN 2022, tr.237), sheet BCTC_MB_Goc dòng 53 ghi 68.221 tỷ. Cần thống nhất một số rồi mới đưa lại vào Mục 2.2 và 5.3.</w:t>
      </w:r>
    </w:p>
    <w:p>
      <w:pPr>
        <w:spacing w:after="80"/>
        <w:jc w:val="both"/>
      </w:pPr>
      <w:r>
        <w:rPr>
          <w:rFonts w:ascii="Times New Roman" w:hAnsi="Times New Roman" w:eastAsia="Times New Roman"/>
          <w:b w:val="0"/>
          <w:i w:val="0"/>
          <w:sz w:val="21"/>
        </w:rPr>
        <w:t>2. Tăng trưởng dư nợ năm 2020 (Agribank 8,2%; MB 19,2%) và credit cost 2020 cần dư nợ 2019, nhưng số này không có trong Excel. Nên bổ sung dư nợ 31/12/2019 (số so sánh BCTC 2020) vào BCTC_*_Goc để truy vết.</w:t>
      </w:r>
    </w:p>
    <w:p>
      <w:pPr>
        <w:spacing w:after="80"/>
        <w:jc w:val="both"/>
      </w:pPr>
      <w:r>
        <w:rPr>
          <w:rFonts w:ascii="Times New Roman" w:hAnsi="Times New Roman" w:eastAsia="Times New Roman"/>
          <w:b w:val="0"/>
          <w:i w:val="0"/>
          <w:sz w:val="21"/>
        </w:rPr>
        <w:t>3. Sheet Du_lieu, cột M "Kiểm chứng (27/10/2026)" còn khoảng 20 dòng ghi "CHƯA KIỂM CHỨNG / Một phần", trong khi cột J và báo cáo v4 ghi "Đã kiểm chứng 100%". Bản v3 không tự đổi trạng thái vì không mở được PDF gốc; nhóm cần cập nhật cột M sau khi đối chiếu.</w:t>
      </w:r>
    </w:p>
    <w:p>
      <w:pPr>
        <w:spacing w:after="80"/>
        <w:jc w:val="both"/>
      </w:pPr>
      <w:r>
        <w:rPr>
          <w:rFonts w:ascii="Times New Roman" w:hAnsi="Times New Roman" w:eastAsia="Times New Roman"/>
          <w:b w:val="0"/>
          <w:i w:val="0"/>
          <w:sz w:val="21"/>
        </w:rPr>
        <w:t>4. Số thuyết minh về việc không hợp nhất MBV: Word ghi "Thuyết minh 3.4 BCTC HN 2025 (tr.148)", báo cáo v4 ghi "Thuyết minh 36". Cần xác nhận một số.</w:t>
      </w:r>
    </w:p>
    <w:p>
      <w:pPr>
        <w:spacing w:after="80"/>
        <w:jc w:val="both"/>
      </w:pPr>
      <w:r>
        <w:rPr>
          <w:rFonts w:ascii="Times New Roman" w:hAnsi="Times New Roman" w:eastAsia="Times New Roman"/>
          <w:b w:val="0"/>
          <w:i w:val="0"/>
          <w:sz w:val="21"/>
        </w:rPr>
        <w:t>5. Mẫu số của NPL 1,17% (BCTN Agribank 2025): Word giải thích là "tổng cấp tín dụng". Nhãn Excel đã đổi cho thống nhất, nhưng cần xác nhận trên BCTN 2025 (tr.21) vì đây là luận điểm bảo vệ chính.</w:t>
      </w:r>
    </w:p>
    <w:p>
      <w:pPr>
        <w:spacing w:after="80"/>
        <w:jc w:val="both"/>
      </w:pPr>
      <w:r>
        <w:rPr>
          <w:rFonts w:ascii="Times New Roman" w:hAnsi="Times New Roman" w:eastAsia="Times New Roman"/>
          <w:b w:val="0"/>
          <w:i w:val="0"/>
          <w:sz w:val="21"/>
        </w:rPr>
        <w:t>6. Nguồn của các con số định tính: thiệt hại vụ Lifepro "gần 2.500 tỷ", ALC II "mất khả năng thanh toán từ 2018", và FiinGroup trong nguồn Bảng 2 (chưa có trong TLTK). Nên bổ sung trích dẫn hoặc diễn đạt thận trọng hơn.</w:t>
      </w:r>
    </w:p>
    <w:p>
      <w:pPr>
        <w:spacing w:after="80"/>
        <w:jc w:val="both"/>
      </w:pPr>
      <w:r>
        <w:rPr>
          <w:rFonts w:ascii="Times New Roman" w:hAnsi="Times New Roman" w:eastAsia="Times New Roman"/>
          <w:b w:val="0"/>
          <w:i w:val="0"/>
          <w:sz w:val="21"/>
        </w:rPr>
        <w:t>7. Mô hình stress test: nếu còn thời gian, nên viết lại công thức với kênh truyền dẫn rõ ràng và áp dụng kênh giá BĐS cho cả MB (hiện chỉ công bố hạn chế, chưa đổi số).</w:t>
      </w:r>
    </w:p>
    <w:p>
      <w:pPr>
        <w:spacing w:after="120"/>
      </w:pPr>
      <w:r>
        <w:rPr>
          <w:rFonts w:ascii="Times New Roman" w:hAnsi="Times New Roman" w:eastAsia="Times New Roman"/>
          <w:b/>
          <w:i w:val="0"/>
          <w:color w:val="1F3864"/>
          <w:sz w:val="26"/>
        </w:rPr>
        <w:t>V. ĐIỀU CHỈNH NỘI DUNG BÁO CÁO V4 VÀ CẨM NANG BẢO VỆ</w:t>
      </w:r>
    </w:p>
    <w:p>
      <w:pPr>
        <w:spacing w:after="80"/>
        <w:jc w:val="both"/>
      </w:pPr>
      <w:r>
        <w:rPr>
          <w:rFonts w:ascii="Times New Roman" w:hAnsi="Times New Roman" w:eastAsia="Times New Roman"/>
          <w:b w:val="0"/>
          <w:i w:val="0"/>
          <w:sz w:val="21"/>
        </w:rPr>
        <w:t>• V4 ghi tiểu luận "36 trang"; bản dựng hiện tại khoảng 34 trang (tùy phần mềm). Không nên nêu số trang cố định.</w:t>
      </w:r>
    </w:p>
    <w:p>
      <w:pPr>
        <w:spacing w:after="80"/>
        <w:jc w:val="both"/>
      </w:pPr>
      <w:r>
        <w:rPr>
          <w:rFonts w:ascii="Times New Roman" w:hAnsi="Times New Roman" w:eastAsia="Times New Roman"/>
          <w:b w:val="0"/>
          <w:i w:val="0"/>
          <w:sz w:val="21"/>
        </w:rPr>
        <w:t>• V4 ghi LLCR MB 2025 là 93,8%; số đúng là 93,7% (13.151 / 14.027). Năm 2024 là 92,2%.</w:t>
      </w:r>
    </w:p>
    <w:p>
      <w:pPr>
        <w:spacing w:after="80"/>
        <w:jc w:val="both"/>
      </w:pPr>
      <w:r>
        <w:rPr>
          <w:rFonts w:ascii="Times New Roman" w:hAnsi="Times New Roman" w:eastAsia="Times New Roman"/>
          <w:b w:val="0"/>
          <w:i w:val="0"/>
          <w:sz w:val="21"/>
        </w:rPr>
        <w:t>• V4 khẳng định mẫu số của 1,17% "bao gồm cả trái phiếu doanh nghiệp, bảo lãnh, cam kết ngoại bảng". Khi bảo vệ chỉ nên nói 1,17% dùng mẫu số theo chuẩn TT11/TT31 tại BCTN, rộng hơn dư nợ cho vay khách hàng, cho tới khi xác nhận IV.5.</w:t>
      </w:r>
    </w:p>
    <w:p>
      <w:pPr>
        <w:spacing w:after="80"/>
        <w:jc w:val="both"/>
      </w:pPr>
      <w:r>
        <w:rPr>
          <w:rFonts w:ascii="Times New Roman" w:hAnsi="Times New Roman" w:eastAsia="Times New Roman"/>
          <w:b w:val="0"/>
          <w:i w:val="0"/>
          <w:sz w:val="21"/>
        </w:rPr>
        <w:t>• Cách trả lời về IFRS 9 nên chủ động nêu hai lưu ý phương pháp (E2): gap của MB có khoảng 983 tỷ đến từ TPDN, và CAR sau IFRS 9 là ước tính minh họa. Nêu trước sẽ an toàn hơn để giảng viên phát hiện.</w:t>
      </w:r>
    </w:p>
    <w:p>
      <w:pPr>
        <w:spacing w:after="80"/>
        <w:jc w:val="both"/>
      </w:pPr>
      <w:r>
        <w:rPr>
          <w:rFonts w:ascii="Times New Roman" w:hAnsi="Times New Roman" w:eastAsia="Times New Roman"/>
          <w:b w:val="0"/>
          <w:i w:val="0"/>
          <w:sz w:val="21"/>
        </w:rPr>
        <w:t>• Cách trả lời về stress test: trình bày là phân tích độ nhạy tương đối, với các hệ số hiệu chỉnh do nhóm đặt (E1). Không gọi là "100% công thức động" theo nghĩa mô hình ước lượng.</w:t>
      </w:r>
    </w:p>
    <w:p>
      <w:pPr>
        <w:spacing w:after="80"/>
        <w:jc w:val="both"/>
      </w:pPr>
      <w:r>
        <w:rPr>
          <w:rFonts w:ascii="Times New Roman" w:hAnsi="Times New Roman" w:eastAsia="Times New Roman"/>
          <w:b w:val="0"/>
          <w:i w:val="0"/>
          <w:sz w:val="21"/>
        </w:rPr>
        <w:t>• Câu hỏi khả dĩ về bão Yagi: giữ nguyên nhóm nợ và trích dự phòng 35%/70% theo QĐ 1510/QĐ-TTg; TT 53/2024 hướng dẫn cơ cấu lại thời hạn trả nợ.</w:t>
      </w:r>
    </w:p>
    <w:p>
      <w:pPr>
        <w:spacing w:after="80"/>
        <w:jc w:val="both"/>
      </w:pPr>
      <w:r>
        <w:rPr>
          <w:rFonts w:ascii="Times New Roman" w:hAnsi="Times New Roman" w:eastAsia="Times New Roman"/>
          <w:b w:val="0"/>
          <w:i w:val="0"/>
          <w:sz w:val="21"/>
        </w:rPr>
        <w:t>• Lỗi chính tả trong v4: "TÍNH TOẸN VẸN" → "TÍNH TOÀN VẸN".</w:t>
      </w:r>
    </w:p>
    <w:p>
      <w:pPr>
        <w:spacing w:after="120"/>
      </w:pPr>
      <w:r>
        <w:rPr>
          <w:rFonts w:ascii="Times New Roman" w:hAnsi="Times New Roman" w:eastAsia="Times New Roman"/>
          <w:b/>
          <w:i w:val="0"/>
          <w:color w:val="1F3864"/>
          <w:sz w:val="26"/>
        </w:rPr>
        <w:t>VI. DANH MỤC TỆP BÀN GIAO (V3)</w:t>
      </w:r>
    </w:p>
    <w:tbl>
      <w:tblPr>
        <w:tblW w:type="auto" w:w="0"/>
        <w:tblLayout w:type="fixed"/>
        <w:tblLook w:firstColumn="1" w:firstRow="1" w:lastColumn="0" w:lastRow="0" w:noHBand="0" w:noVBand="1" w:val="04A0"/>
        <w:tblBorders>
          <w:top w:val="single" w:sz="4" w:color="8EA0B8"/>
          <w:left w:val="single" w:sz="4" w:color="8EA0B8"/>
          <w:bottom w:val="single" w:sz="4" w:color="8EA0B8"/>
          <w:right w:val="single" w:sz="4" w:color="8EA0B8"/>
          <w:insideH w:val="single" w:sz="4" w:color="8EA0B8"/>
          <w:insideV w:val="single" w:sz="4" w:color="8EA0B8"/>
        </w:tblBorders>
      </w:tblPr>
      <w:tblGrid>
        <w:gridCol w:w="4195"/>
        <w:gridCol w:w="5329"/>
      </w:tblGrid>
      <w:tr>
        <w:tc>
          <w:tcPr>
            <w:tcW w:type="dxa" w:w="4195"/>
            <w:shd w:val="clear" w:color="auto" w:fill="1F3864"/>
          </w:tcPr>
          <w:p>
            <w:r/>
            <w:r>
              <w:rPr>
                <w:rFonts w:ascii="Times New Roman" w:hAnsi="Times New Roman"/>
                <w:b/>
                <w:color w:val="FFFFFF"/>
                <w:sz w:val="18"/>
              </w:rPr>
              <w:t>Tệp</w:t>
            </w:r>
          </w:p>
        </w:tc>
        <w:tc>
          <w:tcPr>
            <w:tcW w:type="dxa" w:w="5329"/>
            <w:shd w:val="clear" w:color="auto" w:fill="1F3864"/>
          </w:tcPr>
          <w:p>
            <w:r/>
            <w:r>
              <w:rPr>
                <w:rFonts w:ascii="Times New Roman" w:hAnsi="Times New Roman"/>
                <w:b/>
                <w:color w:val="FFFFFF"/>
                <w:sz w:val="18"/>
              </w:rPr>
              <w:t>Nội dung thay đổi</w:t>
            </w:r>
          </w:p>
        </w:tc>
      </w:tr>
      <w:tr>
        <w:tc>
          <w:tcPr>
            <w:tcW w:type="dxa" w:w="4195"/>
          </w:tcPr>
          <w:p>
            <w:r/>
            <w:r>
              <w:rPr>
                <w:rFonts w:ascii="Times New Roman" w:hAnsi="Times New Roman"/>
                <w:sz w:val="18"/>
              </w:rPr>
              <w:t>Tieu_luan_Agribank_MB_2020-2025_hoan_thien_v3.docx</w:t>
            </w:r>
          </w:p>
        </w:tc>
        <w:tc>
          <w:tcPr>
            <w:tcW w:type="dxa" w:w="5329"/>
          </w:tcPr>
          <w:p>
            <w:r/>
            <w:r>
              <w:rPr>
                <w:rFonts w:ascii="Times New Roman" w:hAnsi="Times New Roman"/>
                <w:sz w:val="18"/>
              </w:rPr>
              <w:t>Toàn bộ sửa đổi A–E; mục lục tự động; TLTK [1]–[25]</w:t>
            </w:r>
          </w:p>
        </w:tc>
      </w:tr>
      <w:tr>
        <w:tc>
          <w:tcPr>
            <w:tcW w:type="dxa" w:w="4195"/>
            <w:shd w:val="clear" w:color="auto" w:fill="F2F5FA"/>
          </w:tcPr>
          <w:p>
            <w:r/>
            <w:r>
              <w:rPr>
                <w:rFonts w:ascii="Times New Roman" w:hAnsi="Times New Roman"/>
                <w:sz w:val="18"/>
              </w:rPr>
              <w:t>Phan_tich_RRTD_Agribank_MB_2020-2025_v3.xlsx</w:t>
            </w:r>
          </w:p>
        </w:tc>
        <w:tc>
          <w:tcPr>
            <w:tcW w:type="dxa" w:w="5329"/>
            <w:shd w:val="clear" w:color="auto" w:fill="F2F5FA"/>
          </w:tcPr>
          <w:p>
            <w:r/>
            <w:r>
              <w:rPr>
                <w:rFonts w:ascii="Times New Roman" w:hAnsi="Times New Roman"/>
                <w:sz w:val="18"/>
              </w:rPr>
              <w:t>Tam nông dạng khoảng; nhãn NPL BCTN; Chi_tieu dòng 62–68 (chỉ tiêu bổ sung có công thức); ghi chú hạn chế ở Stress_Testing và IFRS9_Simulation; Kiem_chung dòng 44–51 ghi nhận soát xét. Biểu đồ và công thức cũ giữ nguyên</w:t>
            </w:r>
          </w:p>
        </w:tc>
      </w:tr>
      <w:tr>
        <w:tc>
          <w:tcPr>
            <w:tcW w:type="dxa" w:w="4195"/>
          </w:tcPr>
          <w:p>
            <w:r/>
            <w:r>
              <w:rPr>
                <w:rFonts w:ascii="Times New Roman" w:hAnsi="Times New Roman"/>
                <w:sz w:val="18"/>
              </w:rPr>
              <w:t>BCTC_Goc_Trich_Xuat_Agribank_MB_2020-2025_v2.xlsx</w:t>
            </w:r>
          </w:p>
        </w:tc>
        <w:tc>
          <w:tcPr>
            <w:tcW w:type="dxa" w:w="5329"/>
          </w:tcPr>
          <w:p>
            <w:r/>
            <w:r>
              <w:rPr>
                <w:rFonts w:ascii="Times New Roman" w:hAnsi="Times New Roman"/>
                <w:sz w:val="18"/>
              </w:rPr>
              <w:t>Tam nông 2020–2022 dạng khoảng (đồng bộ với tệp phân tích)</w:t>
            </w:r>
          </w:p>
        </w:tc>
      </w:tr>
      <w:tr>
        <w:tc>
          <w:tcPr>
            <w:tcW w:type="dxa" w:w="4195"/>
            <w:shd w:val="clear" w:color="auto" w:fill="F2F5FA"/>
          </w:tcPr>
          <w:p>
            <w:r/>
            <w:r>
              <w:rPr>
                <w:rFonts w:ascii="Times New Roman" w:hAnsi="Times New Roman"/>
                <w:sz w:val="18"/>
              </w:rPr>
              <w:t>Bao_cao_Soat_xet_Agribank_MB_v5.docx</w:t>
            </w:r>
          </w:p>
        </w:tc>
        <w:tc>
          <w:tcPr>
            <w:tcW w:type="dxa" w:w="5329"/>
            <w:shd w:val="clear" w:color="auto" w:fill="F2F5FA"/>
          </w:tcPr>
          <w:p>
            <w:r/>
            <w:r>
              <w:rPr>
                <w:rFonts w:ascii="Times New Roman" w:hAnsi="Times New Roman"/>
                <w:sz w:val="18"/>
              </w:rPr>
              <w:t>Báo cáo này</w:t>
            </w:r>
          </w:p>
        </w:tc>
      </w:tr>
      <w:tr>
        <w:tc>
          <w:tcPr>
            <w:tcW w:type="dxa" w:w="4195"/>
          </w:tcPr>
          <w:p>
            <w:r/>
            <w:r>
              <w:rPr>
                <w:rFonts w:ascii="Times New Roman" w:hAnsi="Times New Roman"/>
                <w:sz w:val="18"/>
              </w:rPr>
              <w:t>Các tệp v2, v4 và Danh_muc_tai_lieu_can_lay</w:t>
            </w:r>
          </w:p>
        </w:tc>
        <w:tc>
          <w:tcPr>
            <w:tcW w:type="dxa" w:w="5329"/>
          </w:tcPr>
          <w:p>
            <w:r/>
            <w:r>
              <w:rPr>
                <w:rFonts w:ascii="Times New Roman" w:hAnsi="Times New Roman"/>
                <w:sz w:val="18"/>
              </w:rPr>
              <w:t>Giữ nguyên, không ghi đè</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