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before="0" w:after="480" w:line="276" w:lineRule="auto"/>
        <w:jc w:val="center"/>
      </w:pPr>
      <w:r>
        <w:rPr>
          <w:rFonts w:ascii="Times New Roman" w:hAnsi="Times New Roman"/>
          <w:b/>
          <w:i w:val="0"/>
          <w:color w:val="002060"/>
          <w:sz w:val="22"/>
        </w:rPr>
        <w:t>BỘ GIÁO DỤC VÀ ĐÀO TẠO — TRƯỜNG ĐẠI HỌC KINH TẾ QUỐC DÂN (NEU)</w:t>
        <w:br/>
        <w:t>VIỆN ĐÀO TẠO SAU ĐẠI HỌC — VIỆN NGÂN HÀNG - TÀI CHÍNH</w:t>
      </w:r>
    </w:p>
    <w:p>
      <w:pPr>
        <w:pageBreakBefore w:val="0"/>
        <w:spacing w:before="400" w:after="280" w:line="276" w:lineRule="auto"/>
        <w:jc w:val="center"/>
      </w:pPr>
      <w:r>
        <w:rPr>
          <w:rFonts w:ascii="Times New Roman" w:hAnsi="Times New Roman"/>
          <w:b/>
          <w:i w:val="0"/>
          <w:color w:val="C00000"/>
          <w:sz w:val="30"/>
        </w:rPr>
        <w:t>BÀI TIỂU LUẬN HỌC PHẦN: QUẢN TRỊ RỦI RO</w:t>
        <w:br/>
        <w:t>(BÁO CÁO CHUYÊN ĐỀ &amp; TÀI LIỆU THUYẾT TRÌNH NHÓM TRÊN LỚP)</w:t>
      </w:r>
    </w:p>
    <w:p>
      <w:pPr>
        <w:pageBreakBefore w:val="0"/>
        <w:spacing w:before="200" w:after="200" w:line="276" w:lineRule="auto"/>
        <w:jc w:val="center"/>
      </w:pPr>
      <w:r>
        <w:rPr>
          <w:rFonts w:ascii="Times New Roman" w:hAnsi="Times New Roman"/>
          <w:b/>
          <w:i w:val="0"/>
          <w:color w:val="002060"/>
          <w:sz w:val="32"/>
        </w:rPr>
        <w:t>SO SÁNH MÔ HÌNH VÀ THỰC TRẠNG QUẢN TRỊ RỦI RO TÍN DỤNG</w:t>
        <w:br/>
        <w:t>GIỮA AGRIBANK VÀ MB GIAI ĐOẠN 2020–2025</w:t>
      </w:r>
    </w:p>
    <w:p>
      <w:pPr>
        <w:pageBreakBefore w:val="0"/>
        <w:spacing w:before="80" w:after="720" w:line="276" w:lineRule="auto"/>
        <w:jc w:val="center"/>
      </w:pPr>
      <w:r>
        <w:rPr>
          <w:rFonts w:ascii="Times New Roman" w:hAnsi="Times New Roman"/>
          <w:b/>
          <w:i/>
          <w:color w:val="505050"/>
          <w:sz w:val="23"/>
        </w:rPr>
        <w:t>ĐỐI THOẠI HỌC THUẬT VỀ THỂ CHẾ SỞ HỮU, KHẨU VỊ RỦI RO, KHOAN DUNG PHÁP LÝ,</w:t>
        <w:br/>
        <w:t>KIỂM TRA SỨC CHỊU ĐỰNG (STRESS TEST) VÀ MÔ PHỎNG CHUẨN MỰC IFRS 9</w:t>
      </w:r>
    </w:p>
    <w:p>
      <w:pPr>
        <w:pageBreakBefore w:val="0"/>
        <w:spacing w:before="320" w:after="800" w:line="276" w:lineRule="auto"/>
        <w:jc w:val="left"/>
      </w:pPr>
      <w:r>
        <w:rPr>
          <w:rFonts w:ascii="Times New Roman" w:hAnsi="Times New Roman"/>
          <w:b w:val="0"/>
          <w:i w:val="0"/>
          <w:color w:val="000000"/>
          <w:sz w:val="21"/>
        </w:rPr>
        <w:t>Nhóm thực hiện:</w:t>
        <w:tab/>
        <w:t>Nhóm 2 (Lớp K34_3_NH8 — Cao học Khóa 34 NEU)</w:t>
        <w:br/>
        <w:t>Học phần / Môn học:</w:t>
        <w:tab/>
        <w:t>Quản trị rủi ro</w:t>
        <w:br/>
        <w:t>Giảng viên hướng dẫn:</w:t>
        <w:tab/>
        <w:t>TS. Khúc Thế Anh</w:t>
        <w:br/>
        <w:t>Danh sách thành viên:</w:t>
        <w:br/>
        <w:t xml:space="preserve">   1. CH345205 — Cao Trường Anh</w:t>
        <w:tab/>
        <w:tab/>
        <w:t>5. CH345585 — Ngô Thị Bích Ngọc</w:t>
        <w:br/>
        <w:t xml:space="preserve">   2. CH345254 — Đỗ Lương Bằng</w:t>
        <w:tab/>
        <w:tab/>
        <w:t>6. CH345648 — Phạm Hồng Quân</w:t>
        <w:br/>
        <w:t xml:space="preserve">   3. CH345463 — Hoàng Thị Mai Hương</w:t>
        <w:tab/>
        <w:t>7. CH345714 — Vũ Thanh Thủy</w:t>
        <w:br/>
        <w:t xml:space="preserve">   4. CH345505 — Lê Thị Bảo Linh</w:t>
        <w:tab/>
        <w:tab/>
        <w:t>8. CH345756 — Đỗ Minh Tuấn</w:t>
        <w:br/>
        <w:t>Hồ sơ dữ liệu kèm theo:</w:t>
        <w:tab/>
        <w:t>Phan_tich_RRTD_Agribank_MB_2020-2025_v3.xlsx &amp; BCTC_Goc_Trich_Xuat_Agribank_MB_2020-2025_v2.xlsx</w:t>
        <w:br/>
        <w:t>Định dạng văn bản:</w:t>
        <w:tab/>
        <w:t>Tiểu luận học phần rút gọn (~20 trang Nội dung thực chứng, loại bỏ lý thuyết hàn lâm, kèm Kịch bản thuyết trình Speaker Notes)</w:t>
      </w:r>
    </w:p>
    <w:p>
      <w:pPr>
        <w:pageBreakBefore w:val="0"/>
        <w:spacing w:before="400" w:after="0" w:line="276" w:lineRule="auto"/>
        <w:jc w:val="center"/>
      </w:pPr>
      <w:r>
        <w:rPr>
          <w:rFonts w:ascii="Times New Roman" w:hAnsi="Times New Roman"/>
          <w:b/>
          <w:i w:val="0"/>
          <w:color w:val="000000"/>
          <w:sz w:val="22"/>
        </w:rPr>
        <w:t>Hà Nội, Năm 2026</w:t>
        <w:br w:type="page"/>
      </w:r>
    </w:p>
    <w:p>
      <w:pPr>
        <w:pStyle w:val="Heading1"/>
        <w:keepNext/>
        <w:pageBreakBefore w:val="0"/>
        <w:spacing w:before="320" w:after="120"/>
        <w:outlineLvl w:val="0"/>
      </w:pPr>
      <w:r>
        <w:rPr>
          <w:rFonts w:ascii="Times New Roman" w:hAnsi="Times New Roman"/>
          <w:b/>
          <w:i w:val="0"/>
          <w:color w:val="002060"/>
          <w:sz w:val="27"/>
        </w:rPr>
        <w:t>TÓM TẮT ĐIỀU HÀNH (BẢN TÓM TẮT BÁO CÁO THUYẾT TRÌNH)</w:t>
      </w:r>
    </w:p>
    <w:p>
      <w:pPr>
        <w:pageBreakBefore w:val="0"/>
        <w:spacing w:before="40" w:after="60" w:line="276" w:lineRule="auto"/>
        <w:jc w:val="left"/>
      </w:pPr>
      <w:r>
        <w:rPr>
          <w:rFonts w:ascii="Times New Roman" w:hAnsi="Times New Roman"/>
          <w:b w:val="0"/>
          <w:i w:val="0"/>
          <w:color w:val="000000"/>
          <w:sz w:val="22"/>
        </w:rPr>
        <w:t>Bản Báo cáo Thuyết trình này được nhóm tác giả biên soạn chuyên biệt phục vụ buổi báo cáo chuyên đề và thuyết trình nhóm học phần Quản trị rủi ro (Chương trình Đào tạo Thạc sĩ NEU). Tài liệu lược bỏ hoàn toàn các khái niệm lý thuyết giáo khoa thuần túy (như định nghĩa rủi ro tín dụng sơ cấp, mô hình Stiglitz-Weiss, lý thuyết Jensen-Meckling), tập trung 100% dung lượng vào bóc tách dữ liệu định lượng thực chứng, mô hình kiểm tra sức chịu đựng (Stress Testing), mô phỏng chuẩn mực quốc tế IFRS 9 và các bài học xử lý sự cố thực tế từ 27 tệp báo cáo tài chính kiểm toán và báo cáo thường niên giai đoạn 2020–2025 của Agribank và MB. Năm thông điệp cốt lõi chi phối toàn bộ bài thuyết trình bao gồm:</w:t>
      </w:r>
    </w:p>
    <w:p>
      <w:pPr>
        <w:pageBreakBefore w:val="0"/>
        <w:spacing w:before="60" w:after="80" w:line="276" w:lineRule="auto"/>
        <w:jc w:val="left"/>
      </w:pPr>
      <w:r>
        <w:rPr>
          <w:rFonts w:ascii="Times New Roman" w:hAnsi="Times New Roman"/>
          <w:b/>
          <w:i w:val="0"/>
          <w:color w:val="002060"/>
          <w:sz w:val="22"/>
        </w:rPr>
        <w:t xml:space="preserve">  • 1. Hiện tượng Hội tụ NPL bề mặt nhưng Phân kỳ bản chất: </w:t>
      </w:r>
      <w:r>
        <w:rPr>
          <w:rFonts w:ascii="Times New Roman" w:hAnsi="Times New Roman"/>
          <w:b w:val="0"/>
          <w:i w:val="0"/>
          <w:color w:val="000000"/>
          <w:sz w:val="22"/>
        </w:rPr>
        <w:t>Báo cáo thường niên công bố NPL Agribank năm 2025 là 1,17%, thấp hơn MB (1,29%). Tuy nhiên, đây là sự so sánh không cùng mẫu số (Agribank chia tổng cấp tín dụng theo Thông tư 11/31). Khi tính like-for-like trên cùng mẫu số Dư nợ cho vay khách hàng hợp nhất (Thuyết minh 9), NPL của Agribank là 1,30%, gần như bằng MB (1,29%).</w:t>
      </w:r>
    </w:p>
    <w:p>
      <w:pPr>
        <w:pageBreakBefore w:val="0"/>
        <w:spacing w:before="60" w:after="80" w:line="276" w:lineRule="auto"/>
        <w:jc w:val="left"/>
      </w:pPr>
      <w:r>
        <w:rPr>
          <w:rFonts w:ascii="Times New Roman" w:hAnsi="Times New Roman"/>
          <w:b/>
          <w:i w:val="0"/>
          <w:color w:val="002060"/>
          <w:sz w:val="22"/>
        </w:rPr>
        <w:t xml:space="preserve">  • 2. Hiệu ứng Mẫu số và Kỹ thuật Xóa nợ bằng dự phòng: </w:t>
      </w:r>
      <w:r>
        <w:rPr>
          <w:rFonts w:ascii="Times New Roman" w:hAnsi="Times New Roman"/>
          <w:b w:val="0"/>
          <w:i w:val="0"/>
          <w:color w:val="000000"/>
          <w:sz w:val="22"/>
        </w:rPr>
        <w:t>Phân rã toán học (Decomposition) chứng minh mức giảm 0,33 điểm % NPL của MB năm 2025 chủ yếu đến từ hiệu ứng mẫu số (-0,46 điểm % nhờ tín dụng tăng 39,6% làm loãng nợ xấu), trong khi nợ xấu tuyệt đối vẫn tăng +1.442 tỷ đồng (+0,13 điểm % hiệu ứng tử số). Ngược lại, Agribank giảm thực chất cả mẫu số (-0,22 điểm %) và nợ xấu tuyệt đối giảm -3.399 tỷ (-0,17 điểm %). Cả hai ngân hàng dựa rất lớn vào quỹ dự phòng để xóa nợ nội bảng trong năm 2025 (Agribank xóa 32.621 tỷ đồng, MB xóa 12.185 tỷ đồng). Nếu cộng lại số nợ đã xóa, NPL thực chất trước xử lý rủi ro ước tính lên tới 2,95% tại Agribank và 2,42% tại MB.</w:t>
      </w:r>
    </w:p>
    <w:p>
      <w:pPr>
        <w:pageBreakBefore w:val="0"/>
        <w:spacing w:before="60" w:after="80" w:line="276" w:lineRule="auto"/>
        <w:jc w:val="left"/>
      </w:pPr>
      <w:r>
        <w:rPr>
          <w:rFonts w:ascii="Times New Roman" w:hAnsi="Times New Roman"/>
          <w:b/>
          <w:i w:val="0"/>
          <w:color w:val="002060"/>
          <w:sz w:val="22"/>
        </w:rPr>
        <w:t xml:space="preserve">  • 3. Sự đánh đổi Chu kỳ của Bộ đệm Dự phòng (Procyclical Buffering): </w:t>
      </w:r>
      <w:r>
        <w:rPr>
          <w:rFonts w:ascii="Times New Roman" w:hAnsi="Times New Roman"/>
          <w:b w:val="0"/>
          <w:i w:val="0"/>
          <w:color w:val="000000"/>
          <w:sz w:val="22"/>
        </w:rPr>
        <w:t>MB lựa chọn chiến lược xả mạnh bộ đệm bao phủ nợ xấu (LLCR) từ đỉnh 268,0% (2021) xuống 93,7% (2025) để tối ưu hóa lợi nhuận trước áp lực cổ đông và thị trường chứng khoán. Ngược lại, Agribank duy trì bộ đệm phòng thủ thể chế bền vững (LLCR 113,6%–146,3%), chấp nhận chi phí trích lập dự phòng bình quân 1,66% dư nợ để bảo toàn vốn công.</w:t>
      </w:r>
    </w:p>
    <w:p>
      <w:pPr>
        <w:pageBreakBefore w:val="0"/>
        <w:spacing w:before="60" w:after="80" w:line="276" w:lineRule="auto"/>
        <w:jc w:val="left"/>
      </w:pPr>
      <w:r>
        <w:rPr>
          <w:rFonts w:ascii="Times New Roman" w:hAnsi="Times New Roman"/>
          <w:b/>
          <w:i w:val="0"/>
          <w:color w:val="002060"/>
          <w:sz w:val="22"/>
        </w:rPr>
        <w:t xml:space="preserve">  • 4. Tính Tổn thương Bất đối xứng trong Stress Testing 2026: </w:t>
      </w:r>
      <w:r>
        <w:rPr>
          <w:rFonts w:ascii="Times New Roman" w:hAnsi="Times New Roman"/>
          <w:b w:val="0"/>
          <w:i w:val="0"/>
          <w:color w:val="000000"/>
          <w:sz w:val="22"/>
        </w:rPr>
        <w:t>Dưới kịch bản vĩ mô Cực đoan 2026 (GDP 3,5%, lãi suất +300 bps, giá BĐS -25%), mô hình lượng hóa sự phân hóa sâu sắc: Agribank chịu rủi ro sống còn về An toàn vốn (hệ số CAR tụt từ 10,22% xuống 8,67%, sát ngưỡng sàn Basel II 8,0%), trong khi MB chịu cú sốc trực diện vào Lợi nhuận (LNTT sụt giảm -69,3% do chi phí dự phòng bổ sung 22.402 tỷ đồng ăn mòn gần hết thu nhập).</w:t>
      </w:r>
    </w:p>
    <w:p>
      <w:pPr>
        <w:pageBreakBefore w:val="0"/>
        <w:spacing w:before="60" w:after="80" w:line="276" w:lineRule="auto"/>
        <w:jc w:val="left"/>
      </w:pPr>
      <w:r>
        <w:rPr>
          <w:rFonts w:ascii="Times New Roman" w:hAnsi="Times New Roman"/>
          <w:b/>
          <w:i w:val="0"/>
          <w:color w:val="002060"/>
          <w:sz w:val="22"/>
        </w:rPr>
        <w:t xml:space="preserve">  • 5. Cú sốc Chuyển đổi IFRS 9 ECL tại Stage 2: </w:t>
      </w:r>
      <w:r>
        <w:rPr>
          <w:rFonts w:ascii="Times New Roman" w:hAnsi="Times New Roman"/>
          <w:b w:val="0"/>
          <w:i w:val="0"/>
          <w:color w:val="000000"/>
          <w:sz w:val="22"/>
        </w:rPr>
        <w:t>Mô phỏng chuẩn mực quốc tế IFRS 9 bóc tách khoảng cách dự phòng trích thiếu (Provisioning Gap) của MB lên tới +14.006 tỷ đồng (+106,5%), khiến vốn CSH giảm -7,9% và CAR giảm 103 điểm cơ bản (xuống 9,97%). Agribank chỉ thiếu +3.660 tỷ (+9,8%) nhờ 90,2% TSBĐ là bất động sản giúp duy trì LGD thấp. MB chịu cú sốc lớn vì danh mục cho vay tiêu dùng tín chấp tại MCredit và 30% danh mục trái phiếu doanh nghiệp TCKT rơi vào diện gia tăng rủi ro tín dụng đáng kể (SICR - Stage 2).</w:t>
      </w:r>
    </w:p>
    <w:p>
      <w:pPr>
        <w:pageBreakBefore w:val="0"/>
        <w:spacing w:before="160" w:after="0" w:line="276" w:lineRule="auto"/>
        <w:jc w:val="left"/>
      </w:pPr>
      <w:r>
        <w:rPr>
          <w:rFonts w:ascii="Times New Roman" w:hAnsi="Times New Roman"/>
          <w:b w:val="0"/>
          <w:i/>
          <w:color w:val="505050"/>
          <w:sz w:val="20"/>
        </w:rPr>
        <w:t>Từ khóa thuyết trình: Quản trị rủi ro tín dụng; NPL Decomposition; Hiệu ứng mẫu số; Bộ đệm dự phòng LLCR; Khoan dung pháp lý; Macro Stress Testing 2026; IFRS 9 ECL Simulation; RORAC proxy; MBV Ring-fencing.</w:t>
        <w:br w:type="page"/>
      </w:r>
    </w:p>
    <w:p>
      <w:pPr>
        <w:pageBreakBefore w:val="0"/>
        <w:spacing w:before="200" w:after="160" w:line="276" w:lineRule="auto"/>
        <w:jc w:val="center"/>
      </w:pPr>
      <w:r>
        <w:rPr>
          <w:rFonts w:ascii="Times New Roman" w:hAnsi="Times New Roman"/>
          <w:b/>
          <w:i w:val="0"/>
          <w:color w:val="002060"/>
          <w:sz w:val="27"/>
        </w:rPr>
        <w:t>MỤC LỤC BÁO CÁO THUYẾT TRÌNH (AUTOMATED TABLE OF CONTENTS)</w:t>
      </w:r>
    </w:p>
    <w:p>
      <w:pPr>
        <w:spacing w:before="40" w:after="120"/>
      </w:pPr>
      <w:fldSimple w:instr="TOC \o &quot;1-2&quot; \h \z \u"/>
    </w:p>
    <w:p>
      <w:pPr>
        <w:pageBreakBefore w:val="0"/>
        <w:spacing w:before="30" w:after="30" w:line="276" w:lineRule="auto"/>
        <w:jc w:val="left"/>
        <w:tabs>
          <w:tab w:val="right" w:leader="dot" w:pos="9360"/>
        </w:tabs>
      </w:pPr>
      <w:r>
        <w:rPr>
          <w:rFonts w:ascii="Times New Roman" w:hAnsi="Times New Roman"/>
          <w:b/>
          <w:i w:val="0"/>
          <w:color w:val="002060"/>
          <w:sz w:val="20"/>
        </w:rPr>
        <w:t>TÓM TẮT ĐIỀU HÀNH (BẢN TÓM TẮT BÁO CÁO THUYẾT TRÌNH)</w:t>
        <w:tab/>
        <w:t>2</w:t>
      </w:r>
    </w:p>
    <w:p>
      <w:pPr>
        <w:pageBreakBefore w:val="0"/>
        <w:spacing w:before="30" w:after="30" w:line="276" w:lineRule="auto"/>
        <w:jc w:val="left"/>
        <w:tabs>
          <w:tab w:val="right" w:leader="dot" w:pos="9360"/>
        </w:tabs>
      </w:pPr>
      <w:r>
        <w:rPr>
          <w:rFonts w:ascii="Times New Roman" w:hAnsi="Times New Roman"/>
          <w:b/>
          <w:i w:val="0"/>
          <w:color w:val="002060"/>
          <w:sz w:val="20"/>
        </w:rPr>
        <w:t>DANH MỤC BẢNG BIỂU VÀ ĐỒ THỊ THUYẾT TRÌNH</w:t>
        <w:tab/>
        <w:t>4</w:t>
      </w:r>
    </w:p>
    <w:p>
      <w:pPr>
        <w:pageBreakBefore w:val="0"/>
        <w:spacing w:before="30" w:after="30" w:line="276" w:lineRule="auto"/>
        <w:jc w:val="left"/>
        <w:tabs>
          <w:tab w:val="right" w:leader="dot" w:pos="9360"/>
        </w:tabs>
      </w:pPr>
      <w:r>
        <w:rPr>
          <w:rFonts w:ascii="Times New Roman" w:hAnsi="Times New Roman"/>
          <w:b/>
          <w:i w:val="0"/>
          <w:color w:val="002060"/>
          <w:sz w:val="20"/>
        </w:rPr>
        <w:t>PHẦN I. BỐI CẢNH THỂ CHẾ VÀ KHẨU VỊ RỦI RO ĐỐI LẬP (AGRIBANK VS MB)</w:t>
        <w:tab/>
        <w:t>5</w:t>
      </w:r>
    </w:p>
    <w:p>
      <w:pPr>
        <w:pageBreakBefore w:val="0"/>
        <w:spacing w:before="30" w:after="30" w:line="276" w:lineRule="auto"/>
        <w:jc w:val="left"/>
        <w:tabs>
          <w:tab w:val="right" w:leader="dot" w:pos="9360"/>
        </w:tabs>
      </w:pPr>
      <w:r>
        <w:rPr>
          <w:rFonts w:ascii="Times New Roman" w:hAnsi="Times New Roman"/>
          <w:b w:val="0"/>
          <w:i w:val="0"/>
          <w:color w:val="323232"/>
          <w:sz w:val="19"/>
        </w:rPr>
        <w:t xml:space="preserve">  1.1. Agribank: Thể chế NHTM Nhà nước và Quản trị rủi ro phân tán</w:t>
        <w:tab/>
        <w:t>5</w:t>
      </w:r>
    </w:p>
    <w:p>
      <w:pPr>
        <w:pageBreakBefore w:val="0"/>
        <w:spacing w:before="30" w:after="30" w:line="276" w:lineRule="auto"/>
        <w:jc w:val="left"/>
        <w:tabs>
          <w:tab w:val="right" w:leader="dot" w:pos="9360"/>
        </w:tabs>
      </w:pPr>
      <w:r>
        <w:rPr>
          <w:rFonts w:ascii="Times New Roman" w:hAnsi="Times New Roman"/>
          <w:b w:val="0"/>
          <w:i w:val="0"/>
          <w:color w:val="323232"/>
          <w:sz w:val="19"/>
        </w:rPr>
        <w:t xml:space="preserve">  1.2. MB: Thể chế Tập đoàn Tài chính và Quản trị tập trung</w:t>
        <w:tab/>
        <w:t>6</w:t>
      </w:r>
    </w:p>
    <w:p>
      <w:pPr>
        <w:pageBreakBefore w:val="0"/>
        <w:spacing w:before="30" w:after="30" w:line="276" w:lineRule="auto"/>
        <w:jc w:val="left"/>
        <w:tabs>
          <w:tab w:val="right" w:leader="dot" w:pos="9360"/>
        </w:tabs>
      </w:pPr>
      <w:r>
        <w:rPr>
          <w:rFonts w:ascii="Times New Roman" w:hAnsi="Times New Roman"/>
          <w:b w:val="0"/>
          <w:i w:val="0"/>
          <w:color w:val="323232"/>
          <w:sz w:val="19"/>
        </w:rPr>
        <w:t xml:space="preserve">  1.3. Ma trận đối chiếu chuyên sâu hai mô hình quản trị rủi ro</w:t>
        <w:tab/>
        <w:t>7</w:t>
      </w:r>
    </w:p>
    <w:p>
      <w:pPr>
        <w:pageBreakBefore w:val="0"/>
        <w:spacing w:before="30" w:after="30" w:line="276" w:lineRule="auto"/>
        <w:jc w:val="left"/>
        <w:tabs>
          <w:tab w:val="right" w:leader="dot" w:pos="9360"/>
        </w:tabs>
      </w:pPr>
      <w:r>
        <w:rPr>
          <w:rFonts w:ascii="Times New Roman" w:hAnsi="Times New Roman"/>
          <w:b/>
          <w:i w:val="0"/>
          <w:color w:val="002060"/>
          <w:sz w:val="20"/>
        </w:rPr>
        <w:t>PHẦN II. BÓC TÁCH THỰC TRẠNG QUẢN TRỊ RỦI RO TÍN DỤNG &amp; PHÂN RÃ TOÁN HỌC (2020–2025)</w:t>
        <w:tab/>
        <w:t>8</w:t>
      </w:r>
    </w:p>
    <w:p>
      <w:pPr>
        <w:pageBreakBefore w:val="0"/>
        <w:spacing w:before="30" w:after="30" w:line="276" w:lineRule="auto"/>
        <w:jc w:val="left"/>
        <w:tabs>
          <w:tab w:val="right" w:leader="dot" w:pos="9360"/>
        </w:tabs>
      </w:pPr>
      <w:r>
        <w:rPr>
          <w:rFonts w:ascii="Times New Roman" w:hAnsi="Times New Roman"/>
          <w:b w:val="0"/>
          <w:i w:val="0"/>
          <w:color w:val="323232"/>
          <w:sz w:val="19"/>
        </w:rPr>
        <w:t xml:space="preserve">  2.1. Quy mô tín dụng, nợ xấu và hiện tượng hội tụ NPL bề mặt (Like-for-like 1,30% vs 1,29%)</w:t>
        <w:tab/>
        <w:t>8</w:t>
      </w:r>
    </w:p>
    <w:p>
      <w:pPr>
        <w:pageBreakBefore w:val="0"/>
        <w:spacing w:before="30" w:after="30" w:line="276" w:lineRule="auto"/>
        <w:jc w:val="left"/>
        <w:tabs>
          <w:tab w:val="right" w:leader="dot" w:pos="9360"/>
        </w:tabs>
      </w:pPr>
      <w:r>
        <w:rPr>
          <w:rFonts w:ascii="Times New Roman" w:hAnsi="Times New Roman"/>
          <w:b w:val="0"/>
          <w:i w:val="0"/>
          <w:color w:val="323232"/>
          <w:sz w:val="19"/>
        </w:rPr>
        <w:t xml:space="preserve">  2.2. Phân rã biến động nợ xấu (NPL Decomposition): Lượng hóa hiệu ứng mẫu số và tử số</w:t>
        <w:tab/>
        <w:t>10</w:t>
      </w:r>
    </w:p>
    <w:p>
      <w:pPr>
        <w:pageBreakBefore w:val="0"/>
        <w:spacing w:before="30" w:after="30" w:line="276" w:lineRule="auto"/>
        <w:jc w:val="left"/>
        <w:tabs>
          <w:tab w:val="right" w:leader="dot" w:pos="9360"/>
        </w:tabs>
      </w:pPr>
      <w:r>
        <w:rPr>
          <w:rFonts w:ascii="Times New Roman" w:hAnsi="Times New Roman"/>
          <w:b w:val="0"/>
          <w:i w:val="0"/>
          <w:color w:val="323232"/>
          <w:sz w:val="19"/>
        </w:rPr>
        <w:t xml:space="preserve">  2.3. Bộ đệm dự phòng (LLCR), Chi phí tín dụng và Vai trò của kỹ thuật xóa nợ bằng dự phòng</w:t>
        <w:tab/>
        <w:t>12</w:t>
      </w:r>
    </w:p>
    <w:p>
      <w:pPr>
        <w:pageBreakBefore w:val="0"/>
        <w:spacing w:before="30" w:after="30" w:line="276" w:lineRule="auto"/>
        <w:jc w:val="left"/>
        <w:tabs>
          <w:tab w:val="right" w:leader="dot" w:pos="9360"/>
        </w:tabs>
      </w:pPr>
      <w:r>
        <w:rPr>
          <w:rFonts w:ascii="Times New Roman" w:hAnsi="Times New Roman"/>
          <w:b w:val="0"/>
          <w:i w:val="0"/>
          <w:color w:val="323232"/>
          <w:sz w:val="19"/>
        </w:rPr>
        <w:t xml:space="preserve">  2.4. Nợ nhóm 2, Nợ cơ cấu và Áp lực nợ tiềm ẩn: Nợ nhóm 2 như biến báo động sớm (EWI)</w:t>
        <w:tab/>
        <w:t>14</w:t>
      </w:r>
    </w:p>
    <w:p>
      <w:pPr>
        <w:pageBreakBefore w:val="0"/>
        <w:spacing w:before="30" w:after="30" w:line="276" w:lineRule="auto"/>
        <w:jc w:val="left"/>
        <w:tabs>
          <w:tab w:val="right" w:leader="dot" w:pos="9360"/>
        </w:tabs>
      </w:pPr>
      <w:r>
        <w:rPr>
          <w:rFonts w:ascii="Times New Roman" w:hAnsi="Times New Roman"/>
          <w:b w:val="0"/>
          <w:i w:val="0"/>
          <w:color w:val="323232"/>
          <w:sz w:val="19"/>
        </w:rPr>
        <w:t xml:space="preserve">  2.5. Đo lường hiệu quả tài chính điều chỉnh theo rủi ro (RORAC)</w:t>
        <w:tab/>
        <w:t>16</w:t>
      </w:r>
    </w:p>
    <w:p>
      <w:pPr>
        <w:pageBreakBefore w:val="0"/>
        <w:spacing w:before="30" w:after="30" w:line="276" w:lineRule="auto"/>
        <w:jc w:val="left"/>
        <w:tabs>
          <w:tab w:val="right" w:leader="dot" w:pos="9360"/>
        </w:tabs>
      </w:pPr>
      <w:r>
        <w:rPr>
          <w:rFonts w:ascii="Times New Roman" w:hAnsi="Times New Roman"/>
          <w:b w:val="0"/>
          <w:i w:val="0"/>
          <w:color w:val="323232"/>
          <w:sz w:val="19"/>
        </w:rPr>
        <w:t xml:space="preserve">  2.6. Cơ cấu danh mục, mức độ tập trung ngành và an toàn vốn (CAR)</w:t>
        <w:tab/>
        <w:t>17</w:t>
      </w:r>
    </w:p>
    <w:p>
      <w:pPr>
        <w:pageBreakBefore w:val="0"/>
        <w:spacing w:before="30" w:after="30" w:line="276" w:lineRule="auto"/>
        <w:jc w:val="left"/>
        <w:tabs>
          <w:tab w:val="right" w:leader="dot" w:pos="9360"/>
        </w:tabs>
      </w:pPr>
      <w:r>
        <w:rPr>
          <w:rFonts w:ascii="Times New Roman" w:hAnsi="Times New Roman"/>
          <w:b/>
          <w:i w:val="0"/>
          <w:color w:val="002060"/>
          <w:sz w:val="20"/>
        </w:rPr>
        <w:t>PHẦN III. MÔ HÌNH HÓA KIỂM TRA SỨC CHỊU ĐỰNG VĨ MÔ (STRESS TESTING 2026)</w:t>
        <w:tab/>
        <w:t>19</w:t>
      </w:r>
    </w:p>
    <w:p>
      <w:pPr>
        <w:pageBreakBefore w:val="0"/>
        <w:spacing w:before="30" w:after="30" w:line="276" w:lineRule="auto"/>
        <w:jc w:val="left"/>
        <w:tabs>
          <w:tab w:val="right" w:leader="dot" w:pos="9360"/>
        </w:tabs>
      </w:pPr>
      <w:r>
        <w:rPr>
          <w:rFonts w:ascii="Times New Roman" w:hAnsi="Times New Roman"/>
          <w:b w:val="0"/>
          <w:i w:val="0"/>
          <w:color w:val="323232"/>
          <w:sz w:val="19"/>
        </w:rPr>
        <w:t xml:space="preserve">  3.1. Thiết kế kịch bản vĩ mô theo chuẩn Basel II/III (ICAAP) và Ma trận chuyển nhóm nợ</w:t>
        <w:tab/>
        <w:t>19</w:t>
      </w:r>
    </w:p>
    <w:p>
      <w:pPr>
        <w:pageBreakBefore w:val="0"/>
        <w:spacing w:before="30" w:after="30" w:line="276" w:lineRule="auto"/>
        <w:jc w:val="left"/>
        <w:tabs>
          <w:tab w:val="right" w:leader="dot" w:pos="9360"/>
        </w:tabs>
      </w:pPr>
      <w:r>
        <w:rPr>
          <w:rFonts w:ascii="Times New Roman" w:hAnsi="Times New Roman"/>
          <w:b w:val="0"/>
          <w:i w:val="0"/>
          <w:color w:val="323232"/>
          <w:sz w:val="19"/>
        </w:rPr>
        <w:t xml:space="preserve">  3.2. Kết quả lượng hóa định lượng: Phân hóa hai dạng tổn thương bất đối xứng (CAR vs LNTT)</w:t>
        <w:tab/>
        <w:t>20</w:t>
      </w:r>
    </w:p>
    <w:p>
      <w:pPr>
        <w:pageBreakBefore w:val="0"/>
        <w:spacing w:before="30" w:after="30" w:line="276" w:lineRule="auto"/>
        <w:jc w:val="left"/>
        <w:tabs>
          <w:tab w:val="right" w:leader="dot" w:pos="9360"/>
        </w:tabs>
      </w:pPr>
      <w:r>
        <w:rPr>
          <w:rFonts w:ascii="Times New Roman" w:hAnsi="Times New Roman"/>
          <w:b/>
          <w:i w:val="0"/>
          <w:color w:val="002060"/>
          <w:sz w:val="20"/>
        </w:rPr>
        <w:t>PHẦN IV. MÔ PHỎNG ĐỊNH LƯỢNG TÁC ĐỘNG CHUYỂN ĐỔI CHUẨN MỰC IFRS 9 ECL</w:t>
        <w:tab/>
        <w:t>22</w:t>
      </w:r>
    </w:p>
    <w:p>
      <w:pPr>
        <w:pageBreakBefore w:val="0"/>
        <w:spacing w:before="30" w:after="30" w:line="276" w:lineRule="auto"/>
        <w:jc w:val="left"/>
        <w:tabs>
          <w:tab w:val="right" w:leader="dot" w:pos="9360"/>
        </w:tabs>
      </w:pPr>
      <w:r>
        <w:rPr>
          <w:rFonts w:ascii="Times New Roman" w:hAnsi="Times New Roman"/>
          <w:b w:val="0"/>
          <w:i w:val="0"/>
          <w:color w:val="323232"/>
          <w:sz w:val="19"/>
        </w:rPr>
        <w:t xml:space="preserve">  4.1. Sự chuyển dịch mô hình: Incurred Loss (VAS/TT11) sang Lifetime Expected Credit Loss (IFRS 9)</w:t>
        <w:tab/>
        <w:t>22</w:t>
      </w:r>
    </w:p>
    <w:p>
      <w:pPr>
        <w:pageBreakBefore w:val="0"/>
        <w:spacing w:before="30" w:after="30" w:line="276" w:lineRule="auto"/>
        <w:jc w:val="left"/>
        <w:tabs>
          <w:tab w:val="right" w:leader="dot" w:pos="9360"/>
        </w:tabs>
      </w:pPr>
      <w:r>
        <w:rPr>
          <w:rFonts w:ascii="Times New Roman" w:hAnsi="Times New Roman"/>
          <w:b w:val="0"/>
          <w:i w:val="0"/>
          <w:color w:val="323232"/>
          <w:sz w:val="19"/>
        </w:rPr>
        <w:t xml:space="preserve">  4.2. Bóc tách khoảng cách thiếu hụt dự phòng (Provisioning Gap) và Cú sốc trích lập Stage 2</w:t>
        <w:tab/>
        <w:t>23</w:t>
      </w:r>
    </w:p>
    <w:p>
      <w:pPr>
        <w:pageBreakBefore w:val="0"/>
        <w:spacing w:before="30" w:after="30" w:line="276" w:lineRule="auto"/>
        <w:jc w:val="left"/>
        <w:tabs>
          <w:tab w:val="right" w:leader="dot" w:pos="9360"/>
        </w:tabs>
      </w:pPr>
      <w:r>
        <w:rPr>
          <w:rFonts w:ascii="Times New Roman" w:hAnsi="Times New Roman"/>
          <w:b w:val="0"/>
          <w:i w:val="0"/>
          <w:color w:val="323232"/>
          <w:sz w:val="19"/>
        </w:rPr>
        <w:t xml:space="preserve">  4.3. Kiểm định độ nhạy 6 kịch bản tham số (Robustness Sensitivity Analysis)</w:t>
        <w:tab/>
        <w:t>25</w:t>
      </w:r>
    </w:p>
    <w:p>
      <w:pPr>
        <w:pageBreakBefore w:val="0"/>
        <w:spacing w:before="30" w:after="30" w:line="276" w:lineRule="auto"/>
        <w:jc w:val="left"/>
        <w:tabs>
          <w:tab w:val="right" w:leader="dot" w:pos="9360"/>
        </w:tabs>
      </w:pPr>
      <w:r>
        <w:rPr>
          <w:rFonts w:ascii="Times New Roman" w:hAnsi="Times New Roman"/>
          <w:b/>
          <w:i w:val="0"/>
          <w:color w:val="002060"/>
          <w:sz w:val="20"/>
        </w:rPr>
        <w:t>PHẦN V. PHÂN TÍCH TÌNH HUỐNG THỰC TIỄN CHUYÊN SÂU (CASE STUDIES)</w:t>
        <w:tab/>
        <w:t>27</w:t>
      </w:r>
    </w:p>
    <w:p>
      <w:pPr>
        <w:pageBreakBefore w:val="0"/>
        <w:spacing w:before="30" w:after="30" w:line="276" w:lineRule="auto"/>
        <w:jc w:val="left"/>
        <w:tabs>
          <w:tab w:val="right" w:leader="dot" w:pos="9360"/>
        </w:tabs>
      </w:pPr>
      <w:r>
        <w:rPr>
          <w:rFonts w:ascii="Times New Roman" w:hAnsi="Times New Roman"/>
          <w:b w:val="0"/>
          <w:i w:val="0"/>
          <w:color w:val="323232"/>
          <w:sz w:val="19"/>
        </w:rPr>
        <w:t xml:space="preserve">  5.1. Agribank: Cú sốc thiên tai Yagi 2024, điểm nghẽn thanh khoản TSBĐ nợ nhóm 5 và vụ Lifepro</w:t>
        <w:tab/>
        <w:t>27</w:t>
      </w:r>
    </w:p>
    <w:p>
      <w:pPr>
        <w:pageBreakBefore w:val="0"/>
        <w:spacing w:before="30" w:after="30" w:line="276" w:lineRule="auto"/>
        <w:jc w:val="left"/>
        <w:tabs>
          <w:tab w:val="right" w:leader="dot" w:pos="9360"/>
        </w:tabs>
      </w:pPr>
      <w:r>
        <w:rPr>
          <w:rFonts w:ascii="Times New Roman" w:hAnsi="Times New Roman"/>
          <w:b w:val="0"/>
          <w:i w:val="0"/>
          <w:color w:val="323232"/>
          <w:sz w:val="19"/>
        </w:rPr>
        <w:t xml:space="preserve">  5.2. MB: Rủi ro tín dụng tiêu dùng tại MCredit và rủi ro đạo đức cấp chi nhánh (Vụ án Chi nhánh Gia Lai)</w:t>
        <w:tab/>
        <w:t>28</w:t>
      </w:r>
    </w:p>
    <w:p>
      <w:pPr>
        <w:pageBreakBefore w:val="0"/>
        <w:spacing w:before="30" w:after="30" w:line="276" w:lineRule="auto"/>
        <w:jc w:val="left"/>
        <w:tabs>
          <w:tab w:val="right" w:leader="dot" w:pos="9360"/>
        </w:tabs>
      </w:pPr>
      <w:r>
        <w:rPr>
          <w:rFonts w:ascii="Times New Roman" w:hAnsi="Times New Roman"/>
          <w:b w:val="0"/>
          <w:i w:val="0"/>
          <w:color w:val="323232"/>
          <w:sz w:val="19"/>
        </w:rPr>
        <w:t xml:space="preserve">  5.3. MB: Cú sốc chất lượng tài sản 2023: Khủng hoảng TPDN - Bất động sản và liên đới CIC</w:t>
        <w:tab/>
        <w:t>29</w:t>
      </w:r>
    </w:p>
    <w:p>
      <w:pPr>
        <w:pageBreakBefore w:val="0"/>
        <w:spacing w:before="30" w:after="30" w:line="276" w:lineRule="auto"/>
        <w:jc w:val="left"/>
        <w:tabs>
          <w:tab w:val="right" w:leader="dot" w:pos="9360"/>
        </w:tabs>
      </w:pPr>
      <w:r>
        <w:rPr>
          <w:rFonts w:ascii="Times New Roman" w:hAnsi="Times New Roman"/>
          <w:b w:val="0"/>
          <w:i w:val="0"/>
          <w:color w:val="323232"/>
          <w:sz w:val="19"/>
        </w:rPr>
        <w:t xml:space="preserve">  5.4. MB: Biến động nợ xấu Quý III–IV/2025, xử lý rủi ro bằng dự phòng và cơ chế MBV</w:t>
        <w:tab/>
        <w:t>30</w:t>
      </w:r>
    </w:p>
    <w:p>
      <w:pPr>
        <w:pageBreakBefore w:val="0"/>
        <w:spacing w:before="30" w:after="30" w:line="276" w:lineRule="auto"/>
        <w:jc w:val="left"/>
        <w:tabs>
          <w:tab w:val="right" w:leader="dot" w:pos="9360"/>
        </w:tabs>
      </w:pPr>
      <w:r>
        <w:rPr>
          <w:rFonts w:ascii="Times New Roman" w:hAnsi="Times New Roman"/>
          <w:b/>
          <w:i w:val="0"/>
          <w:color w:val="002060"/>
          <w:sz w:val="20"/>
        </w:rPr>
        <w:t>PHẦN VI. SO SÁNH HAI MÔ HÌNH VÀ HỆ THỐNG KHUYẾN NGHỊ QUẢN TRỊ NÂNG CAO</w:t>
        <w:tab/>
        <w:t>31</w:t>
      </w:r>
    </w:p>
    <w:p>
      <w:pPr>
        <w:pageBreakBefore w:val="0"/>
        <w:spacing w:before="30" w:after="30" w:line="276" w:lineRule="auto"/>
        <w:jc w:val="left"/>
        <w:tabs>
          <w:tab w:val="right" w:leader="dot" w:pos="9360"/>
        </w:tabs>
      </w:pPr>
      <w:r>
        <w:rPr>
          <w:rFonts w:ascii="Times New Roman" w:hAnsi="Times New Roman"/>
          <w:b w:val="0"/>
          <w:i w:val="0"/>
          <w:color w:val="323232"/>
          <w:sz w:val="19"/>
        </w:rPr>
        <w:t xml:space="preserve">  6.1. Ma trận đối thoại học thuật: Mô hình Phòng thủ Thể chế vs Mô hình Đổi mới Tối ưu hóa Lợi nhuận</w:t>
        <w:tab/>
        <w:t>31</w:t>
      </w:r>
    </w:p>
    <w:p>
      <w:pPr>
        <w:pageBreakBefore w:val="0"/>
        <w:spacing w:before="30" w:after="30" w:line="276" w:lineRule="auto"/>
        <w:jc w:val="left"/>
        <w:tabs>
          <w:tab w:val="right" w:leader="dot" w:pos="9360"/>
        </w:tabs>
      </w:pPr>
      <w:r>
        <w:rPr>
          <w:rFonts w:ascii="Times New Roman" w:hAnsi="Times New Roman"/>
          <w:b w:val="0"/>
          <w:i w:val="0"/>
          <w:color w:val="323232"/>
          <w:sz w:val="19"/>
        </w:rPr>
        <w:t xml:space="preserve">  6.2. Hệ thống khuyến nghị quản trị nâng cao cho NHNN, Agribank và MB</w:t>
        <w:tab/>
        <w:t>32</w:t>
      </w:r>
    </w:p>
    <w:p>
      <w:pPr>
        <w:pageBreakBefore w:val="0"/>
        <w:spacing w:before="30" w:after="30" w:line="276" w:lineRule="auto"/>
        <w:jc w:val="left"/>
        <w:tabs>
          <w:tab w:val="right" w:leader="dot" w:pos="9360"/>
        </w:tabs>
      </w:pPr>
      <w:r>
        <w:rPr>
          <w:rFonts w:ascii="Times New Roman" w:hAnsi="Times New Roman"/>
          <w:b/>
          <w:i w:val="0"/>
          <w:color w:val="002060"/>
          <w:sz w:val="20"/>
        </w:rPr>
        <w:t>PHẦN VII. KỊCH BẢN THUYẾT TRÌNH CHI TIẾT VÀ BỘ HƯỚNG DẪN BẢO VỆ PHẢN BIỆN (SPEAKER NOTES)</w:t>
        <w:tab/>
        <w:t>34</w:t>
      </w:r>
    </w:p>
    <w:p>
      <w:pPr>
        <w:pageBreakBefore w:val="0"/>
        <w:spacing w:before="30" w:after="30" w:line="276" w:lineRule="auto"/>
        <w:jc w:val="left"/>
        <w:tabs>
          <w:tab w:val="right" w:leader="dot" w:pos="9360"/>
        </w:tabs>
      </w:pPr>
      <w:r>
        <w:rPr>
          <w:rFonts w:ascii="Times New Roman" w:hAnsi="Times New Roman"/>
          <w:b w:val="0"/>
          <w:i w:val="0"/>
          <w:color w:val="323232"/>
          <w:sz w:val="19"/>
        </w:rPr>
        <w:t xml:space="preserve">  7.1. Khung thời lượng và Kịch bản lời thoại thuyết trình từng phần (Khung 15–20 phút)</w:t>
        <w:tab/>
        <w:t>34</w:t>
      </w:r>
    </w:p>
    <w:p>
      <w:pPr>
        <w:pageBreakBefore w:val="0"/>
        <w:spacing w:before="30" w:after="30" w:line="276" w:lineRule="auto"/>
        <w:jc w:val="left"/>
        <w:tabs>
          <w:tab w:val="right" w:leader="dot" w:pos="9360"/>
        </w:tabs>
      </w:pPr>
      <w:r>
        <w:rPr>
          <w:rFonts w:ascii="Times New Roman" w:hAnsi="Times New Roman"/>
          <w:b w:val="0"/>
          <w:i w:val="0"/>
          <w:color w:val="323232"/>
          <w:sz w:val="19"/>
        </w:rPr>
        <w:t xml:space="preserve">  7.2. Bộ 5 câu hỏi phản biện kinh điển của giảng viên và chiến lược trả lời xuất sắc</w:t>
        <w:tab/>
        <w:t>37</w:t>
      </w:r>
    </w:p>
    <w:p>
      <w:pPr>
        <w:pageBreakBefore w:val="0"/>
        <w:spacing w:before="30" w:after="30" w:line="276" w:lineRule="auto"/>
        <w:jc w:val="left"/>
        <w:tabs>
          <w:tab w:val="right" w:leader="dot" w:pos="9360"/>
        </w:tabs>
      </w:pPr>
      <w:r>
        <w:rPr>
          <w:rFonts w:ascii="Times New Roman" w:hAnsi="Times New Roman"/>
          <w:b/>
          <w:i w:val="0"/>
          <w:color w:val="002060"/>
          <w:sz w:val="20"/>
        </w:rPr>
        <w:t>KẾT LUẬN</w:t>
        <w:tab/>
        <w:t>39</w:t>
      </w:r>
    </w:p>
    <w:p>
      <w:pPr>
        <w:pageBreakBefore w:val="0"/>
        <w:spacing w:before="30" w:after="30" w:line="276" w:lineRule="auto"/>
        <w:jc w:val="left"/>
        <w:tabs>
          <w:tab w:val="right" w:leader="dot" w:pos="9360"/>
        </w:tabs>
      </w:pPr>
      <w:r>
        <w:rPr>
          <w:rFonts w:ascii="Times New Roman" w:hAnsi="Times New Roman"/>
          <w:b/>
          <w:i w:val="0"/>
          <w:color w:val="002060"/>
          <w:sz w:val="20"/>
        </w:rPr>
        <w:t>TÀI LIỆU THAM KHẢO CHỌN LỌC</w:t>
        <w:tab/>
        <w:t>40</w:t>
      </w:r>
    </w:p>
    <w:p>
      <w:pPr>
        <w:pageBreakBefore w:val="0"/>
        <w:spacing w:before="30" w:after="30" w:line="276" w:lineRule="auto"/>
        <w:jc w:val="left"/>
        <w:tabs>
          <w:tab w:val="right" w:leader="dot" w:pos="9360"/>
        </w:tabs>
      </w:pPr>
      <w:r>
        <w:rPr>
          <w:rFonts w:ascii="Times New Roman" w:hAnsi="Times New Roman"/>
          <w:b/>
          <w:i w:val="0"/>
          <w:color w:val="002060"/>
          <w:sz w:val="20"/>
        </w:rPr>
        <w:t>PHỤ LỤC THUYẾT TRÌNH: DỮ LIỆU ĐỊNH LƯỢNG MỞ RỘNG</w:t>
        <w:tab/>
        <w:t>41</w:t>
      </w:r>
    </w:p>
    <w:p>
      <w:pPr>
        <w:pStyle w:val="Heading1"/>
        <w:keepNext/>
        <w:pageBreakBefore/>
        <w:spacing w:before="320" w:after="120"/>
        <w:outlineLvl w:val="0"/>
      </w:pPr>
      <w:r>
        <w:rPr>
          <w:rFonts w:ascii="Times New Roman" w:hAnsi="Times New Roman"/>
          <w:b/>
          <w:i w:val="0"/>
          <w:color w:val="002060"/>
          <w:sz w:val="27"/>
        </w:rPr>
        <w:t>DANH MỤC BẢNG BIỂU VÀ ĐỒ THỊ THUYẾT TRÌNH</w:t>
      </w:r>
    </w:p>
    <w:p>
      <w:pPr>
        <w:pageBreakBefore w:val="0"/>
        <w:spacing w:before="120" w:after="80" w:line="276" w:lineRule="auto"/>
        <w:jc w:val="left"/>
      </w:pPr>
      <w:r>
        <w:rPr>
          <w:rFonts w:ascii="Times New Roman" w:hAnsi="Times New Roman"/>
          <w:b/>
          <w:i w:val="0"/>
          <w:color w:val="002060"/>
          <w:sz w:val="22"/>
        </w:rPr>
        <w:t>DANH MỤC BẢNG BIỂU ĐỊNH LƯỢNG CỐT LÕI (11 BẢNG CHÍNH + 2 BẢNG PHỤ LỤC)</w:t>
      </w:r>
    </w:p>
    <w:p>
      <w:pPr>
        <w:pageBreakBefore w:val="0"/>
        <w:spacing w:before="30" w:after="30" w:line="276" w:lineRule="auto"/>
        <w:jc w:val="left"/>
        <w:tabs>
          <w:tab w:val="right" w:leader="dot" w:pos="9360"/>
        </w:tabs>
      </w:pPr>
      <w:r>
        <w:rPr>
          <w:rFonts w:ascii="Times New Roman" w:hAnsi="Times New Roman"/>
          <w:b w:val="0"/>
          <w:i w:val="0"/>
          <w:color w:val="000000"/>
          <w:sz w:val="19"/>
        </w:rPr>
        <w:t xml:space="preserve">  • Bảng 1. Ma trận đối chiếu cấu trúc thể chế và mô hình 3 tuyến phòng vệ giữa Agribank và MB</w:t>
        <w:tab/>
        <w:t>7</w:t>
      </w:r>
    </w:p>
    <w:p>
      <w:pPr>
        <w:pageBreakBefore w:val="0"/>
        <w:spacing w:before="30" w:after="30" w:line="276" w:lineRule="auto"/>
        <w:jc w:val="left"/>
        <w:tabs>
          <w:tab w:val="right" w:leader="dot" w:pos="9360"/>
        </w:tabs>
      </w:pPr>
      <w:r>
        <w:rPr>
          <w:rFonts w:ascii="Times New Roman" w:hAnsi="Times New Roman"/>
          <w:b w:val="0"/>
          <w:i w:val="0"/>
          <w:color w:val="000000"/>
          <w:sz w:val="19"/>
        </w:rPr>
        <w:t xml:space="preserve">  • Bảng 2. Quy mô dư nợ, nợ xấu và tỷ lệ NPL của Agribank và MB giai đoạn 2020–2025 (Tỷ đồng, %)</w:t>
        <w:tab/>
        <w:t>9</w:t>
      </w:r>
    </w:p>
    <w:p>
      <w:pPr>
        <w:pageBreakBefore w:val="0"/>
        <w:spacing w:before="30" w:after="30" w:line="276" w:lineRule="auto"/>
        <w:jc w:val="left"/>
        <w:tabs>
          <w:tab w:val="right" w:leader="dot" w:pos="9360"/>
        </w:tabs>
      </w:pPr>
      <w:r>
        <w:rPr>
          <w:rFonts w:ascii="Times New Roman" w:hAnsi="Times New Roman"/>
          <w:b w:val="0"/>
          <w:i w:val="0"/>
          <w:color w:val="000000"/>
          <w:sz w:val="19"/>
        </w:rPr>
        <w:t xml:space="preserve">  • Bảng 3. Bộ đệm dự phòng (LLCR), chi phí dự phòng và bóc tách Credit Cost (2020–2025)</w:t>
        <w:tab/>
        <w:t>12</w:t>
      </w:r>
    </w:p>
    <w:p>
      <w:pPr>
        <w:pageBreakBefore w:val="0"/>
        <w:spacing w:before="30" w:after="30" w:line="276" w:lineRule="auto"/>
        <w:jc w:val="left"/>
        <w:tabs>
          <w:tab w:val="right" w:leader="dot" w:pos="9360"/>
        </w:tabs>
      </w:pPr>
      <w:r>
        <w:rPr>
          <w:rFonts w:ascii="Times New Roman" w:hAnsi="Times New Roman"/>
          <w:b w:val="0"/>
          <w:i w:val="0"/>
          <w:color w:val="000000"/>
          <w:sz w:val="19"/>
        </w:rPr>
        <w:t xml:space="preserve">  • Bảng 4. Nợ nhóm 2, nợ cơ cấu theo thông tư và NPL điều chỉnh toàn diện (2020–2025)</w:t>
        <w:tab/>
        <w:t>14</w:t>
      </w:r>
    </w:p>
    <w:p>
      <w:pPr>
        <w:pageBreakBefore w:val="0"/>
        <w:spacing w:before="30" w:after="30" w:line="276" w:lineRule="auto"/>
        <w:jc w:val="left"/>
        <w:tabs>
          <w:tab w:val="right" w:leader="dot" w:pos="9360"/>
        </w:tabs>
      </w:pPr>
      <w:r>
        <w:rPr>
          <w:rFonts w:ascii="Times New Roman" w:hAnsi="Times New Roman"/>
          <w:b w:val="0"/>
          <w:i w:val="0"/>
          <w:color w:val="000000"/>
          <w:sz w:val="19"/>
        </w:rPr>
        <w:t xml:space="preserve">  • Bảng 5. Tỷ suất lợi nhuận trên vốn rủi ro ước tính (RORAC proxy) giai đoạn 2020–2025</w:t>
        <w:tab/>
        <w:t>16</w:t>
      </w:r>
    </w:p>
    <w:p>
      <w:pPr>
        <w:pageBreakBefore w:val="0"/>
        <w:spacing w:before="30" w:after="30" w:line="276" w:lineRule="auto"/>
        <w:jc w:val="left"/>
        <w:tabs>
          <w:tab w:val="right" w:leader="dot" w:pos="9360"/>
        </w:tabs>
      </w:pPr>
      <w:r>
        <w:rPr>
          <w:rFonts w:ascii="Times New Roman" w:hAnsi="Times New Roman"/>
          <w:b w:val="0"/>
          <w:i w:val="0"/>
          <w:color w:val="000000"/>
          <w:sz w:val="19"/>
        </w:rPr>
        <w:t xml:space="preserve">  • Bảng 6. Cơ cấu danh mục rủi ro tập trung và Hệ số an toàn vốn (CAR) giai đoạn 2020–2025</w:t>
        <w:tab/>
        <w:t>17</w:t>
      </w:r>
    </w:p>
    <w:p>
      <w:pPr>
        <w:pageBreakBefore w:val="0"/>
        <w:spacing w:before="30" w:after="30" w:line="276" w:lineRule="auto"/>
        <w:jc w:val="left"/>
        <w:tabs>
          <w:tab w:val="right" w:leader="dot" w:pos="9360"/>
        </w:tabs>
      </w:pPr>
      <w:r>
        <w:rPr>
          <w:rFonts w:ascii="Times New Roman" w:hAnsi="Times New Roman"/>
          <w:b w:val="0"/>
          <w:i w:val="0"/>
          <w:color w:val="000000"/>
          <w:sz w:val="19"/>
        </w:rPr>
        <w:t xml:space="preserve">  • Bảng 7. Kết quả Kiểm tra sức chịu đựng vĩ mô năm 2026 đối với Agribank và MB</w:t>
        <w:tab/>
        <w:t>20</w:t>
      </w:r>
    </w:p>
    <w:p>
      <w:pPr>
        <w:pageBreakBefore w:val="0"/>
        <w:spacing w:before="30" w:after="30" w:line="276" w:lineRule="auto"/>
        <w:jc w:val="left"/>
        <w:tabs>
          <w:tab w:val="right" w:leader="dot" w:pos="9360"/>
        </w:tabs>
      </w:pPr>
      <w:r>
        <w:rPr>
          <w:rFonts w:ascii="Times New Roman" w:hAnsi="Times New Roman"/>
          <w:b w:val="0"/>
          <w:i w:val="0"/>
          <w:color w:val="000000"/>
          <w:sz w:val="19"/>
        </w:rPr>
        <w:t xml:space="preserve">  • Bảng 8. Kết quả mô phỏng tác động chuyển đổi sang Chuẩn mực Quốc tế IFRS 9 năm 2025</w:t>
        <w:tab/>
        <w:t>23</w:t>
      </w:r>
    </w:p>
    <w:p>
      <w:pPr>
        <w:pageBreakBefore w:val="0"/>
        <w:spacing w:before="30" w:after="30" w:line="276" w:lineRule="auto"/>
        <w:jc w:val="left"/>
        <w:tabs>
          <w:tab w:val="right" w:leader="dot" w:pos="9360"/>
        </w:tabs>
      </w:pPr>
      <w:r>
        <w:rPr>
          <w:rFonts w:ascii="Times New Roman" w:hAnsi="Times New Roman"/>
          <w:b w:val="0"/>
          <w:i w:val="0"/>
          <w:color w:val="000000"/>
          <w:sz w:val="19"/>
        </w:rPr>
        <w:t xml:space="preserve">  • Bảng 9. Kết quả kiểm định độ nhạy mô phỏng IFRS 9 ECL của Agribank và MB theo 6 kịch bản tham số</w:t>
        <w:tab/>
        <w:t>25</w:t>
      </w:r>
    </w:p>
    <w:p>
      <w:pPr>
        <w:pageBreakBefore w:val="0"/>
        <w:spacing w:before="30" w:after="30" w:line="276" w:lineRule="auto"/>
        <w:jc w:val="left"/>
        <w:tabs>
          <w:tab w:val="right" w:leader="dot" w:pos="9360"/>
        </w:tabs>
      </w:pPr>
      <w:r>
        <w:rPr>
          <w:rFonts w:ascii="Times New Roman" w:hAnsi="Times New Roman"/>
          <w:b w:val="0"/>
          <w:i w:val="0"/>
          <w:color w:val="000000"/>
          <w:sz w:val="19"/>
        </w:rPr>
        <w:t xml:space="preserve">  • Bảng 10. Ma trận đánh giá lỗ hổng Kiểm soát Nội bộ COSO 2013 qua các tình huống thực tiễn</w:t>
        <w:tab/>
        <w:t>30</w:t>
      </w:r>
    </w:p>
    <w:p>
      <w:pPr>
        <w:pageBreakBefore w:val="0"/>
        <w:spacing w:before="30" w:after="30" w:line="276" w:lineRule="auto"/>
        <w:jc w:val="left"/>
        <w:tabs>
          <w:tab w:val="right" w:leader="dot" w:pos="9360"/>
        </w:tabs>
      </w:pPr>
      <w:r>
        <w:rPr>
          <w:rFonts w:ascii="Times New Roman" w:hAnsi="Times New Roman"/>
          <w:b w:val="0"/>
          <w:i w:val="0"/>
          <w:color w:val="000000"/>
          <w:sz w:val="19"/>
        </w:rPr>
        <w:t xml:space="preserve">  • Bảng 11. So sánh đối chiếu toàn diện hai triết lý quản trị rủi ro tín dụng (Agribank vs MB)</w:t>
        <w:tab/>
        <w:t>31</w:t>
      </w:r>
    </w:p>
    <w:p>
      <w:pPr>
        <w:pageBreakBefore w:val="0"/>
        <w:spacing w:before="30" w:after="30" w:line="276" w:lineRule="auto"/>
        <w:jc w:val="left"/>
        <w:tabs>
          <w:tab w:val="right" w:leader="dot" w:pos="9360"/>
        </w:tabs>
      </w:pPr>
      <w:r>
        <w:rPr>
          <w:rFonts w:ascii="Times New Roman" w:hAnsi="Times New Roman"/>
          <w:b w:val="0"/>
          <w:i w:val="0"/>
          <w:color w:val="000000"/>
          <w:sz w:val="19"/>
        </w:rPr>
        <w:t xml:space="preserve">  • Phụ lục 1. Thống kê mô tả (Descriptive Statistics) các chỉ tiêu tài chính và rủi ro tín dụng (2020–2025)</w:t>
        <w:tab/>
        <w:t>41</w:t>
      </w:r>
    </w:p>
    <w:p>
      <w:pPr>
        <w:pageBreakBefore w:val="0"/>
        <w:spacing w:before="30" w:after="30" w:line="276" w:lineRule="auto"/>
        <w:jc w:val="left"/>
        <w:tabs>
          <w:tab w:val="right" w:leader="dot" w:pos="9360"/>
        </w:tabs>
      </w:pPr>
      <w:r>
        <w:rPr>
          <w:rFonts w:ascii="Times New Roman" w:hAnsi="Times New Roman"/>
          <w:b w:val="0"/>
          <w:i w:val="0"/>
          <w:color w:val="000000"/>
          <w:sz w:val="19"/>
        </w:rPr>
        <w:t xml:space="preserve">  • Phụ lục 2. Ma trận hệ số tương quan (Correlation Matrix) giữa Tăng trưởng tín dụng, Nợ nhóm 2 và NPL</w:t>
        <w:tab/>
        <w:t>42</w:t>
      </w:r>
    </w:p>
    <w:p>
      <w:pPr>
        <w:pageBreakBefore w:val="0"/>
        <w:spacing w:before="200" w:after="80" w:line="276" w:lineRule="auto"/>
        <w:jc w:val="left"/>
      </w:pPr>
      <w:r>
        <w:rPr>
          <w:rFonts w:ascii="Times New Roman" w:hAnsi="Times New Roman"/>
          <w:b/>
          <w:i w:val="0"/>
          <w:color w:val="002060"/>
          <w:sz w:val="22"/>
        </w:rPr>
        <w:t>DANH MỤC HÌNH VẼ VÀ ĐỒ THỊ MINH HỌA TRỰC QUAN (6 ĐỒ THỊ 300 DPI)</w:t>
      </w:r>
    </w:p>
    <w:p>
      <w:pPr>
        <w:pageBreakBefore w:val="0"/>
        <w:spacing w:before="30" w:after="30" w:line="276" w:lineRule="auto"/>
        <w:jc w:val="left"/>
        <w:tabs>
          <w:tab w:val="right" w:leader="dot" w:pos="9360"/>
        </w:tabs>
      </w:pPr>
      <w:r>
        <w:rPr>
          <w:rFonts w:ascii="Times New Roman" w:hAnsi="Times New Roman"/>
          <w:b w:val="0"/>
          <w:i w:val="0"/>
          <w:color w:val="000000"/>
          <w:sz w:val="19"/>
        </w:rPr>
        <w:t xml:space="preserve">  • Hình 1. Diễn biến tỷ lệ NPL và tỷ lệ nợ nhóm 2 của Agribank và MB (2020–2025)</w:t>
        <w:tab/>
        <w:t>10</w:t>
      </w:r>
    </w:p>
    <w:p>
      <w:pPr>
        <w:pageBreakBefore w:val="0"/>
        <w:spacing w:before="30" w:after="30" w:line="276" w:lineRule="auto"/>
        <w:jc w:val="left"/>
        <w:tabs>
          <w:tab w:val="right" w:leader="dot" w:pos="9360"/>
        </w:tabs>
      </w:pPr>
      <w:r>
        <w:rPr>
          <w:rFonts w:ascii="Times New Roman" w:hAnsi="Times New Roman"/>
          <w:b w:val="0"/>
          <w:i w:val="0"/>
          <w:color w:val="000000"/>
          <w:sz w:val="19"/>
        </w:rPr>
        <w:t xml:space="preserve">  • Hình 2. Tốc độ tăng trưởng quy mô dư nợ và nợ xấu tại Agribank và MB (2020–2025)</w:t>
        <w:tab/>
        <w:t>11</w:t>
      </w:r>
    </w:p>
    <w:p>
      <w:pPr>
        <w:pageBreakBefore w:val="0"/>
        <w:spacing w:before="30" w:after="30" w:line="276" w:lineRule="auto"/>
        <w:jc w:val="left"/>
        <w:tabs>
          <w:tab w:val="right" w:leader="dot" w:pos="9360"/>
        </w:tabs>
      </w:pPr>
      <w:r>
        <w:rPr>
          <w:rFonts w:ascii="Times New Roman" w:hAnsi="Times New Roman"/>
          <w:b w:val="0"/>
          <w:i w:val="0"/>
          <w:color w:val="000000"/>
          <w:sz w:val="19"/>
        </w:rPr>
        <w:t xml:space="preserve">  • Hình 3. Tỷ lệ bao phủ nợ xấu (LLCR) và Chi phí tín dụng (Credit Cost) giai đoạn 2020–2025</w:t>
        <w:tab/>
        <w:t>13</w:t>
      </w:r>
    </w:p>
    <w:p>
      <w:pPr>
        <w:pageBreakBefore w:val="0"/>
        <w:spacing w:before="30" w:after="30" w:line="276" w:lineRule="auto"/>
        <w:jc w:val="left"/>
        <w:tabs>
          <w:tab w:val="right" w:leader="dot" w:pos="9360"/>
        </w:tabs>
      </w:pPr>
      <w:r>
        <w:rPr>
          <w:rFonts w:ascii="Times New Roman" w:hAnsi="Times New Roman"/>
          <w:b w:val="0"/>
          <w:i w:val="0"/>
          <w:color w:val="000000"/>
          <w:sz w:val="19"/>
        </w:rPr>
        <w:t xml:space="preserve">  • Hình 4. Mức độ tập trung tín dụng BĐS &amp; Xây dựng và Hệ số an toàn vốn (CAR) giai đoạn 2020–2025</w:t>
        <w:tab/>
        <w:t>18</w:t>
      </w:r>
    </w:p>
    <w:p>
      <w:pPr>
        <w:pageBreakBefore w:val="0"/>
        <w:spacing w:before="30" w:after="30" w:line="276" w:lineRule="auto"/>
        <w:jc w:val="left"/>
        <w:tabs>
          <w:tab w:val="right" w:leader="dot" w:pos="9360"/>
        </w:tabs>
      </w:pPr>
      <w:r>
        <w:rPr>
          <w:rFonts w:ascii="Times New Roman" w:hAnsi="Times New Roman"/>
          <w:b w:val="0"/>
          <w:i w:val="0"/>
          <w:color w:val="000000"/>
          <w:sz w:val="19"/>
        </w:rPr>
        <w:t xml:space="preserve">  • Hình 5. Kết quả Kiểm tra sức chịu đựng vĩ mô năm 2026 (Macro Stress Testing) đối với Agribank và MB</w:t>
        <w:tab/>
        <w:t>21</w:t>
      </w:r>
    </w:p>
    <w:p>
      <w:pPr>
        <w:pageBreakBefore w:val="0"/>
        <w:spacing w:before="30" w:after="30" w:line="276" w:lineRule="auto"/>
        <w:jc w:val="left"/>
        <w:tabs>
          <w:tab w:val="right" w:leader="dot" w:pos="9360"/>
        </w:tabs>
      </w:pPr>
      <w:r>
        <w:rPr>
          <w:rFonts w:ascii="Times New Roman" w:hAnsi="Times New Roman"/>
          <w:b w:val="0"/>
          <w:i w:val="0"/>
          <w:color w:val="000000"/>
          <w:sz w:val="19"/>
        </w:rPr>
        <w:t xml:space="preserve">  • Hình 6. Mô phỏng tác động chuyển đổi Chuẩn mực IFRS 9 năm 2025: Khoảng cách dự phòng và 3 Stage</w:t>
        <w:tab/>
        <w:t>26</w:t>
      </w:r>
    </w:p>
    <w:p>
      <w:pPr>
        <w:pStyle w:val="Heading1"/>
        <w:keepNext/>
        <w:pageBreakBefore/>
        <w:spacing w:before="320" w:after="120"/>
        <w:outlineLvl w:val="0"/>
      </w:pPr>
      <w:r>
        <w:rPr>
          <w:rFonts w:ascii="Times New Roman" w:hAnsi="Times New Roman"/>
          <w:b/>
          <w:i w:val="0"/>
          <w:color w:val="002060"/>
          <w:sz w:val="27"/>
        </w:rPr>
        <w:t>PHẦN I. BỐI CẢNH THỂ CHẾ VÀ KHẨU VỊ RỦI RO ĐỐI LẬP (AGRIBANK VS MB)</w:t>
      </w:r>
    </w:p>
    <w:p>
      <w:pPr>
        <w:pStyle w:val="Heading2"/>
        <w:keepNext/>
        <w:spacing w:before="240" w:after="80"/>
        <w:outlineLvl w:val="1"/>
      </w:pPr>
      <w:r>
        <w:rPr>
          <w:rFonts w:ascii="Times New Roman" w:hAnsi="Times New Roman"/>
          <w:b/>
          <w:i w:val="0"/>
          <w:color w:val="0F4C81"/>
          <w:sz w:val="24"/>
        </w:rPr>
        <w:t>1.1. Agribank: Thể chế NHTM Nhà nước và Quản trị rủi ro phân tán</w:t>
      </w:r>
    </w:p>
    <w:p w14:paraId="03BB7ADC" w14:textId="77777777" w:rsidR="00F67131" w:rsidRDefault="00000000">
      <w:pPr>
        <w:spacing w:after="80" w:line="300" w:lineRule="auto"/>
        <w:jc w:val="both"/>
      </w:pPr>
      <w:r>
        <w:rPr>
          <w:rFonts w:ascii="Times New Roman" w:hAnsi="Times New Roman"/>
          <w:b/>
          <w:color w:val="262626"/>
        </w:rPr>
        <w:t xml:space="preserve">Định vị thể chế và Danh mục: </w:t>
      </w:r>
      <w:r>
        <w:rPr>
          <w:rFonts w:ascii="Times New Roman" w:hAnsi="Times New Roman"/>
          <w:color w:val="262626"/>
        </w:rPr>
        <w:t>Agribank là định chế tài chính lớn nhất Việt Nam xét về mạng lưới hoạt động với hơn 2.200 chi nhánh và phòng giao dịch trải rộng khắp cả nước. Định vị chiến lược của Agribank gắn liền với sứ mệnh chính trị phục vụ phát triển 'Tam nông' (Nông nghiệp, Nông dân, Nông thôn), với tỷ trọng dư nợ nông nghiệp – nông thôn giảm từ khoảng 70% (2020) xuống 61,7% (2024) rồi tăng lại 64,1% (2025) theo báo cáo thường niên. Về mặt thể chế sở hữu, là ngân hàng 100% vốn Nhà nước, cơ chế ra quyết định của Agribank mang tính thủ tục hành chính cao, chịu sự giám sát trực tiếp của Ngân hàng Nhà nước, Bộ Tài chính và Kiểm toán Nhà nước.</w:t>
      </w:r>
    </w:p>
    <w:p w14:paraId="4A6501AB" w14:textId="77777777" w:rsidR="00F67131" w:rsidRDefault="00000000">
      <w:pPr>
        <w:spacing w:after="80" w:line="300" w:lineRule="auto"/>
        <w:jc w:val="both"/>
      </w:pPr>
      <w:r>
        <w:rPr>
          <w:rFonts w:ascii="Times New Roman" w:hAnsi="Times New Roman"/>
          <w:b/>
          <w:color w:val="262626"/>
        </w:rPr>
        <w:t xml:space="preserve">Mô hình tổ chức và Công cụ quản trị: </w:t>
      </w:r>
      <w:r>
        <w:rPr>
          <w:rFonts w:ascii="Times New Roman" w:hAnsi="Times New Roman"/>
          <w:color w:val="262626"/>
        </w:rPr>
        <w:t>Mô hình tổ chức quản trị rủi ro của Agribank vận hành theo cơ chế phân tán: Hội đồng thành viên phê chuẩn chính sách quản lý rủi ro thông qua Ủy ban Quản lý rủi ro; Khối Quản lý rủi ro tại Hội sở đóng vai trò tham mưu và ban hành hạn mức; tuy nhiên, quyền thẩm định và phê duyệt tín dụng phần lớn vẫn được phân cấp mạnh cho các Giám đốc chi nhánh loại 1 và loại 2 theo hạn mức thẩm quyền. Do mạng lưới quá rộng lớn và tính chất địa bàn nông thôn phân tán, việc kiểm soát nội bộ tập trung gặp nhiều rào cản công nghệ. Đặc biệt, tài sản bảo đảm của Agribank chiếm tới 88%–92% là bất động sản nông nghiệp và đất ở nông thôn, tạo ra một danh mục có tính thanh khoản tài sản bảo đảm rất thấp và phụ thuộc nặng nề vào các thủ tục thi hành án tư pháp kéo dài.</w:t>
      </w:r>
    </w:p>
    <w:p>
      <w:pPr>
        <w:pStyle w:val="Heading2"/>
        <w:keepNext/>
        <w:spacing w:before="240" w:after="80"/>
        <w:outlineLvl w:val="1"/>
      </w:pPr>
      <w:r>
        <w:rPr>
          <w:rFonts w:ascii="Times New Roman" w:hAnsi="Times New Roman"/>
          <w:b/>
          <w:i w:val="0"/>
          <w:color w:val="0F4C81"/>
          <w:sz w:val="24"/>
        </w:rPr>
        <w:t>1.2. MB: Thể chế Tập đoàn Tài chính và Quản trị tập trung</w:t>
      </w:r>
    </w:p>
    <w:p w14:paraId="68FB63BA" w14:textId="77777777" w:rsidR="00F67131" w:rsidRDefault="00000000">
      <w:pPr>
        <w:spacing w:after="80" w:line="300" w:lineRule="auto"/>
        <w:jc w:val="both"/>
      </w:pPr>
      <w:r>
        <w:rPr>
          <w:rFonts w:ascii="Times New Roman" w:hAnsi="Times New Roman"/>
          <w:b/>
          <w:color w:val="262626"/>
        </w:rPr>
        <w:t xml:space="preserve">Cấu trúc tập đoàn và Khẩu vị mở rộng: </w:t>
      </w:r>
      <w:r>
        <w:rPr>
          <w:rFonts w:ascii="Times New Roman" w:hAnsi="Times New Roman"/>
          <w:color w:val="262626"/>
        </w:rPr>
        <w:t>Ngược lại hoàn toàn với Agribank, Ngân hàng TMCP Quân đội (MB) vận hành theo mô hình Tập đoàn Tài chính đa năng (Universal Financial Conglomerate), với ngân hàng mẹ đóng vai trò hạt nhân kết nối chặt chẽ với các công ty con chuyên doanh: MCredit (Tài chính tiêu dùng), MBS (Chứng khoán &amp; Ngân hàng đầu tư), MIC (Bảo hiểm phi nhân thọ), MB Ageas Life (Bảo hiểm nhân thọ) và MBAMC (Quản lý nợ và khai thác tài sản). Cấu trúc sở hữu của MB có sự kết hợp đặc thù giữa các cổ đông quân đội (Viettel, Tổng Công ty Trực thăng, Tổng Công ty Tân Cảng Sài Gòn) và các quỹ đầu tư tài chính tư nhân, tạo ra một động lực tối đa hóa lợi nhuận và hiệu quả vốn (ROE) cực kỳ mạnh mẽ.</w:t>
      </w:r>
    </w:p>
    <w:p w14:paraId="0F2DBA27" w14:textId="77777777" w:rsidR="00F67131" w:rsidRDefault="00000000">
      <w:pPr>
        <w:spacing w:after="80" w:line="300" w:lineRule="auto"/>
        <w:jc w:val="both"/>
      </w:pPr>
      <w:r>
        <w:rPr>
          <w:rFonts w:ascii="Times New Roman" w:hAnsi="Times New Roman"/>
          <w:b/>
        </w:rPr>
        <w:t xml:space="preserve">Công nghệ tập trung và Đánh đổi rủi ro: </w:t>
      </w:r>
      <w:r>
        <w:rPr>
          <w:rFonts w:ascii="Times New Roman" w:hAnsi="Times New Roman"/>
        </w:rPr>
        <w:t xml:space="preserve">Về mặt công cụ quản trị, MB là một trong những ngân hàng thương mại tiên phong áp dụng sớm các thông lệ Basel II và triển khai nền tảng ICAAP dựa trên hệ thống công nghệ Oracle Financial Services Analytical Applications (OFSAA). Mô hình phê duyệt tín dụng của MB được tái cấu trúc triệt để theo hướng tập trung hóa: tách rời hoàn toàn Khối Thẩm định và Trung tâm Phê duyệt tín dụng khỏi các Chi nhánh kinh doanh; áp dụng các mô hình chấm điểm tín dụng tự động (Scorecard) và phê duyệt luồng tự động cho các khoản vay cá nhân và bán lẻ. Khẩu vị rủi ro của MB chấp nhận mở rộng mạnh mẽ sang các phân khúc có biên lợi nhuận cao (NIM cao) như cho vay mua nhà dự án, tài trợ chuỗi cung ứng cho các tập đoàn lớn, đầu tư trái phiếu doanh nghiệp (trái phiếu doanh nghiệp do TCKT phát hành đạt đỉnh 46.870 tỷ đồng năm 2022 theo TM 12 </w:t>
      </w:r>
      <w:r>
        <w:rPr>
          <w:rFonts w:ascii="Times New Roman" w:hAnsi="Times New Roman"/>
        </w:rPr>
        <w:lastRenderedPageBreak/>
        <w:t>BCTC hợp nhất 2022, chưa kể chứng khoán nợ do các TCTD phát hành) và tín dụng tiêu dùng tín chấp thông qua MCredit.</w:t>
      </w:r>
    </w:p>
    <w:p>
      <w:pPr>
        <w:pStyle w:val="Heading2"/>
        <w:keepNext/>
        <w:spacing w:before="240" w:after="80"/>
        <w:outlineLvl w:val="1"/>
      </w:pPr>
      <w:r>
        <w:rPr>
          <w:rFonts w:ascii="Times New Roman" w:hAnsi="Times New Roman"/>
          <w:b/>
          <w:i w:val="0"/>
          <w:color w:val="0F4C81"/>
          <w:sz w:val="24"/>
        </w:rPr>
        <w:t>1.3. Ma trận đối chiếu chuyên sâu hai mô hình quản trị rủi ro</w:t>
      </w:r>
    </w:p>
    <w:p>
      <w:pPr>
        <w:keepNext/>
        <w:pageBreakBefore w:val="0"/>
        <w:spacing w:before="200" w:after="80" w:line="276" w:lineRule="auto"/>
        <w:jc w:val="left"/>
      </w:pPr>
      <w:r>
        <w:rPr>
          <w:rFonts w:ascii="Times New Roman" w:hAnsi="Times New Roman"/>
          <w:b/>
          <w:i w:val="0"/>
          <w:color w:val="002060"/>
          <w:sz w:val="22"/>
        </w:rPr>
        <w:t>Bảng 1. Ma trận đối chiếu cấu trúc thể chế và mô hình 3 tuyến phòng vệ giữa Agribank và MB</w:t>
      </w:r>
    </w:p>
    <w:tbl>
      <w:tblPr>
        <w:tblW w:w="0" w:type="auto"/>
        <w:jc w:val="center"/>
        <w:tblBorders>
          <w:top w:val="single" w:sz="6" w:space="0" w:color="1B365D"/>
          <w:bottom w:val="single" w:sz="6" w:space="0" w:color="1B365D"/>
          <w:insideH w:val="single" w:sz="4" w:space="0" w:color="E0E0E0"/>
        </w:tblBorders>
        <w:tblLook w:val="04A0" w:firstRow="1" w:lastRow="0" w:firstColumn="1" w:lastColumn="0" w:noHBand="0" w:noVBand="1"/>
      </w:tblPr>
      <w:tblGrid>
        <w:gridCol w:w="2465"/>
        <w:gridCol w:w="3386"/>
        <w:gridCol w:w="3421"/>
      </w:tblGrid>
      <w:tr w:rsidR="00F67131" w14:paraId="19B52695" w14:textId="77777777">
        <w:trPr>
          <w:cantSplit/>
          <w:tblHeader/>
          <w:jc w:val="center"/>
        </w:trPr>
        <w:tc>
          <w:tcPr>
            <w:tcW w:w="2592" w:type="dxa"/>
            <w:shd w:val="clear" w:color="auto" w:fill="1B365D"/>
            <w:tcMar>
              <w:top w:w="70" w:type="dxa"/>
              <w:left w:w="100" w:type="dxa"/>
              <w:bottom w:w="70" w:type="dxa"/>
              <w:right w:w="100" w:type="dxa"/>
            </w:tcMar>
          </w:tcPr>
          <w:p w14:paraId="532F7002" w14:textId="77777777" w:rsidR="00F67131" w:rsidRDefault="00000000">
            <w:pPr>
              <w:spacing w:before="40" w:after="40" w:line="240" w:lineRule="auto"/>
              <w:jc w:val="both"/>
            </w:pPr>
            <w:r>
              <w:rPr>
                <w:rFonts w:ascii="Times New Roman" w:hAnsi="Times New Roman"/>
                <w:b/>
                <w:color w:val="FFFFFF"/>
                <w:sz w:val="19"/>
              </w:rPr>
              <w:t>Tiêu chí đối chiếu</w:t>
            </w:r>
          </w:p>
        </w:tc>
        <w:tc>
          <w:tcPr>
            <w:tcW w:w="3600" w:type="dxa"/>
            <w:shd w:val="clear" w:color="auto" w:fill="1B365D"/>
            <w:tcMar>
              <w:top w:w="70" w:type="dxa"/>
              <w:left w:w="100" w:type="dxa"/>
              <w:bottom w:w="70" w:type="dxa"/>
              <w:right w:w="100" w:type="dxa"/>
            </w:tcMar>
          </w:tcPr>
          <w:p w14:paraId="5DE8F163" w14:textId="77777777" w:rsidR="00F67131" w:rsidRDefault="00000000">
            <w:pPr>
              <w:spacing w:before="40" w:after="40" w:line="240" w:lineRule="auto"/>
              <w:jc w:val="both"/>
            </w:pPr>
            <w:r>
              <w:rPr>
                <w:rFonts w:ascii="Times New Roman" w:hAnsi="Times New Roman"/>
                <w:b/>
                <w:color w:val="FFFFFF"/>
                <w:sz w:val="19"/>
              </w:rPr>
              <w:t>Agribank (Mô hình NHTM Nhà nước)</w:t>
            </w:r>
          </w:p>
        </w:tc>
        <w:tc>
          <w:tcPr>
            <w:tcW w:w="3600" w:type="dxa"/>
            <w:shd w:val="clear" w:color="auto" w:fill="1B365D"/>
            <w:tcMar>
              <w:top w:w="70" w:type="dxa"/>
              <w:left w:w="100" w:type="dxa"/>
              <w:bottom w:w="70" w:type="dxa"/>
              <w:right w:w="100" w:type="dxa"/>
            </w:tcMar>
          </w:tcPr>
          <w:p w14:paraId="4C815C0C" w14:textId="77777777" w:rsidR="00F67131" w:rsidRDefault="00000000">
            <w:pPr>
              <w:spacing w:before="40" w:after="40" w:line="240" w:lineRule="auto"/>
              <w:jc w:val="both"/>
            </w:pPr>
            <w:r>
              <w:rPr>
                <w:rFonts w:ascii="Times New Roman" w:hAnsi="Times New Roman"/>
                <w:b/>
                <w:color w:val="FFFFFF"/>
                <w:sz w:val="19"/>
              </w:rPr>
              <w:t>MB (Mô hình Tập đoàn Tài chính Đa năng)</w:t>
            </w:r>
          </w:p>
        </w:tc>
      </w:tr>
      <w:tr w:rsidR="00F67131" w14:paraId="2A3F83B4" w14:textId="77777777">
        <w:trPr>
          <w:cantSplit/>
          <w:jc w:val="center"/>
        </w:trPr>
        <w:tc>
          <w:tcPr>
            <w:tcW w:w="2592" w:type="dxa"/>
            <w:tcMar>
              <w:top w:w="70" w:type="dxa"/>
              <w:left w:w="100" w:type="dxa"/>
              <w:bottom w:w="70" w:type="dxa"/>
              <w:right w:w="100" w:type="dxa"/>
            </w:tcMar>
          </w:tcPr>
          <w:p w14:paraId="5595DD06" w14:textId="77777777" w:rsidR="00F67131" w:rsidRDefault="00000000">
            <w:pPr>
              <w:spacing w:before="40" w:after="40" w:line="240" w:lineRule="auto"/>
              <w:jc w:val="both"/>
            </w:pPr>
            <w:r>
              <w:rPr>
                <w:rFonts w:ascii="Times New Roman" w:hAnsi="Times New Roman"/>
                <w:color w:val="262626"/>
                <w:sz w:val="18"/>
              </w:rPr>
              <w:t>1. Thể chế sở hữu &amp; Hàm mục tiêu</w:t>
            </w:r>
          </w:p>
        </w:tc>
        <w:tc>
          <w:tcPr>
            <w:tcW w:w="3600" w:type="dxa"/>
            <w:tcMar>
              <w:top w:w="70" w:type="dxa"/>
              <w:left w:w="100" w:type="dxa"/>
              <w:bottom w:w="70" w:type="dxa"/>
              <w:right w:w="100" w:type="dxa"/>
            </w:tcMar>
          </w:tcPr>
          <w:p w14:paraId="714D002D" w14:textId="77777777" w:rsidR="00F67131" w:rsidRDefault="00000000">
            <w:pPr>
              <w:spacing w:before="40" w:after="40" w:line="240" w:lineRule="auto"/>
              <w:jc w:val="both"/>
            </w:pPr>
            <w:r>
              <w:rPr>
                <w:rFonts w:ascii="Times New Roman" w:hAnsi="Times New Roman"/>
                <w:color w:val="262626"/>
                <w:sz w:val="18"/>
              </w:rPr>
              <w:t>100% vốn Nhà nước; hàm mục tiêu kép: chính sách tam nông + bảo toàn vốn công.</w:t>
            </w:r>
          </w:p>
        </w:tc>
        <w:tc>
          <w:tcPr>
            <w:tcW w:w="3600" w:type="dxa"/>
            <w:tcMar>
              <w:top w:w="70" w:type="dxa"/>
              <w:left w:w="100" w:type="dxa"/>
              <w:bottom w:w="70" w:type="dxa"/>
              <w:right w:w="100" w:type="dxa"/>
            </w:tcMar>
          </w:tcPr>
          <w:p w14:paraId="320CA5C0" w14:textId="77777777" w:rsidR="00F67131" w:rsidRDefault="00000000">
            <w:pPr>
              <w:spacing w:before="40" w:after="40" w:line="240" w:lineRule="auto"/>
              <w:jc w:val="both"/>
            </w:pPr>
            <w:r>
              <w:rPr>
                <w:rFonts w:ascii="Times New Roman" w:hAnsi="Times New Roman"/>
                <w:color w:val="262626"/>
                <w:sz w:val="18"/>
              </w:rPr>
              <w:t>Sở hữu hỗn hợp Quân đội &amp; Tư nhân; hàm mục tiêu tối đa hóa ROE và giá trị vốn hóa.</w:t>
            </w:r>
          </w:p>
        </w:tc>
      </w:tr>
      <w:tr w:rsidR="00F67131" w14:paraId="43B56782" w14:textId="77777777">
        <w:trPr>
          <w:cantSplit/>
          <w:jc w:val="center"/>
        </w:trPr>
        <w:tc>
          <w:tcPr>
            <w:tcW w:w="2592" w:type="dxa"/>
            <w:tcMar>
              <w:top w:w="70" w:type="dxa"/>
              <w:left w:w="100" w:type="dxa"/>
              <w:bottom w:w="70" w:type="dxa"/>
              <w:right w:w="100" w:type="dxa"/>
            </w:tcMar>
          </w:tcPr>
          <w:p w14:paraId="61AC58C5" w14:textId="77777777" w:rsidR="00F67131" w:rsidRDefault="00000000">
            <w:pPr>
              <w:spacing w:before="40" w:after="40" w:line="240" w:lineRule="auto"/>
              <w:jc w:val="both"/>
            </w:pPr>
            <w:r>
              <w:rPr>
                <w:rFonts w:ascii="Times New Roman" w:hAnsi="Times New Roman"/>
                <w:color w:val="262626"/>
                <w:sz w:val="18"/>
              </w:rPr>
              <w:t>2. Khẩu vị rủi ro (Risk Appetite)</w:t>
            </w:r>
          </w:p>
        </w:tc>
        <w:tc>
          <w:tcPr>
            <w:tcW w:w="3600" w:type="dxa"/>
            <w:tcMar>
              <w:top w:w="70" w:type="dxa"/>
              <w:left w:w="100" w:type="dxa"/>
              <w:bottom w:w="70" w:type="dxa"/>
              <w:right w:w="100" w:type="dxa"/>
            </w:tcMar>
          </w:tcPr>
          <w:p w14:paraId="2BD6693D" w14:textId="77777777" w:rsidR="00F67131" w:rsidRDefault="00000000">
            <w:pPr>
              <w:spacing w:before="40" w:after="40" w:line="240" w:lineRule="auto"/>
              <w:jc w:val="both"/>
            </w:pPr>
            <w:r>
              <w:rPr>
                <w:rFonts w:ascii="Times New Roman" w:hAnsi="Times New Roman"/>
                <w:color w:val="262626"/>
                <w:sz w:val="18"/>
              </w:rPr>
              <w:t>Bảo thủ, phân tán cao (Granular); bài xích rủi ro pháp lý; biên lãi mỏng (NIM thấp).</w:t>
            </w:r>
          </w:p>
        </w:tc>
        <w:tc>
          <w:tcPr>
            <w:tcW w:w="3600" w:type="dxa"/>
            <w:tcMar>
              <w:top w:w="70" w:type="dxa"/>
              <w:left w:w="100" w:type="dxa"/>
              <w:bottom w:w="70" w:type="dxa"/>
              <w:right w:w="100" w:type="dxa"/>
            </w:tcMar>
          </w:tcPr>
          <w:p w14:paraId="5B9023AC" w14:textId="77777777" w:rsidR="00F67131" w:rsidRDefault="00000000">
            <w:pPr>
              <w:spacing w:before="40" w:after="40" w:line="240" w:lineRule="auto"/>
              <w:jc w:val="both"/>
            </w:pPr>
            <w:r>
              <w:rPr>
                <w:rFonts w:ascii="Times New Roman" w:hAnsi="Times New Roman"/>
                <w:color w:val="262626"/>
                <w:sz w:val="18"/>
              </w:rPr>
              <w:t>Chấp nhận rủi ro cao để tối ưu NIM; tập trung vào bán lẻ, BĐS, TPDN và cho vay tiêu dùng.</w:t>
            </w:r>
          </w:p>
        </w:tc>
      </w:tr>
      <w:tr w:rsidR="00F67131" w14:paraId="5118B629" w14:textId="77777777">
        <w:trPr>
          <w:cantSplit/>
          <w:jc w:val="center"/>
        </w:trPr>
        <w:tc>
          <w:tcPr>
            <w:tcW w:w="2592" w:type="dxa"/>
            <w:tcMar>
              <w:top w:w="70" w:type="dxa"/>
              <w:left w:w="100" w:type="dxa"/>
              <w:bottom w:w="70" w:type="dxa"/>
              <w:right w:w="100" w:type="dxa"/>
            </w:tcMar>
          </w:tcPr>
          <w:p w14:paraId="2150C0E4" w14:textId="77777777" w:rsidR="00F67131" w:rsidRDefault="00000000">
            <w:pPr>
              <w:spacing w:before="40" w:after="40" w:line="240" w:lineRule="auto"/>
              <w:jc w:val="both"/>
            </w:pPr>
            <w:r>
              <w:rPr>
                <w:rFonts w:ascii="Times New Roman" w:hAnsi="Times New Roman"/>
                <w:color w:val="262626"/>
                <w:sz w:val="18"/>
              </w:rPr>
              <w:t>3. Tuyến phòng vệ 1 (Kinh doanh)</w:t>
            </w:r>
          </w:p>
        </w:tc>
        <w:tc>
          <w:tcPr>
            <w:tcW w:w="3600" w:type="dxa"/>
            <w:tcMar>
              <w:top w:w="70" w:type="dxa"/>
              <w:left w:w="100" w:type="dxa"/>
              <w:bottom w:w="70" w:type="dxa"/>
              <w:right w:w="100" w:type="dxa"/>
            </w:tcMar>
          </w:tcPr>
          <w:p w14:paraId="3204BC6D" w14:textId="77777777" w:rsidR="00F67131" w:rsidRDefault="00000000">
            <w:pPr>
              <w:spacing w:before="40" w:after="40" w:line="240" w:lineRule="auto"/>
              <w:jc w:val="both"/>
            </w:pPr>
            <w:r>
              <w:rPr>
                <w:rFonts w:ascii="Times New Roman" w:hAnsi="Times New Roman"/>
                <w:color w:val="262626"/>
                <w:sz w:val="18"/>
              </w:rPr>
              <w:t>Chi nhánh vừa bán hàng vừa thẩm định thực tế; phân cấp hạn mức tín dụng theo địa bàn.</w:t>
            </w:r>
          </w:p>
        </w:tc>
        <w:tc>
          <w:tcPr>
            <w:tcW w:w="3600" w:type="dxa"/>
            <w:tcMar>
              <w:top w:w="70" w:type="dxa"/>
              <w:left w:w="100" w:type="dxa"/>
              <w:bottom w:w="70" w:type="dxa"/>
              <w:right w:w="100" w:type="dxa"/>
            </w:tcMar>
          </w:tcPr>
          <w:p w14:paraId="7ABD7404" w14:textId="77777777" w:rsidR="00F67131" w:rsidRDefault="00000000">
            <w:pPr>
              <w:spacing w:before="40" w:after="40" w:line="240" w:lineRule="auto"/>
              <w:jc w:val="both"/>
            </w:pPr>
            <w:r>
              <w:rPr>
                <w:rFonts w:ascii="Times New Roman" w:hAnsi="Times New Roman"/>
                <w:color w:val="262626"/>
                <w:sz w:val="18"/>
              </w:rPr>
              <w:t>Tách rời bán hàng (RM) và thẩm định độc lập; phê duyệt tập trung tại Hội sở &amp; Hub.</w:t>
            </w:r>
          </w:p>
        </w:tc>
      </w:tr>
      <w:tr w:rsidR="00F67131" w14:paraId="7F4DEC3B" w14:textId="77777777">
        <w:trPr>
          <w:cantSplit/>
          <w:jc w:val="center"/>
        </w:trPr>
        <w:tc>
          <w:tcPr>
            <w:tcW w:w="2592" w:type="dxa"/>
            <w:tcMar>
              <w:top w:w="70" w:type="dxa"/>
              <w:left w:w="100" w:type="dxa"/>
              <w:bottom w:w="70" w:type="dxa"/>
              <w:right w:w="100" w:type="dxa"/>
            </w:tcMar>
          </w:tcPr>
          <w:p w14:paraId="3C1134B6" w14:textId="77777777" w:rsidR="00F67131" w:rsidRDefault="00000000">
            <w:pPr>
              <w:spacing w:before="40" w:after="40" w:line="240" w:lineRule="auto"/>
              <w:jc w:val="both"/>
            </w:pPr>
            <w:r>
              <w:rPr>
                <w:rFonts w:ascii="Times New Roman" w:hAnsi="Times New Roman"/>
                <w:color w:val="262626"/>
                <w:sz w:val="18"/>
              </w:rPr>
              <w:t>4. Tuyến phòng vệ 2 (Quản trị rủi ro)</w:t>
            </w:r>
          </w:p>
        </w:tc>
        <w:tc>
          <w:tcPr>
            <w:tcW w:w="3600" w:type="dxa"/>
            <w:tcMar>
              <w:top w:w="70" w:type="dxa"/>
              <w:left w:w="100" w:type="dxa"/>
              <w:bottom w:w="70" w:type="dxa"/>
              <w:right w:w="100" w:type="dxa"/>
            </w:tcMar>
          </w:tcPr>
          <w:p w14:paraId="7B200095" w14:textId="77777777" w:rsidR="00F67131" w:rsidRDefault="00000000">
            <w:pPr>
              <w:spacing w:before="40" w:after="40" w:line="240" w:lineRule="auto"/>
              <w:jc w:val="both"/>
            </w:pPr>
            <w:r>
              <w:rPr>
                <w:rFonts w:ascii="Times New Roman" w:hAnsi="Times New Roman"/>
                <w:color w:val="262626"/>
                <w:sz w:val="18"/>
              </w:rPr>
              <w:t>Khối QLRR giám sát theo hạn mức hành chính; mô hình chấm điểm nội bộ mang tính bổ trợ.</w:t>
            </w:r>
          </w:p>
        </w:tc>
        <w:tc>
          <w:tcPr>
            <w:tcW w:w="3600" w:type="dxa"/>
            <w:tcMar>
              <w:top w:w="70" w:type="dxa"/>
              <w:left w:w="100" w:type="dxa"/>
              <w:bottom w:w="70" w:type="dxa"/>
              <w:right w:w="100" w:type="dxa"/>
            </w:tcMar>
          </w:tcPr>
          <w:p w14:paraId="15C34580" w14:textId="77777777" w:rsidR="00F67131" w:rsidRDefault="00000000">
            <w:pPr>
              <w:spacing w:before="40" w:after="40" w:line="240" w:lineRule="auto"/>
              <w:jc w:val="both"/>
            </w:pPr>
            <w:r>
              <w:rPr>
                <w:rFonts w:ascii="Times New Roman" w:hAnsi="Times New Roman"/>
                <w:color w:val="262626"/>
                <w:sz w:val="18"/>
              </w:rPr>
              <w:t>Khối QLRR do CRO phụ trách; vận hành ICAAP/OFSAA; tự động hóa phê duyệt bằng scorecard.</w:t>
            </w:r>
          </w:p>
        </w:tc>
      </w:tr>
      <w:tr w:rsidR="00F67131" w14:paraId="63716B75" w14:textId="77777777">
        <w:trPr>
          <w:cantSplit/>
          <w:jc w:val="center"/>
        </w:trPr>
        <w:tc>
          <w:tcPr>
            <w:tcW w:w="2592" w:type="dxa"/>
            <w:tcMar>
              <w:top w:w="70" w:type="dxa"/>
              <w:left w:w="100" w:type="dxa"/>
              <w:bottom w:w="70" w:type="dxa"/>
              <w:right w:w="100" w:type="dxa"/>
            </w:tcMar>
          </w:tcPr>
          <w:p w14:paraId="6B6C7E21" w14:textId="77777777" w:rsidR="00F67131" w:rsidRDefault="00000000">
            <w:pPr>
              <w:spacing w:before="40" w:after="40" w:line="240" w:lineRule="auto"/>
              <w:jc w:val="both"/>
            </w:pPr>
            <w:r>
              <w:rPr>
                <w:rFonts w:ascii="Times New Roman" w:hAnsi="Times New Roman"/>
                <w:color w:val="262626"/>
                <w:sz w:val="18"/>
              </w:rPr>
              <w:t>5. Tuyến phòng vệ 3 (Kiểm toán nội bộ)</w:t>
            </w:r>
          </w:p>
        </w:tc>
        <w:tc>
          <w:tcPr>
            <w:tcW w:w="3600" w:type="dxa"/>
            <w:tcMar>
              <w:top w:w="70" w:type="dxa"/>
              <w:left w:w="100" w:type="dxa"/>
              <w:bottom w:w="70" w:type="dxa"/>
              <w:right w:w="100" w:type="dxa"/>
            </w:tcMar>
          </w:tcPr>
          <w:p w14:paraId="3C2FAB01" w14:textId="77777777" w:rsidR="00F67131" w:rsidRDefault="00000000">
            <w:pPr>
              <w:spacing w:before="40" w:after="40" w:line="240" w:lineRule="auto"/>
              <w:jc w:val="both"/>
            </w:pPr>
            <w:r>
              <w:rPr>
                <w:rFonts w:ascii="Times New Roman" w:hAnsi="Times New Roman"/>
                <w:color w:val="262626"/>
                <w:sz w:val="18"/>
              </w:rPr>
              <w:t>Kiểm toán nội bộ trực thuộc Ban Kiểm soát; mạng rộng khiến tần suất kiểm tra tại chỗ thấp.</w:t>
            </w:r>
          </w:p>
        </w:tc>
        <w:tc>
          <w:tcPr>
            <w:tcW w:w="3600" w:type="dxa"/>
            <w:tcMar>
              <w:top w:w="70" w:type="dxa"/>
              <w:left w:w="100" w:type="dxa"/>
              <w:bottom w:w="70" w:type="dxa"/>
              <w:right w:w="100" w:type="dxa"/>
            </w:tcMar>
          </w:tcPr>
          <w:p w14:paraId="0BC01850" w14:textId="77777777" w:rsidR="00F67131" w:rsidRDefault="00000000">
            <w:pPr>
              <w:spacing w:before="40" w:after="40" w:line="240" w:lineRule="auto"/>
              <w:jc w:val="both"/>
            </w:pPr>
            <w:r>
              <w:rPr>
                <w:rFonts w:ascii="Times New Roman" w:hAnsi="Times New Roman"/>
                <w:color w:val="262626"/>
                <w:sz w:val="18"/>
              </w:rPr>
              <w:t>Kiểm toán nội bộ dựa trên rủi ro (Risk-based Audit); ứng dụng phân tích dữ liệu lớn (Audit Analytics).</w:t>
            </w:r>
          </w:p>
        </w:tc>
      </w:tr>
      <w:tr w:rsidR="00F67131" w14:paraId="39BAFCC1" w14:textId="77777777">
        <w:trPr>
          <w:cantSplit/>
          <w:jc w:val="center"/>
        </w:trPr>
        <w:tc>
          <w:tcPr>
            <w:tcW w:w="2592" w:type="dxa"/>
            <w:tcMar>
              <w:top w:w="70" w:type="dxa"/>
              <w:left w:w="100" w:type="dxa"/>
              <w:bottom w:w="70" w:type="dxa"/>
              <w:right w:w="100" w:type="dxa"/>
            </w:tcMar>
          </w:tcPr>
          <w:p w14:paraId="113462C4" w14:textId="77777777" w:rsidR="00F67131" w:rsidRDefault="00000000">
            <w:pPr>
              <w:spacing w:before="40" w:after="40" w:line="240" w:lineRule="auto"/>
              <w:jc w:val="both"/>
            </w:pPr>
            <w:r>
              <w:rPr>
                <w:rFonts w:ascii="Times New Roman" w:hAnsi="Times New Roman"/>
                <w:color w:val="262626"/>
                <w:sz w:val="18"/>
              </w:rPr>
              <w:t>6. Bản chất Tài sản bảo đảm</w:t>
            </w:r>
          </w:p>
        </w:tc>
        <w:tc>
          <w:tcPr>
            <w:tcW w:w="3600" w:type="dxa"/>
            <w:tcMar>
              <w:top w:w="70" w:type="dxa"/>
              <w:left w:w="100" w:type="dxa"/>
              <w:bottom w:w="70" w:type="dxa"/>
              <w:right w:w="100" w:type="dxa"/>
            </w:tcMar>
          </w:tcPr>
          <w:p w14:paraId="21BDA4F7" w14:textId="77777777" w:rsidR="00F67131" w:rsidRDefault="00000000">
            <w:pPr>
              <w:spacing w:before="40" w:after="40" w:line="240" w:lineRule="auto"/>
              <w:jc w:val="both"/>
            </w:pPr>
            <w:r>
              <w:rPr>
                <w:rFonts w:ascii="Times New Roman" w:hAnsi="Times New Roman"/>
                <w:color w:val="262626"/>
                <w:sz w:val="18"/>
              </w:rPr>
              <w:t>Chiếm 88%–92% là BĐS nông nghiệp, đất ở nông thôn; thanh khoản thị trường thứ cấp thấp.</w:t>
            </w:r>
          </w:p>
        </w:tc>
        <w:tc>
          <w:tcPr>
            <w:tcW w:w="3600" w:type="dxa"/>
            <w:tcMar>
              <w:top w:w="70" w:type="dxa"/>
              <w:left w:w="100" w:type="dxa"/>
              <w:bottom w:w="70" w:type="dxa"/>
              <w:right w:w="100" w:type="dxa"/>
            </w:tcMar>
          </w:tcPr>
          <w:p w14:paraId="036E4E35" w14:textId="77777777" w:rsidR="00F67131" w:rsidRDefault="00000000">
            <w:pPr>
              <w:spacing w:before="40" w:after="40" w:line="240" w:lineRule="auto"/>
              <w:jc w:val="both"/>
            </w:pPr>
            <w:r>
              <w:rPr>
                <w:rFonts w:ascii="Times New Roman" w:hAnsi="Times New Roman"/>
                <w:color w:val="262626"/>
                <w:sz w:val="18"/>
              </w:rPr>
              <w:t>Đa dạng: BĐS dự án đô thị, cổ phiếu niêm yết, dòng tiền dự án; tỷ lệ tín chấp cao tại MCredit.</w:t>
            </w:r>
          </w:p>
        </w:tc>
      </w:tr>
      <w:tr w:rsidR="00F67131" w14:paraId="6CB2F554" w14:textId="77777777">
        <w:trPr>
          <w:cantSplit/>
          <w:jc w:val="center"/>
        </w:trPr>
        <w:tc>
          <w:tcPr>
            <w:tcW w:w="2592" w:type="dxa"/>
            <w:tcMar>
              <w:top w:w="70" w:type="dxa"/>
              <w:left w:w="100" w:type="dxa"/>
              <w:bottom w:w="70" w:type="dxa"/>
              <w:right w:w="100" w:type="dxa"/>
            </w:tcMar>
          </w:tcPr>
          <w:p w14:paraId="557F461D" w14:textId="77777777" w:rsidR="00F67131" w:rsidRDefault="00000000">
            <w:pPr>
              <w:spacing w:before="40" w:after="40" w:line="240" w:lineRule="auto"/>
              <w:jc w:val="both"/>
            </w:pPr>
            <w:r>
              <w:rPr>
                <w:rFonts w:ascii="Times New Roman" w:hAnsi="Times New Roman"/>
                <w:color w:val="262626"/>
                <w:sz w:val="18"/>
              </w:rPr>
              <w:t>7. Cơ chế khuyến khích (Incentives)</w:t>
            </w:r>
          </w:p>
        </w:tc>
        <w:tc>
          <w:tcPr>
            <w:tcW w:w="3600" w:type="dxa"/>
            <w:tcMar>
              <w:top w:w="70" w:type="dxa"/>
              <w:left w:w="100" w:type="dxa"/>
              <w:bottom w:w="70" w:type="dxa"/>
              <w:right w:w="100" w:type="dxa"/>
            </w:tcMar>
          </w:tcPr>
          <w:p w14:paraId="0EB1A3C0" w14:textId="77777777" w:rsidR="00F67131" w:rsidRDefault="00000000">
            <w:pPr>
              <w:spacing w:before="40" w:after="40" w:line="240" w:lineRule="auto"/>
              <w:jc w:val="both"/>
            </w:pPr>
            <w:r>
              <w:rPr>
                <w:rFonts w:ascii="Times New Roman" w:hAnsi="Times New Roman"/>
                <w:color w:val="262626"/>
                <w:sz w:val="18"/>
              </w:rPr>
              <w:t>Chế độ lương hành chính nhà nước; trách nhiệm cá nhân hình sự nặng nề nếu nợ xấu phát sinh.</w:t>
            </w:r>
          </w:p>
        </w:tc>
        <w:tc>
          <w:tcPr>
            <w:tcW w:w="3600" w:type="dxa"/>
            <w:tcMar>
              <w:top w:w="70" w:type="dxa"/>
              <w:left w:w="100" w:type="dxa"/>
              <w:bottom w:w="70" w:type="dxa"/>
              <w:right w:w="100" w:type="dxa"/>
            </w:tcMar>
          </w:tcPr>
          <w:p w14:paraId="4FE3AEBA" w14:textId="77777777" w:rsidR="00F67131" w:rsidRDefault="00000000">
            <w:pPr>
              <w:spacing w:before="40" w:after="40" w:line="240" w:lineRule="auto"/>
              <w:jc w:val="both"/>
            </w:pPr>
            <w:r>
              <w:rPr>
                <w:rFonts w:ascii="Times New Roman" w:hAnsi="Times New Roman"/>
                <w:color w:val="262626"/>
                <w:sz w:val="18"/>
              </w:rPr>
              <w:t>Lương thưởng gắn chặt KPI doanh số và ROE; chấp nhận chi phí dự phòng như chi phí kinh doanh.</w:t>
            </w:r>
          </w:p>
        </w:tc>
      </w:tr>
    </w:tbl>
    <w:p w14:paraId="287A769A" w14:textId="77777777" w:rsidR="00F67131" w:rsidRDefault="00000000">
      <w:pPr>
        <w:spacing w:after="80" w:line="300" w:lineRule="auto"/>
        <w:jc w:val="both"/>
      </w:pPr>
      <w:r>
        <w:rPr>
          <w:rFonts w:ascii="Times New Roman" w:hAnsi="Times New Roman"/>
          <w:b/>
          <w:i/>
          <w:sz w:val="21"/>
        </w:rPr>
        <w:t xml:space="preserve">Nguồn: </w:t>
      </w:r>
      <w:r>
        <w:rPr>
          <w:rFonts w:ascii="Times New Roman" w:hAnsi="Times New Roman"/>
          <w:i/>
          <w:sz w:val="21"/>
        </w:rPr>
        <w:t>Tổng hợp và đối chiếu từ Báo cáo thường niên, Báo cáo quản trị công ty và Báo cáo Basel II (Pillar 3) của Agribank và MB giai đoạn 2020–2025.</w:t>
      </w:r>
    </w:p>
    <w:p>
      <w:pPr>
        <w:pStyle w:val="Heading1"/>
        <w:keepNext/>
        <w:pageBreakBefore/>
        <w:spacing w:before="320" w:after="120"/>
        <w:outlineLvl w:val="0"/>
      </w:pPr>
      <w:r>
        <w:rPr>
          <w:rFonts w:ascii="Times New Roman" w:hAnsi="Times New Roman"/>
          <w:b/>
          <w:i w:val="0"/>
          <w:color w:val="002060"/>
          <w:sz w:val="27"/>
        </w:rPr>
        <w:t>PHẦN II. BÓC TÁCH THỰC TRẠNG QUẢN TRỊ RỦI RO TÍN DỤNG &amp; PHÂN RÃ TOÁN HỌC (2020–2025)</w:t>
      </w:r>
    </w:p>
    <w:p>
      <w:pPr>
        <w:pStyle w:val="Heading2"/>
        <w:keepNext/>
        <w:spacing w:before="240" w:after="80"/>
        <w:outlineLvl w:val="1"/>
      </w:pPr>
      <w:r>
        <w:rPr>
          <w:rFonts w:ascii="Times New Roman" w:hAnsi="Times New Roman"/>
          <w:b/>
          <w:i w:val="0"/>
          <w:color w:val="0F4C81"/>
          <w:sz w:val="24"/>
        </w:rPr>
        <w:t>2.1. Quy mô tín dụng, nợ xấu và hiện tượng hội tụ NPL bề mặt (Like-for-like 1,30% vs 1,29%)</w:t>
      </w:r>
    </w:p>
    <w:p w14:paraId="5D0232D5" w14:textId="77777777" w:rsidR="00F67131" w:rsidRDefault="00000000">
      <w:pPr>
        <w:spacing w:after="80" w:line="300" w:lineRule="auto"/>
        <w:jc w:val="both"/>
      </w:pPr>
      <w:r>
        <w:rPr>
          <w:rFonts w:ascii="Times New Roman" w:hAnsi="Times New Roman"/>
          <w:b/>
        </w:rPr>
        <w:t xml:space="preserve">Quy mô và Tốc độ mở rộng tín dụng (kèm làm rõ phạm vi hợp nhất MBV): </w:t>
      </w:r>
      <w:r>
        <w:rPr>
          <w:rFonts w:ascii="Times New Roman" w:hAnsi="Times New Roman"/>
        </w:rPr>
        <w:t>Giai đoạn 2020–2025 ghi nhận sự phân kỳ rõ nét về tốc độ tăng trưởng quy mô tín dụng giữa hai ngân hàng. Dư nợ cho vay khách hàng hợp nhất của Agribank tăng từ 1.213.958 tỷ đồng (2020) lên 1.976.369 tỷ đồng (2025), tương ứng tốc độ tăng trưởng kép hàng năm (CAGR) đạt 10,2%/năm. Trong khi đó, MB ghi nhận tốc độ mở rộng tín dụng rất nhanh, đưa dư nợ cho vay hợp nhất từ 298.297 tỷ đồng (2020) lên 1.084.019 tỷ đồng (2025), đạt CAGR 29,4%/năm. Riêng năm 2025, dư nợ hợp nhất của MB tăng 39,6% (+307.361 tỷ đồng). Cần lưu ý một điểm kỹ thuật kế toán quan trọng tại Thuyết minh số 3.4 BCTC hợp nhất kiểm toán năm 2025 của MB (trang 148 PDF / trang 292 BCTN): căn cứ Điểm c Khoản 1 Điều 185 Luật Các tổ chức tín dụng số 32/2024/QH15, MB không hợp nhất báo cáo tài chính của Ngân hàng TNHH MTV Việt Nam Hiện Đại (MBV – tiền thân là OceanBank, đơn vị được MB nhận chuyển giao bắt buộc từ ngày 17/10/2024). Danh sách 7 công ty con được hợp nhất vào BCTC của MB chỉ bao gồm MB AMC, MBS, MB Cap, MCredit, MIC, MBLife và MB Cambodia. Do đó, mức tăng trưởng dư nợ 39,6% và số dư nợ xấu hợp nhất 14.027 tỷ đồng năm 2025 hoàn toàn là quy mô nội sinh của ngân hàng mẹ MB và 7 công ty con hiện hữu (khi MB được NHNN nới hạn mức tăng trưởng tín dụng nhờ tham gia nhận chuyển giao bắt buộc), chứ không bị cộng gộp bảng cân đối kế toán lịch sử của OceanBank.</w:t>
      </w:r>
    </w:p>
    <w:p>
      <w:pPr>
        <w:keepNext/>
        <w:pageBreakBefore w:val="0"/>
        <w:spacing w:before="200" w:after="80" w:line="276" w:lineRule="auto"/>
        <w:jc w:val="left"/>
      </w:pPr>
      <w:r>
        <w:rPr>
          <w:rFonts w:ascii="Times New Roman" w:hAnsi="Times New Roman"/>
          <w:b/>
          <w:i w:val="0"/>
          <w:color w:val="002060"/>
          <w:sz w:val="22"/>
        </w:rPr>
        <w:t>Bảng 2. Quy mô dư nợ, nợ xấu và tỷ lệ NPL của Agribank và MB giai đoạn 2020–2025 (Tỷ đồng, %)</w:t>
      </w:r>
    </w:p>
    <w:tbl>
      <w:tblPr>
        <w:tblW w:w="0" w:type="auto"/>
        <w:jc w:val="center"/>
        <w:tblBorders>
          <w:top w:val="single" w:sz="6" w:space="0" w:color="1B365D"/>
          <w:bottom w:val="single" w:sz="6" w:space="0" w:color="1B365D"/>
          <w:insideH w:val="single" w:sz="4" w:space="0" w:color="E0E0E0"/>
        </w:tblBorders>
        <w:tblLook w:val="04A0" w:firstRow="1" w:lastRow="0" w:firstColumn="1" w:lastColumn="0" w:noHBand="0" w:noVBand="1"/>
      </w:tblPr>
      <w:tblGrid>
        <w:gridCol w:w="3266"/>
        <w:gridCol w:w="1001"/>
        <w:gridCol w:w="1001"/>
        <w:gridCol w:w="1001"/>
        <w:gridCol w:w="1001"/>
        <w:gridCol w:w="1001"/>
        <w:gridCol w:w="1001"/>
      </w:tblGrid>
      <w:tr w:rsidR="00F67131" w14:paraId="4416779E" w14:textId="77777777">
        <w:trPr>
          <w:cantSplit/>
          <w:tblHeader/>
          <w:jc w:val="center"/>
        </w:trPr>
        <w:tc>
          <w:tcPr>
            <w:tcW w:w="3456" w:type="dxa"/>
            <w:shd w:val="clear" w:color="auto" w:fill="1B365D"/>
            <w:tcMar>
              <w:top w:w="70" w:type="dxa"/>
              <w:left w:w="100" w:type="dxa"/>
              <w:bottom w:w="70" w:type="dxa"/>
              <w:right w:w="100" w:type="dxa"/>
            </w:tcMar>
          </w:tcPr>
          <w:p w14:paraId="178137BF" w14:textId="77777777" w:rsidR="00F67131" w:rsidRDefault="00000000">
            <w:pPr>
              <w:spacing w:before="40" w:after="40" w:line="240" w:lineRule="auto"/>
              <w:jc w:val="both"/>
            </w:pPr>
            <w:r>
              <w:rPr>
                <w:rFonts w:ascii="Times New Roman" w:hAnsi="Times New Roman"/>
                <w:b/>
                <w:color w:val="FFFFFF"/>
                <w:sz w:val="19"/>
              </w:rPr>
              <w:t>Chỉ tiêu phân tích</w:t>
            </w:r>
          </w:p>
        </w:tc>
        <w:tc>
          <w:tcPr>
            <w:tcW w:w="1008" w:type="dxa"/>
            <w:shd w:val="clear" w:color="auto" w:fill="1B365D"/>
            <w:tcMar>
              <w:top w:w="70" w:type="dxa"/>
              <w:left w:w="100" w:type="dxa"/>
              <w:bottom w:w="70" w:type="dxa"/>
              <w:right w:w="100" w:type="dxa"/>
            </w:tcMar>
          </w:tcPr>
          <w:p w14:paraId="5344502F" w14:textId="77777777" w:rsidR="00F67131" w:rsidRDefault="00000000">
            <w:pPr>
              <w:spacing w:before="40" w:after="40" w:line="240" w:lineRule="auto"/>
              <w:jc w:val="both"/>
            </w:pPr>
            <w:r>
              <w:rPr>
                <w:rFonts w:ascii="Times New Roman" w:hAnsi="Times New Roman"/>
                <w:b/>
                <w:color w:val="FFFFFF"/>
                <w:sz w:val="19"/>
              </w:rPr>
              <w:t>2020</w:t>
            </w:r>
          </w:p>
        </w:tc>
        <w:tc>
          <w:tcPr>
            <w:tcW w:w="1008" w:type="dxa"/>
            <w:shd w:val="clear" w:color="auto" w:fill="1B365D"/>
            <w:tcMar>
              <w:top w:w="70" w:type="dxa"/>
              <w:left w:w="100" w:type="dxa"/>
              <w:bottom w:w="70" w:type="dxa"/>
              <w:right w:w="100" w:type="dxa"/>
            </w:tcMar>
          </w:tcPr>
          <w:p w14:paraId="7EC504F2" w14:textId="77777777" w:rsidR="00F67131" w:rsidRDefault="00000000">
            <w:pPr>
              <w:spacing w:before="40" w:after="40" w:line="240" w:lineRule="auto"/>
              <w:jc w:val="both"/>
            </w:pPr>
            <w:r>
              <w:rPr>
                <w:rFonts w:ascii="Times New Roman" w:hAnsi="Times New Roman"/>
                <w:b/>
                <w:color w:val="FFFFFF"/>
                <w:sz w:val="19"/>
              </w:rPr>
              <w:t>2021</w:t>
            </w:r>
          </w:p>
        </w:tc>
        <w:tc>
          <w:tcPr>
            <w:tcW w:w="1008" w:type="dxa"/>
            <w:shd w:val="clear" w:color="auto" w:fill="1B365D"/>
            <w:tcMar>
              <w:top w:w="70" w:type="dxa"/>
              <w:left w:w="100" w:type="dxa"/>
              <w:bottom w:w="70" w:type="dxa"/>
              <w:right w:w="100" w:type="dxa"/>
            </w:tcMar>
          </w:tcPr>
          <w:p w14:paraId="675BAB00" w14:textId="77777777" w:rsidR="00F67131" w:rsidRDefault="00000000">
            <w:pPr>
              <w:spacing w:before="40" w:after="40" w:line="240" w:lineRule="auto"/>
              <w:jc w:val="both"/>
            </w:pPr>
            <w:r>
              <w:rPr>
                <w:rFonts w:ascii="Times New Roman" w:hAnsi="Times New Roman"/>
                <w:b/>
                <w:color w:val="FFFFFF"/>
                <w:sz w:val="19"/>
              </w:rPr>
              <w:t>2022</w:t>
            </w:r>
          </w:p>
        </w:tc>
        <w:tc>
          <w:tcPr>
            <w:tcW w:w="1008" w:type="dxa"/>
            <w:shd w:val="clear" w:color="auto" w:fill="1B365D"/>
            <w:tcMar>
              <w:top w:w="70" w:type="dxa"/>
              <w:left w:w="100" w:type="dxa"/>
              <w:bottom w:w="70" w:type="dxa"/>
              <w:right w:w="100" w:type="dxa"/>
            </w:tcMar>
          </w:tcPr>
          <w:p w14:paraId="42BC1F34" w14:textId="77777777" w:rsidR="00F67131" w:rsidRDefault="00000000">
            <w:pPr>
              <w:spacing w:before="40" w:after="40" w:line="240" w:lineRule="auto"/>
              <w:jc w:val="both"/>
            </w:pPr>
            <w:r>
              <w:rPr>
                <w:rFonts w:ascii="Times New Roman" w:hAnsi="Times New Roman"/>
                <w:b/>
                <w:color w:val="FFFFFF"/>
                <w:sz w:val="19"/>
              </w:rPr>
              <w:t>2023</w:t>
            </w:r>
          </w:p>
        </w:tc>
        <w:tc>
          <w:tcPr>
            <w:tcW w:w="1008" w:type="dxa"/>
            <w:shd w:val="clear" w:color="auto" w:fill="1B365D"/>
            <w:tcMar>
              <w:top w:w="70" w:type="dxa"/>
              <w:left w:w="100" w:type="dxa"/>
              <w:bottom w:w="70" w:type="dxa"/>
              <w:right w:w="100" w:type="dxa"/>
            </w:tcMar>
          </w:tcPr>
          <w:p w14:paraId="4605DF90" w14:textId="77777777" w:rsidR="00F67131" w:rsidRDefault="00000000">
            <w:pPr>
              <w:spacing w:before="40" w:after="40" w:line="240" w:lineRule="auto"/>
              <w:jc w:val="both"/>
            </w:pPr>
            <w:r>
              <w:rPr>
                <w:rFonts w:ascii="Times New Roman" w:hAnsi="Times New Roman"/>
                <w:b/>
                <w:color w:val="FFFFFF"/>
                <w:sz w:val="19"/>
              </w:rPr>
              <w:t>2024</w:t>
            </w:r>
          </w:p>
        </w:tc>
        <w:tc>
          <w:tcPr>
            <w:tcW w:w="1008" w:type="dxa"/>
            <w:shd w:val="clear" w:color="auto" w:fill="1B365D"/>
            <w:tcMar>
              <w:top w:w="70" w:type="dxa"/>
              <w:left w:w="100" w:type="dxa"/>
              <w:bottom w:w="70" w:type="dxa"/>
              <w:right w:w="100" w:type="dxa"/>
            </w:tcMar>
          </w:tcPr>
          <w:p w14:paraId="6A5E70B3" w14:textId="77777777" w:rsidR="00F67131" w:rsidRDefault="00000000">
            <w:pPr>
              <w:spacing w:before="40" w:after="40" w:line="240" w:lineRule="auto"/>
              <w:jc w:val="both"/>
            </w:pPr>
            <w:r>
              <w:rPr>
                <w:rFonts w:ascii="Times New Roman" w:hAnsi="Times New Roman"/>
                <w:b/>
                <w:color w:val="FFFFFF"/>
                <w:sz w:val="19"/>
              </w:rPr>
              <w:t>2025</w:t>
            </w:r>
          </w:p>
        </w:tc>
      </w:tr>
      <w:tr w:rsidR="00F67131" w14:paraId="4330F1DE" w14:textId="77777777">
        <w:trPr>
          <w:cantSplit/>
          <w:jc w:val="center"/>
        </w:trPr>
        <w:tc>
          <w:tcPr>
            <w:tcW w:w="3456" w:type="dxa"/>
            <w:tcMar>
              <w:top w:w="70" w:type="dxa"/>
              <w:left w:w="100" w:type="dxa"/>
              <w:bottom w:w="70" w:type="dxa"/>
              <w:right w:w="100" w:type="dxa"/>
            </w:tcMar>
          </w:tcPr>
          <w:p w14:paraId="2CF7B427" w14:textId="77777777" w:rsidR="00F67131" w:rsidRDefault="00000000">
            <w:pPr>
              <w:spacing w:before="40" w:after="40" w:line="240" w:lineRule="auto"/>
              <w:jc w:val="both"/>
            </w:pPr>
            <w:r>
              <w:rPr>
                <w:rFonts w:ascii="Times New Roman" w:hAnsi="Times New Roman"/>
                <w:color w:val="262626"/>
                <w:sz w:val="18"/>
              </w:rPr>
              <w:t>Agribank: Dư nợ cho vay KH (Hợp nhất)</w:t>
            </w:r>
          </w:p>
        </w:tc>
        <w:tc>
          <w:tcPr>
            <w:tcW w:w="1008" w:type="dxa"/>
            <w:tcMar>
              <w:top w:w="70" w:type="dxa"/>
              <w:left w:w="100" w:type="dxa"/>
              <w:bottom w:w="70" w:type="dxa"/>
              <w:right w:w="100" w:type="dxa"/>
            </w:tcMar>
          </w:tcPr>
          <w:p w14:paraId="35C70825" w14:textId="77777777" w:rsidR="00F67131" w:rsidRDefault="00000000">
            <w:pPr>
              <w:spacing w:before="40" w:after="40" w:line="240" w:lineRule="auto"/>
              <w:jc w:val="both"/>
            </w:pPr>
            <w:r>
              <w:rPr>
                <w:rFonts w:ascii="Times New Roman" w:hAnsi="Times New Roman"/>
                <w:color w:val="262626"/>
                <w:sz w:val="18"/>
              </w:rPr>
              <w:t>1.213.958</w:t>
            </w:r>
          </w:p>
        </w:tc>
        <w:tc>
          <w:tcPr>
            <w:tcW w:w="1008" w:type="dxa"/>
            <w:tcMar>
              <w:top w:w="70" w:type="dxa"/>
              <w:left w:w="100" w:type="dxa"/>
              <w:bottom w:w="70" w:type="dxa"/>
              <w:right w:w="100" w:type="dxa"/>
            </w:tcMar>
          </w:tcPr>
          <w:p w14:paraId="2F905453" w14:textId="77777777" w:rsidR="00F67131" w:rsidRDefault="00000000">
            <w:pPr>
              <w:spacing w:before="40" w:after="40" w:line="240" w:lineRule="auto"/>
              <w:jc w:val="both"/>
            </w:pPr>
            <w:r>
              <w:rPr>
                <w:rFonts w:ascii="Times New Roman" w:hAnsi="Times New Roman"/>
                <w:color w:val="262626"/>
                <w:sz w:val="18"/>
              </w:rPr>
              <w:t>1.316.449</w:t>
            </w:r>
          </w:p>
        </w:tc>
        <w:tc>
          <w:tcPr>
            <w:tcW w:w="1008" w:type="dxa"/>
            <w:tcMar>
              <w:top w:w="70" w:type="dxa"/>
              <w:left w:w="100" w:type="dxa"/>
              <w:bottom w:w="70" w:type="dxa"/>
              <w:right w:w="100" w:type="dxa"/>
            </w:tcMar>
          </w:tcPr>
          <w:p w14:paraId="4EFFC8AC" w14:textId="77777777" w:rsidR="00F67131" w:rsidRDefault="00000000">
            <w:pPr>
              <w:spacing w:before="40" w:after="40" w:line="240" w:lineRule="auto"/>
              <w:jc w:val="both"/>
            </w:pPr>
            <w:r>
              <w:rPr>
                <w:rFonts w:ascii="Times New Roman" w:hAnsi="Times New Roman"/>
                <w:color w:val="262626"/>
                <w:sz w:val="18"/>
              </w:rPr>
              <w:t>1.444.802</w:t>
            </w:r>
          </w:p>
        </w:tc>
        <w:tc>
          <w:tcPr>
            <w:tcW w:w="1008" w:type="dxa"/>
            <w:tcMar>
              <w:top w:w="70" w:type="dxa"/>
              <w:left w:w="100" w:type="dxa"/>
              <w:bottom w:w="70" w:type="dxa"/>
              <w:right w:w="100" w:type="dxa"/>
            </w:tcMar>
          </w:tcPr>
          <w:p w14:paraId="45C24421" w14:textId="77777777" w:rsidR="00F67131" w:rsidRDefault="00000000">
            <w:pPr>
              <w:spacing w:before="40" w:after="40" w:line="240" w:lineRule="auto"/>
              <w:jc w:val="both"/>
            </w:pPr>
            <w:r>
              <w:rPr>
                <w:rFonts w:ascii="Times New Roman" w:hAnsi="Times New Roman"/>
                <w:color w:val="262626"/>
                <w:sz w:val="18"/>
              </w:rPr>
              <w:t>1.552.158</w:t>
            </w:r>
          </w:p>
        </w:tc>
        <w:tc>
          <w:tcPr>
            <w:tcW w:w="1008" w:type="dxa"/>
            <w:tcMar>
              <w:top w:w="70" w:type="dxa"/>
              <w:left w:w="100" w:type="dxa"/>
              <w:bottom w:w="70" w:type="dxa"/>
              <w:right w:w="100" w:type="dxa"/>
            </w:tcMar>
          </w:tcPr>
          <w:p w14:paraId="48BC7111" w14:textId="77777777" w:rsidR="00F67131" w:rsidRDefault="00000000">
            <w:pPr>
              <w:spacing w:before="40" w:after="40" w:line="240" w:lineRule="auto"/>
              <w:jc w:val="both"/>
            </w:pPr>
            <w:r>
              <w:rPr>
                <w:rFonts w:ascii="Times New Roman" w:hAnsi="Times New Roman"/>
                <w:color w:val="262626"/>
                <w:sz w:val="18"/>
              </w:rPr>
              <w:t>1.723.382</w:t>
            </w:r>
          </w:p>
        </w:tc>
        <w:tc>
          <w:tcPr>
            <w:tcW w:w="1008" w:type="dxa"/>
            <w:tcMar>
              <w:top w:w="70" w:type="dxa"/>
              <w:left w:w="100" w:type="dxa"/>
              <w:bottom w:w="70" w:type="dxa"/>
              <w:right w:w="100" w:type="dxa"/>
            </w:tcMar>
          </w:tcPr>
          <w:p w14:paraId="004A732B" w14:textId="77777777" w:rsidR="00F67131" w:rsidRDefault="00000000">
            <w:pPr>
              <w:spacing w:before="40" w:after="40" w:line="240" w:lineRule="auto"/>
              <w:jc w:val="both"/>
            </w:pPr>
            <w:r>
              <w:rPr>
                <w:rFonts w:ascii="Times New Roman" w:hAnsi="Times New Roman"/>
                <w:color w:val="262626"/>
                <w:sz w:val="18"/>
              </w:rPr>
              <w:t>1.976.369</w:t>
            </w:r>
          </w:p>
        </w:tc>
      </w:tr>
      <w:tr w:rsidR="00F67131" w14:paraId="3636943D" w14:textId="77777777">
        <w:trPr>
          <w:cantSplit/>
          <w:jc w:val="center"/>
        </w:trPr>
        <w:tc>
          <w:tcPr>
            <w:tcW w:w="3456" w:type="dxa"/>
            <w:tcMar>
              <w:top w:w="70" w:type="dxa"/>
              <w:left w:w="100" w:type="dxa"/>
              <w:bottom w:w="70" w:type="dxa"/>
              <w:right w:w="100" w:type="dxa"/>
            </w:tcMar>
          </w:tcPr>
          <w:p w14:paraId="47BBA2CC" w14:textId="77777777" w:rsidR="00F67131" w:rsidRDefault="00000000">
            <w:pPr>
              <w:spacing w:before="40" w:after="40" w:line="240" w:lineRule="auto"/>
              <w:jc w:val="both"/>
            </w:pPr>
            <w:r>
              <w:rPr>
                <w:rFonts w:ascii="Times New Roman" w:hAnsi="Times New Roman"/>
                <w:color w:val="262626"/>
                <w:sz w:val="18"/>
              </w:rPr>
              <w:t>Agribank: Tăng trưởng dư nợ (%)</w:t>
            </w:r>
          </w:p>
        </w:tc>
        <w:tc>
          <w:tcPr>
            <w:tcW w:w="1008" w:type="dxa"/>
            <w:tcMar>
              <w:top w:w="70" w:type="dxa"/>
              <w:left w:w="100" w:type="dxa"/>
              <w:bottom w:w="70" w:type="dxa"/>
              <w:right w:w="100" w:type="dxa"/>
            </w:tcMar>
          </w:tcPr>
          <w:p w14:paraId="04614979" w14:textId="77777777" w:rsidR="00F67131" w:rsidRDefault="00000000">
            <w:pPr>
              <w:spacing w:before="40" w:after="40" w:line="240" w:lineRule="auto"/>
              <w:jc w:val="both"/>
            </w:pPr>
            <w:r>
              <w:rPr>
                <w:rFonts w:ascii="Times New Roman" w:hAnsi="Times New Roman"/>
                <w:color w:val="262626"/>
                <w:sz w:val="18"/>
              </w:rPr>
              <w:t>8,2%</w:t>
            </w:r>
          </w:p>
        </w:tc>
        <w:tc>
          <w:tcPr>
            <w:tcW w:w="1008" w:type="dxa"/>
            <w:tcMar>
              <w:top w:w="70" w:type="dxa"/>
              <w:left w:w="100" w:type="dxa"/>
              <w:bottom w:w="70" w:type="dxa"/>
              <w:right w:w="100" w:type="dxa"/>
            </w:tcMar>
          </w:tcPr>
          <w:p w14:paraId="234C66DF" w14:textId="77777777" w:rsidR="00F67131" w:rsidRDefault="00000000">
            <w:pPr>
              <w:spacing w:before="40" w:after="40" w:line="240" w:lineRule="auto"/>
              <w:jc w:val="both"/>
            </w:pPr>
            <w:r>
              <w:rPr>
                <w:rFonts w:ascii="Times New Roman" w:hAnsi="Times New Roman"/>
                <w:color w:val="262626"/>
                <w:sz w:val="18"/>
              </w:rPr>
              <w:t>8,4%</w:t>
            </w:r>
          </w:p>
        </w:tc>
        <w:tc>
          <w:tcPr>
            <w:tcW w:w="1008" w:type="dxa"/>
            <w:tcMar>
              <w:top w:w="70" w:type="dxa"/>
              <w:left w:w="100" w:type="dxa"/>
              <w:bottom w:w="70" w:type="dxa"/>
              <w:right w:w="100" w:type="dxa"/>
            </w:tcMar>
          </w:tcPr>
          <w:p w14:paraId="45135087" w14:textId="77777777" w:rsidR="00F67131" w:rsidRDefault="00000000">
            <w:pPr>
              <w:spacing w:before="40" w:after="40" w:line="240" w:lineRule="auto"/>
              <w:jc w:val="both"/>
            </w:pPr>
            <w:r>
              <w:rPr>
                <w:rFonts w:ascii="Times New Roman" w:hAnsi="Times New Roman"/>
                <w:color w:val="262626"/>
                <w:sz w:val="18"/>
              </w:rPr>
              <w:t>9,8%</w:t>
            </w:r>
          </w:p>
        </w:tc>
        <w:tc>
          <w:tcPr>
            <w:tcW w:w="1008" w:type="dxa"/>
            <w:tcMar>
              <w:top w:w="70" w:type="dxa"/>
              <w:left w:w="100" w:type="dxa"/>
              <w:bottom w:w="70" w:type="dxa"/>
              <w:right w:w="100" w:type="dxa"/>
            </w:tcMar>
          </w:tcPr>
          <w:p w14:paraId="11052AE1" w14:textId="77777777" w:rsidR="00F67131" w:rsidRDefault="00000000">
            <w:pPr>
              <w:spacing w:before="40" w:after="40" w:line="240" w:lineRule="auto"/>
              <w:jc w:val="both"/>
            </w:pPr>
            <w:r>
              <w:rPr>
                <w:rFonts w:ascii="Times New Roman" w:hAnsi="Times New Roman"/>
                <w:color w:val="262626"/>
                <w:sz w:val="18"/>
              </w:rPr>
              <w:t>7,4%</w:t>
            </w:r>
          </w:p>
        </w:tc>
        <w:tc>
          <w:tcPr>
            <w:tcW w:w="1008" w:type="dxa"/>
            <w:tcMar>
              <w:top w:w="70" w:type="dxa"/>
              <w:left w:w="100" w:type="dxa"/>
              <w:bottom w:w="70" w:type="dxa"/>
              <w:right w:w="100" w:type="dxa"/>
            </w:tcMar>
          </w:tcPr>
          <w:p w14:paraId="0E4AB96E" w14:textId="77777777" w:rsidR="00F67131" w:rsidRDefault="00000000">
            <w:pPr>
              <w:spacing w:before="40" w:after="40" w:line="240" w:lineRule="auto"/>
              <w:jc w:val="both"/>
            </w:pPr>
            <w:r>
              <w:rPr>
                <w:rFonts w:ascii="Times New Roman" w:hAnsi="Times New Roman"/>
                <w:color w:val="262626"/>
                <w:sz w:val="18"/>
              </w:rPr>
              <w:t>11,0%</w:t>
            </w:r>
          </w:p>
        </w:tc>
        <w:tc>
          <w:tcPr>
            <w:tcW w:w="1008" w:type="dxa"/>
            <w:tcMar>
              <w:top w:w="70" w:type="dxa"/>
              <w:left w:w="100" w:type="dxa"/>
              <w:bottom w:w="70" w:type="dxa"/>
              <w:right w:w="100" w:type="dxa"/>
            </w:tcMar>
          </w:tcPr>
          <w:p w14:paraId="63B87392" w14:textId="77777777" w:rsidR="00F67131" w:rsidRDefault="00000000">
            <w:pPr>
              <w:spacing w:before="40" w:after="40" w:line="240" w:lineRule="auto"/>
              <w:jc w:val="both"/>
            </w:pPr>
            <w:r>
              <w:rPr>
                <w:rFonts w:ascii="Times New Roman" w:hAnsi="Times New Roman"/>
                <w:color w:val="262626"/>
                <w:sz w:val="18"/>
              </w:rPr>
              <w:t>14,7%</w:t>
            </w:r>
          </w:p>
        </w:tc>
      </w:tr>
      <w:tr w:rsidR="00F67131" w14:paraId="41AA0EC4" w14:textId="77777777">
        <w:trPr>
          <w:cantSplit/>
          <w:jc w:val="center"/>
        </w:trPr>
        <w:tc>
          <w:tcPr>
            <w:tcW w:w="3456" w:type="dxa"/>
            <w:tcMar>
              <w:top w:w="70" w:type="dxa"/>
              <w:left w:w="100" w:type="dxa"/>
              <w:bottom w:w="70" w:type="dxa"/>
              <w:right w:w="100" w:type="dxa"/>
            </w:tcMar>
          </w:tcPr>
          <w:p w14:paraId="66E1A6B9" w14:textId="77777777" w:rsidR="00F67131" w:rsidRDefault="00000000">
            <w:pPr>
              <w:spacing w:before="40" w:after="40" w:line="240" w:lineRule="auto"/>
              <w:jc w:val="both"/>
            </w:pPr>
            <w:r>
              <w:rPr>
                <w:rFonts w:ascii="Times New Roman" w:hAnsi="Times New Roman"/>
                <w:color w:val="262626"/>
                <w:sz w:val="18"/>
              </w:rPr>
              <w:t>Agribank: Nợ xấu Nhóm 3–5 (TM 9/10 BCTC)</w:t>
            </w:r>
          </w:p>
        </w:tc>
        <w:tc>
          <w:tcPr>
            <w:tcW w:w="1008" w:type="dxa"/>
            <w:tcMar>
              <w:top w:w="70" w:type="dxa"/>
              <w:left w:w="100" w:type="dxa"/>
              <w:bottom w:w="70" w:type="dxa"/>
              <w:right w:w="100" w:type="dxa"/>
            </w:tcMar>
          </w:tcPr>
          <w:p w14:paraId="79C5FABE" w14:textId="77777777" w:rsidR="00F67131" w:rsidRDefault="00000000">
            <w:pPr>
              <w:spacing w:before="40" w:after="40" w:line="240" w:lineRule="auto"/>
              <w:jc w:val="both"/>
            </w:pPr>
            <w:r>
              <w:rPr>
                <w:rFonts w:ascii="Times New Roman" w:hAnsi="Times New Roman"/>
                <w:color w:val="262626"/>
                <w:sz w:val="18"/>
              </w:rPr>
              <w:t>21.527</w:t>
            </w:r>
          </w:p>
        </w:tc>
        <w:tc>
          <w:tcPr>
            <w:tcW w:w="1008" w:type="dxa"/>
            <w:tcMar>
              <w:top w:w="70" w:type="dxa"/>
              <w:left w:w="100" w:type="dxa"/>
              <w:bottom w:w="70" w:type="dxa"/>
              <w:right w:w="100" w:type="dxa"/>
            </w:tcMar>
          </w:tcPr>
          <w:p w14:paraId="3B314EAC" w14:textId="77777777" w:rsidR="00F67131" w:rsidRDefault="00000000">
            <w:pPr>
              <w:spacing w:before="40" w:after="40" w:line="240" w:lineRule="auto"/>
              <w:jc w:val="both"/>
            </w:pPr>
            <w:r>
              <w:rPr>
                <w:rFonts w:ascii="Times New Roman" w:hAnsi="Times New Roman"/>
                <w:color w:val="262626"/>
                <w:sz w:val="18"/>
              </w:rPr>
              <w:t>24.554</w:t>
            </w:r>
          </w:p>
        </w:tc>
        <w:tc>
          <w:tcPr>
            <w:tcW w:w="1008" w:type="dxa"/>
            <w:tcMar>
              <w:top w:w="70" w:type="dxa"/>
              <w:left w:w="100" w:type="dxa"/>
              <w:bottom w:w="70" w:type="dxa"/>
              <w:right w:w="100" w:type="dxa"/>
            </w:tcMar>
          </w:tcPr>
          <w:p w14:paraId="6DA3FBDE" w14:textId="77777777" w:rsidR="00F67131" w:rsidRDefault="00000000">
            <w:pPr>
              <w:spacing w:before="40" w:after="40" w:line="240" w:lineRule="auto"/>
              <w:jc w:val="both"/>
            </w:pPr>
            <w:r>
              <w:rPr>
                <w:rFonts w:ascii="Times New Roman" w:hAnsi="Times New Roman"/>
                <w:color w:val="262626"/>
                <w:sz w:val="18"/>
              </w:rPr>
              <w:t>26.064</w:t>
            </w:r>
          </w:p>
        </w:tc>
        <w:tc>
          <w:tcPr>
            <w:tcW w:w="1008" w:type="dxa"/>
            <w:tcMar>
              <w:top w:w="70" w:type="dxa"/>
              <w:left w:w="100" w:type="dxa"/>
              <w:bottom w:w="70" w:type="dxa"/>
              <w:right w:w="100" w:type="dxa"/>
            </w:tcMar>
          </w:tcPr>
          <w:p w14:paraId="47025641" w14:textId="77777777" w:rsidR="00F67131" w:rsidRDefault="00000000">
            <w:pPr>
              <w:spacing w:before="40" w:after="40" w:line="240" w:lineRule="auto"/>
              <w:jc w:val="both"/>
            </w:pPr>
            <w:r>
              <w:rPr>
                <w:rFonts w:ascii="Times New Roman" w:hAnsi="Times New Roman"/>
                <w:color w:val="262626"/>
                <w:sz w:val="18"/>
              </w:rPr>
              <w:t>28.721</w:t>
            </w:r>
          </w:p>
        </w:tc>
        <w:tc>
          <w:tcPr>
            <w:tcW w:w="1008" w:type="dxa"/>
            <w:tcMar>
              <w:top w:w="70" w:type="dxa"/>
              <w:left w:w="100" w:type="dxa"/>
              <w:bottom w:w="70" w:type="dxa"/>
              <w:right w:w="100" w:type="dxa"/>
            </w:tcMar>
          </w:tcPr>
          <w:p w14:paraId="3FB3D6F4" w14:textId="77777777" w:rsidR="00F67131" w:rsidRDefault="00000000">
            <w:pPr>
              <w:spacing w:before="40" w:after="40" w:line="240" w:lineRule="auto"/>
              <w:jc w:val="both"/>
            </w:pPr>
            <w:r>
              <w:rPr>
                <w:rFonts w:ascii="Times New Roman" w:hAnsi="Times New Roman"/>
                <w:color w:val="262626"/>
                <w:sz w:val="18"/>
              </w:rPr>
              <w:t>29.009</w:t>
            </w:r>
          </w:p>
        </w:tc>
        <w:tc>
          <w:tcPr>
            <w:tcW w:w="1008" w:type="dxa"/>
            <w:tcMar>
              <w:top w:w="70" w:type="dxa"/>
              <w:left w:w="100" w:type="dxa"/>
              <w:bottom w:w="70" w:type="dxa"/>
              <w:right w:w="100" w:type="dxa"/>
            </w:tcMar>
          </w:tcPr>
          <w:p w14:paraId="714A1239" w14:textId="77777777" w:rsidR="00F67131" w:rsidRDefault="00000000">
            <w:pPr>
              <w:spacing w:before="40" w:after="40" w:line="240" w:lineRule="auto"/>
              <w:jc w:val="both"/>
            </w:pPr>
            <w:r>
              <w:rPr>
                <w:rFonts w:ascii="Times New Roman" w:hAnsi="Times New Roman"/>
                <w:color w:val="262626"/>
                <w:sz w:val="18"/>
              </w:rPr>
              <w:t>25.610</w:t>
            </w:r>
          </w:p>
        </w:tc>
      </w:tr>
      <w:tr w:rsidR="00F67131" w14:paraId="233BFE5A" w14:textId="77777777">
        <w:trPr>
          <w:cantSplit/>
          <w:jc w:val="center"/>
        </w:trPr>
        <w:tc>
          <w:tcPr>
            <w:tcW w:w="3456" w:type="dxa"/>
            <w:tcMar>
              <w:top w:w="70" w:type="dxa"/>
              <w:left w:w="100" w:type="dxa"/>
              <w:bottom w:w="70" w:type="dxa"/>
              <w:right w:w="100" w:type="dxa"/>
            </w:tcMar>
          </w:tcPr>
          <w:p w14:paraId="34054AFF" w14:textId="77777777" w:rsidR="00F67131" w:rsidRDefault="00000000">
            <w:pPr>
              <w:spacing w:before="40" w:after="40" w:line="240" w:lineRule="auto"/>
              <w:jc w:val="both"/>
            </w:pPr>
            <w:r>
              <w:rPr>
                <w:rFonts w:ascii="Times New Roman" w:hAnsi="Times New Roman"/>
                <w:b/>
                <w:color w:val="262626"/>
                <w:sz w:val="18"/>
              </w:rPr>
              <w:t>Agribank: NPL chuẩn TT11/TT31 (BCTN, %)</w:t>
            </w:r>
          </w:p>
        </w:tc>
        <w:tc>
          <w:tcPr>
            <w:tcW w:w="1008" w:type="dxa"/>
            <w:tcMar>
              <w:top w:w="70" w:type="dxa"/>
              <w:left w:w="100" w:type="dxa"/>
              <w:bottom w:w="70" w:type="dxa"/>
              <w:right w:w="100" w:type="dxa"/>
            </w:tcMar>
          </w:tcPr>
          <w:p w14:paraId="4A1AF1A7" w14:textId="77777777" w:rsidR="00F67131" w:rsidRDefault="00000000">
            <w:pPr>
              <w:spacing w:before="40" w:after="40" w:line="240" w:lineRule="auto"/>
              <w:jc w:val="both"/>
            </w:pPr>
            <w:r>
              <w:rPr>
                <w:rFonts w:ascii="Times New Roman" w:hAnsi="Times New Roman"/>
                <w:color w:val="262626"/>
                <w:sz w:val="18"/>
              </w:rPr>
              <w:t>1,63%</w:t>
            </w:r>
          </w:p>
        </w:tc>
        <w:tc>
          <w:tcPr>
            <w:tcW w:w="1008" w:type="dxa"/>
            <w:tcMar>
              <w:top w:w="70" w:type="dxa"/>
              <w:left w:w="100" w:type="dxa"/>
              <w:bottom w:w="70" w:type="dxa"/>
              <w:right w:w="100" w:type="dxa"/>
            </w:tcMar>
          </w:tcPr>
          <w:p w14:paraId="06B5656B" w14:textId="77777777" w:rsidR="00F67131" w:rsidRDefault="00000000">
            <w:pPr>
              <w:spacing w:before="40" w:after="40" w:line="240" w:lineRule="auto"/>
              <w:jc w:val="both"/>
            </w:pPr>
            <w:r>
              <w:rPr>
                <w:rFonts w:ascii="Times New Roman" w:hAnsi="Times New Roman"/>
                <w:color w:val="262626"/>
                <w:sz w:val="18"/>
              </w:rPr>
              <w:t>1,78%</w:t>
            </w:r>
          </w:p>
        </w:tc>
        <w:tc>
          <w:tcPr>
            <w:tcW w:w="1008" w:type="dxa"/>
            <w:tcMar>
              <w:top w:w="70" w:type="dxa"/>
              <w:left w:w="100" w:type="dxa"/>
              <w:bottom w:w="70" w:type="dxa"/>
              <w:right w:w="100" w:type="dxa"/>
            </w:tcMar>
          </w:tcPr>
          <w:p w14:paraId="780073DD" w14:textId="77777777" w:rsidR="00F67131" w:rsidRDefault="00000000">
            <w:pPr>
              <w:spacing w:before="40" w:after="40" w:line="240" w:lineRule="auto"/>
              <w:jc w:val="both"/>
            </w:pPr>
            <w:r>
              <w:rPr>
                <w:rFonts w:ascii="Times New Roman" w:hAnsi="Times New Roman"/>
                <w:color w:val="262626"/>
                <w:sz w:val="18"/>
              </w:rPr>
              <w:t>1,71%</w:t>
            </w:r>
          </w:p>
        </w:tc>
        <w:tc>
          <w:tcPr>
            <w:tcW w:w="1008" w:type="dxa"/>
            <w:tcMar>
              <w:top w:w="70" w:type="dxa"/>
              <w:left w:w="100" w:type="dxa"/>
              <w:bottom w:w="70" w:type="dxa"/>
              <w:right w:w="100" w:type="dxa"/>
            </w:tcMar>
          </w:tcPr>
          <w:p w14:paraId="4469D5C1" w14:textId="77777777" w:rsidR="00F67131" w:rsidRDefault="00000000">
            <w:pPr>
              <w:spacing w:before="40" w:after="40" w:line="240" w:lineRule="auto"/>
              <w:jc w:val="both"/>
            </w:pPr>
            <w:r>
              <w:rPr>
                <w:rFonts w:ascii="Times New Roman" w:hAnsi="Times New Roman"/>
                <w:color w:val="262626"/>
                <w:sz w:val="18"/>
              </w:rPr>
              <w:t>1,77%</w:t>
            </w:r>
          </w:p>
        </w:tc>
        <w:tc>
          <w:tcPr>
            <w:tcW w:w="1008" w:type="dxa"/>
            <w:tcMar>
              <w:top w:w="70" w:type="dxa"/>
              <w:left w:w="100" w:type="dxa"/>
              <w:bottom w:w="70" w:type="dxa"/>
              <w:right w:w="100" w:type="dxa"/>
            </w:tcMar>
          </w:tcPr>
          <w:p w14:paraId="2B3A1951" w14:textId="77777777" w:rsidR="00F67131" w:rsidRDefault="00000000">
            <w:pPr>
              <w:spacing w:before="40" w:after="40" w:line="240" w:lineRule="auto"/>
              <w:jc w:val="both"/>
            </w:pPr>
            <w:r>
              <w:rPr>
                <w:rFonts w:ascii="Times New Roman" w:hAnsi="Times New Roman"/>
                <w:color w:val="262626"/>
                <w:sz w:val="18"/>
              </w:rPr>
              <w:t>1,58%</w:t>
            </w:r>
          </w:p>
        </w:tc>
        <w:tc>
          <w:tcPr>
            <w:tcW w:w="1008" w:type="dxa"/>
            <w:tcMar>
              <w:top w:w="70" w:type="dxa"/>
              <w:left w:w="100" w:type="dxa"/>
              <w:bottom w:w="70" w:type="dxa"/>
              <w:right w:w="100" w:type="dxa"/>
            </w:tcMar>
          </w:tcPr>
          <w:p w14:paraId="6EEA07D9" w14:textId="77777777" w:rsidR="00F67131" w:rsidRDefault="00000000">
            <w:pPr>
              <w:spacing w:before="40" w:after="40" w:line="240" w:lineRule="auto"/>
              <w:jc w:val="both"/>
            </w:pPr>
            <w:r>
              <w:rPr>
                <w:rFonts w:ascii="Times New Roman" w:hAnsi="Times New Roman"/>
                <w:color w:val="262626"/>
                <w:sz w:val="18"/>
              </w:rPr>
              <w:t>1,17%</w:t>
            </w:r>
          </w:p>
        </w:tc>
      </w:tr>
      <w:tr w:rsidR="00F67131" w14:paraId="43E546B8" w14:textId="77777777">
        <w:trPr>
          <w:cantSplit/>
          <w:jc w:val="center"/>
        </w:trPr>
        <w:tc>
          <w:tcPr>
            <w:tcW w:w="3456" w:type="dxa"/>
            <w:tcMar>
              <w:top w:w="70" w:type="dxa"/>
              <w:left w:w="100" w:type="dxa"/>
              <w:bottom w:w="70" w:type="dxa"/>
              <w:right w:w="100" w:type="dxa"/>
            </w:tcMar>
          </w:tcPr>
          <w:p w14:paraId="4F999989" w14:textId="77777777" w:rsidR="00F67131" w:rsidRDefault="00000000">
            <w:pPr>
              <w:spacing w:before="40" w:after="40" w:line="240" w:lineRule="auto"/>
              <w:jc w:val="both"/>
            </w:pPr>
            <w:r>
              <w:rPr>
                <w:rFonts w:ascii="Times New Roman" w:hAnsi="Times New Roman"/>
                <w:b/>
                <w:color w:val="262626"/>
                <w:sz w:val="18"/>
              </w:rPr>
              <w:t>Agribank: NPL trên dư nợ cho vay (TM 9/10, %)</w:t>
            </w:r>
          </w:p>
        </w:tc>
        <w:tc>
          <w:tcPr>
            <w:tcW w:w="1008" w:type="dxa"/>
            <w:tcMar>
              <w:top w:w="70" w:type="dxa"/>
              <w:left w:w="100" w:type="dxa"/>
              <w:bottom w:w="70" w:type="dxa"/>
              <w:right w:w="100" w:type="dxa"/>
            </w:tcMar>
          </w:tcPr>
          <w:p w14:paraId="52A40A9D" w14:textId="77777777" w:rsidR="00F67131" w:rsidRDefault="00000000">
            <w:pPr>
              <w:spacing w:before="40" w:after="40" w:line="240" w:lineRule="auto"/>
              <w:jc w:val="both"/>
            </w:pPr>
            <w:r>
              <w:rPr>
                <w:rFonts w:ascii="Times New Roman" w:hAnsi="Times New Roman"/>
                <w:color w:val="262626"/>
                <w:sz w:val="18"/>
              </w:rPr>
              <w:t>1,77%</w:t>
            </w:r>
          </w:p>
        </w:tc>
        <w:tc>
          <w:tcPr>
            <w:tcW w:w="1008" w:type="dxa"/>
            <w:tcMar>
              <w:top w:w="70" w:type="dxa"/>
              <w:left w:w="100" w:type="dxa"/>
              <w:bottom w:w="70" w:type="dxa"/>
              <w:right w:w="100" w:type="dxa"/>
            </w:tcMar>
          </w:tcPr>
          <w:p w14:paraId="7A380DCF" w14:textId="77777777" w:rsidR="00F67131" w:rsidRDefault="00000000">
            <w:pPr>
              <w:spacing w:before="40" w:after="40" w:line="240" w:lineRule="auto"/>
              <w:jc w:val="both"/>
            </w:pPr>
            <w:r>
              <w:rPr>
                <w:rFonts w:ascii="Times New Roman" w:hAnsi="Times New Roman"/>
                <w:color w:val="262626"/>
                <w:sz w:val="18"/>
              </w:rPr>
              <w:t>1,87%</w:t>
            </w:r>
          </w:p>
        </w:tc>
        <w:tc>
          <w:tcPr>
            <w:tcW w:w="1008" w:type="dxa"/>
            <w:tcMar>
              <w:top w:w="70" w:type="dxa"/>
              <w:left w:w="100" w:type="dxa"/>
              <w:bottom w:w="70" w:type="dxa"/>
              <w:right w:w="100" w:type="dxa"/>
            </w:tcMar>
          </w:tcPr>
          <w:p w14:paraId="5376CA2A" w14:textId="77777777" w:rsidR="00F67131" w:rsidRDefault="00000000">
            <w:pPr>
              <w:spacing w:before="40" w:after="40" w:line="240" w:lineRule="auto"/>
              <w:jc w:val="both"/>
            </w:pPr>
            <w:r>
              <w:rPr>
                <w:rFonts w:ascii="Times New Roman" w:hAnsi="Times New Roman"/>
                <w:color w:val="262626"/>
                <w:sz w:val="18"/>
              </w:rPr>
              <w:t>1,80%</w:t>
            </w:r>
          </w:p>
        </w:tc>
        <w:tc>
          <w:tcPr>
            <w:tcW w:w="1008" w:type="dxa"/>
            <w:tcMar>
              <w:top w:w="70" w:type="dxa"/>
              <w:left w:w="100" w:type="dxa"/>
              <w:bottom w:w="70" w:type="dxa"/>
              <w:right w:w="100" w:type="dxa"/>
            </w:tcMar>
          </w:tcPr>
          <w:p w14:paraId="0F3692CA" w14:textId="77777777" w:rsidR="00F67131" w:rsidRDefault="00000000">
            <w:pPr>
              <w:spacing w:before="40" w:after="40" w:line="240" w:lineRule="auto"/>
              <w:jc w:val="both"/>
            </w:pPr>
            <w:r>
              <w:rPr>
                <w:rFonts w:ascii="Times New Roman" w:hAnsi="Times New Roman"/>
                <w:color w:val="262626"/>
                <w:sz w:val="18"/>
              </w:rPr>
              <w:t>1,85%</w:t>
            </w:r>
          </w:p>
        </w:tc>
        <w:tc>
          <w:tcPr>
            <w:tcW w:w="1008" w:type="dxa"/>
            <w:tcMar>
              <w:top w:w="70" w:type="dxa"/>
              <w:left w:w="100" w:type="dxa"/>
              <w:bottom w:w="70" w:type="dxa"/>
              <w:right w:w="100" w:type="dxa"/>
            </w:tcMar>
          </w:tcPr>
          <w:p w14:paraId="3BAA0794" w14:textId="77777777" w:rsidR="00F67131" w:rsidRDefault="00000000">
            <w:pPr>
              <w:spacing w:before="40" w:after="40" w:line="240" w:lineRule="auto"/>
              <w:jc w:val="both"/>
            </w:pPr>
            <w:r>
              <w:rPr>
                <w:rFonts w:ascii="Times New Roman" w:hAnsi="Times New Roman"/>
                <w:color w:val="262626"/>
                <w:sz w:val="18"/>
              </w:rPr>
              <w:t>1,68%</w:t>
            </w:r>
          </w:p>
        </w:tc>
        <w:tc>
          <w:tcPr>
            <w:tcW w:w="1008" w:type="dxa"/>
            <w:tcMar>
              <w:top w:w="70" w:type="dxa"/>
              <w:left w:w="100" w:type="dxa"/>
              <w:bottom w:w="70" w:type="dxa"/>
              <w:right w:w="100" w:type="dxa"/>
            </w:tcMar>
          </w:tcPr>
          <w:p w14:paraId="04F19B73" w14:textId="77777777" w:rsidR="00F67131" w:rsidRDefault="00000000">
            <w:pPr>
              <w:spacing w:before="40" w:after="40" w:line="240" w:lineRule="auto"/>
              <w:jc w:val="both"/>
            </w:pPr>
            <w:r>
              <w:rPr>
                <w:rFonts w:ascii="Times New Roman" w:hAnsi="Times New Roman"/>
                <w:color w:val="262626"/>
                <w:sz w:val="18"/>
              </w:rPr>
              <w:t>1,30%</w:t>
            </w:r>
          </w:p>
        </w:tc>
      </w:tr>
      <w:tr w:rsidR="00F67131" w14:paraId="52583275" w14:textId="77777777">
        <w:trPr>
          <w:cantSplit/>
          <w:jc w:val="center"/>
        </w:trPr>
        <w:tc>
          <w:tcPr>
            <w:tcW w:w="3456" w:type="dxa"/>
            <w:tcMar>
              <w:top w:w="70" w:type="dxa"/>
              <w:left w:w="100" w:type="dxa"/>
              <w:bottom w:w="70" w:type="dxa"/>
              <w:right w:w="100" w:type="dxa"/>
            </w:tcMar>
          </w:tcPr>
          <w:p w14:paraId="4DD6E6AC" w14:textId="77777777" w:rsidR="00F67131" w:rsidRDefault="00000000">
            <w:pPr>
              <w:spacing w:before="40" w:after="40" w:line="240" w:lineRule="auto"/>
              <w:jc w:val="both"/>
            </w:pPr>
            <w:r>
              <w:rPr>
                <w:rFonts w:ascii="Times New Roman" w:hAnsi="Times New Roman"/>
                <w:color w:val="262626"/>
                <w:sz w:val="18"/>
              </w:rPr>
              <w:t>MB: Dư nợ cho vay KH (Hợp nhất)</w:t>
            </w:r>
          </w:p>
        </w:tc>
        <w:tc>
          <w:tcPr>
            <w:tcW w:w="1008" w:type="dxa"/>
            <w:tcMar>
              <w:top w:w="70" w:type="dxa"/>
              <w:left w:w="100" w:type="dxa"/>
              <w:bottom w:w="70" w:type="dxa"/>
              <w:right w:w="100" w:type="dxa"/>
            </w:tcMar>
          </w:tcPr>
          <w:p w14:paraId="485C288E" w14:textId="77777777" w:rsidR="00F67131" w:rsidRDefault="00000000">
            <w:pPr>
              <w:spacing w:before="40" w:after="40" w:line="240" w:lineRule="auto"/>
              <w:jc w:val="both"/>
            </w:pPr>
            <w:r>
              <w:rPr>
                <w:rFonts w:ascii="Times New Roman" w:hAnsi="Times New Roman"/>
                <w:color w:val="262626"/>
                <w:sz w:val="18"/>
              </w:rPr>
              <w:t>298.297</w:t>
            </w:r>
          </w:p>
        </w:tc>
        <w:tc>
          <w:tcPr>
            <w:tcW w:w="1008" w:type="dxa"/>
            <w:tcMar>
              <w:top w:w="70" w:type="dxa"/>
              <w:left w:w="100" w:type="dxa"/>
              <w:bottom w:w="70" w:type="dxa"/>
              <w:right w:w="100" w:type="dxa"/>
            </w:tcMar>
          </w:tcPr>
          <w:p w14:paraId="128CA1C9" w14:textId="77777777" w:rsidR="00F67131" w:rsidRDefault="00000000">
            <w:pPr>
              <w:spacing w:before="40" w:after="40" w:line="240" w:lineRule="auto"/>
              <w:jc w:val="both"/>
            </w:pPr>
            <w:r>
              <w:rPr>
                <w:rFonts w:ascii="Times New Roman" w:hAnsi="Times New Roman"/>
                <w:color w:val="262626"/>
                <w:sz w:val="18"/>
              </w:rPr>
              <w:t>363.555</w:t>
            </w:r>
          </w:p>
        </w:tc>
        <w:tc>
          <w:tcPr>
            <w:tcW w:w="1008" w:type="dxa"/>
            <w:tcMar>
              <w:top w:w="70" w:type="dxa"/>
              <w:left w:w="100" w:type="dxa"/>
              <w:bottom w:w="70" w:type="dxa"/>
              <w:right w:w="100" w:type="dxa"/>
            </w:tcMar>
          </w:tcPr>
          <w:p w14:paraId="38275976" w14:textId="77777777" w:rsidR="00F67131" w:rsidRDefault="00000000">
            <w:pPr>
              <w:spacing w:before="40" w:after="40" w:line="240" w:lineRule="auto"/>
              <w:jc w:val="both"/>
            </w:pPr>
            <w:r>
              <w:rPr>
                <w:rFonts w:ascii="Times New Roman" w:hAnsi="Times New Roman"/>
                <w:color w:val="262626"/>
                <w:sz w:val="18"/>
              </w:rPr>
              <w:t>460.574</w:t>
            </w:r>
          </w:p>
        </w:tc>
        <w:tc>
          <w:tcPr>
            <w:tcW w:w="1008" w:type="dxa"/>
            <w:tcMar>
              <w:top w:w="70" w:type="dxa"/>
              <w:left w:w="100" w:type="dxa"/>
              <w:bottom w:w="70" w:type="dxa"/>
              <w:right w:w="100" w:type="dxa"/>
            </w:tcMar>
          </w:tcPr>
          <w:p w14:paraId="589FDB9B" w14:textId="77777777" w:rsidR="00F67131" w:rsidRDefault="00000000">
            <w:pPr>
              <w:spacing w:before="40" w:after="40" w:line="240" w:lineRule="auto"/>
              <w:jc w:val="both"/>
            </w:pPr>
            <w:r>
              <w:rPr>
                <w:rFonts w:ascii="Times New Roman" w:hAnsi="Times New Roman"/>
                <w:color w:val="262626"/>
                <w:sz w:val="18"/>
              </w:rPr>
              <w:t>611.049</w:t>
            </w:r>
          </w:p>
        </w:tc>
        <w:tc>
          <w:tcPr>
            <w:tcW w:w="1008" w:type="dxa"/>
            <w:tcMar>
              <w:top w:w="70" w:type="dxa"/>
              <w:left w:w="100" w:type="dxa"/>
              <w:bottom w:w="70" w:type="dxa"/>
              <w:right w:w="100" w:type="dxa"/>
            </w:tcMar>
          </w:tcPr>
          <w:p w14:paraId="07B8BE0D" w14:textId="77777777" w:rsidR="00F67131" w:rsidRDefault="00000000">
            <w:pPr>
              <w:spacing w:before="40" w:after="40" w:line="240" w:lineRule="auto"/>
              <w:jc w:val="both"/>
            </w:pPr>
            <w:r>
              <w:rPr>
                <w:rFonts w:ascii="Times New Roman" w:hAnsi="Times New Roman"/>
                <w:color w:val="262626"/>
                <w:sz w:val="18"/>
              </w:rPr>
              <w:t>776.658</w:t>
            </w:r>
          </w:p>
        </w:tc>
        <w:tc>
          <w:tcPr>
            <w:tcW w:w="1008" w:type="dxa"/>
            <w:tcMar>
              <w:top w:w="70" w:type="dxa"/>
              <w:left w:w="100" w:type="dxa"/>
              <w:bottom w:w="70" w:type="dxa"/>
              <w:right w:w="100" w:type="dxa"/>
            </w:tcMar>
          </w:tcPr>
          <w:p w14:paraId="555FAC0C" w14:textId="77777777" w:rsidR="00F67131" w:rsidRDefault="00000000">
            <w:pPr>
              <w:spacing w:before="40" w:after="40" w:line="240" w:lineRule="auto"/>
              <w:jc w:val="both"/>
            </w:pPr>
            <w:r>
              <w:rPr>
                <w:rFonts w:ascii="Times New Roman" w:hAnsi="Times New Roman"/>
                <w:color w:val="262626"/>
                <w:sz w:val="18"/>
              </w:rPr>
              <w:t>1.084.019</w:t>
            </w:r>
          </w:p>
        </w:tc>
      </w:tr>
      <w:tr w:rsidR="00F67131" w14:paraId="4BCD18A0" w14:textId="77777777">
        <w:trPr>
          <w:cantSplit/>
          <w:jc w:val="center"/>
        </w:trPr>
        <w:tc>
          <w:tcPr>
            <w:tcW w:w="3456" w:type="dxa"/>
            <w:tcMar>
              <w:top w:w="70" w:type="dxa"/>
              <w:left w:w="100" w:type="dxa"/>
              <w:bottom w:w="70" w:type="dxa"/>
              <w:right w:w="100" w:type="dxa"/>
            </w:tcMar>
          </w:tcPr>
          <w:p w14:paraId="1C949423" w14:textId="77777777" w:rsidR="00F67131" w:rsidRDefault="00000000">
            <w:pPr>
              <w:spacing w:before="40" w:after="40" w:line="240" w:lineRule="auto"/>
              <w:jc w:val="both"/>
            </w:pPr>
            <w:r>
              <w:rPr>
                <w:rFonts w:ascii="Times New Roman" w:hAnsi="Times New Roman"/>
                <w:color w:val="262626"/>
                <w:sz w:val="18"/>
              </w:rPr>
              <w:t>MB: Tăng trưởng dư nợ (%)</w:t>
            </w:r>
          </w:p>
        </w:tc>
        <w:tc>
          <w:tcPr>
            <w:tcW w:w="1008" w:type="dxa"/>
            <w:tcMar>
              <w:top w:w="70" w:type="dxa"/>
              <w:left w:w="100" w:type="dxa"/>
              <w:bottom w:w="70" w:type="dxa"/>
              <w:right w:w="100" w:type="dxa"/>
            </w:tcMar>
          </w:tcPr>
          <w:p w14:paraId="0B03D032" w14:textId="77777777" w:rsidR="00F67131" w:rsidRDefault="00000000">
            <w:pPr>
              <w:spacing w:before="40" w:after="40" w:line="240" w:lineRule="auto"/>
              <w:jc w:val="both"/>
            </w:pPr>
            <w:r>
              <w:rPr>
                <w:rFonts w:ascii="Times New Roman" w:hAnsi="Times New Roman"/>
                <w:color w:val="262626"/>
                <w:sz w:val="18"/>
              </w:rPr>
              <w:t>19,2%</w:t>
            </w:r>
          </w:p>
        </w:tc>
        <w:tc>
          <w:tcPr>
            <w:tcW w:w="1008" w:type="dxa"/>
            <w:tcMar>
              <w:top w:w="70" w:type="dxa"/>
              <w:left w:w="100" w:type="dxa"/>
              <w:bottom w:w="70" w:type="dxa"/>
              <w:right w:w="100" w:type="dxa"/>
            </w:tcMar>
          </w:tcPr>
          <w:p w14:paraId="2C56BA99" w14:textId="77777777" w:rsidR="00F67131" w:rsidRDefault="00000000">
            <w:pPr>
              <w:spacing w:before="40" w:after="40" w:line="240" w:lineRule="auto"/>
              <w:jc w:val="both"/>
            </w:pPr>
            <w:r>
              <w:rPr>
                <w:rFonts w:ascii="Times New Roman" w:hAnsi="Times New Roman"/>
                <w:color w:val="262626"/>
                <w:sz w:val="18"/>
              </w:rPr>
              <w:t>21,9%</w:t>
            </w:r>
          </w:p>
        </w:tc>
        <w:tc>
          <w:tcPr>
            <w:tcW w:w="1008" w:type="dxa"/>
            <w:tcMar>
              <w:top w:w="70" w:type="dxa"/>
              <w:left w:w="100" w:type="dxa"/>
              <w:bottom w:w="70" w:type="dxa"/>
              <w:right w:w="100" w:type="dxa"/>
            </w:tcMar>
          </w:tcPr>
          <w:p w14:paraId="16414E69" w14:textId="77777777" w:rsidR="00F67131" w:rsidRDefault="00000000">
            <w:pPr>
              <w:spacing w:before="40" w:after="40" w:line="240" w:lineRule="auto"/>
              <w:jc w:val="both"/>
            </w:pPr>
            <w:r>
              <w:rPr>
                <w:rFonts w:ascii="Times New Roman" w:hAnsi="Times New Roman"/>
                <w:color w:val="262626"/>
                <w:sz w:val="18"/>
              </w:rPr>
              <w:t>26,7%</w:t>
            </w:r>
          </w:p>
        </w:tc>
        <w:tc>
          <w:tcPr>
            <w:tcW w:w="1008" w:type="dxa"/>
            <w:tcMar>
              <w:top w:w="70" w:type="dxa"/>
              <w:left w:w="100" w:type="dxa"/>
              <w:bottom w:w="70" w:type="dxa"/>
              <w:right w:w="100" w:type="dxa"/>
            </w:tcMar>
          </w:tcPr>
          <w:p w14:paraId="6269C8EA" w14:textId="77777777" w:rsidR="00F67131" w:rsidRDefault="00000000">
            <w:pPr>
              <w:spacing w:before="40" w:after="40" w:line="240" w:lineRule="auto"/>
              <w:jc w:val="both"/>
            </w:pPr>
            <w:r>
              <w:rPr>
                <w:rFonts w:ascii="Times New Roman" w:hAnsi="Times New Roman"/>
                <w:color w:val="262626"/>
                <w:sz w:val="18"/>
              </w:rPr>
              <w:t>32,7%</w:t>
            </w:r>
          </w:p>
        </w:tc>
        <w:tc>
          <w:tcPr>
            <w:tcW w:w="1008" w:type="dxa"/>
            <w:tcMar>
              <w:top w:w="70" w:type="dxa"/>
              <w:left w:w="100" w:type="dxa"/>
              <w:bottom w:w="70" w:type="dxa"/>
              <w:right w:w="100" w:type="dxa"/>
            </w:tcMar>
          </w:tcPr>
          <w:p w14:paraId="0F4DB0BF" w14:textId="77777777" w:rsidR="00F67131" w:rsidRDefault="00000000">
            <w:pPr>
              <w:spacing w:before="40" w:after="40" w:line="240" w:lineRule="auto"/>
              <w:jc w:val="both"/>
            </w:pPr>
            <w:r>
              <w:rPr>
                <w:rFonts w:ascii="Times New Roman" w:hAnsi="Times New Roman"/>
                <w:color w:val="262626"/>
                <w:sz w:val="18"/>
              </w:rPr>
              <w:t>27,1%</w:t>
            </w:r>
          </w:p>
        </w:tc>
        <w:tc>
          <w:tcPr>
            <w:tcW w:w="1008" w:type="dxa"/>
            <w:tcMar>
              <w:top w:w="70" w:type="dxa"/>
              <w:left w:w="100" w:type="dxa"/>
              <w:bottom w:w="70" w:type="dxa"/>
              <w:right w:w="100" w:type="dxa"/>
            </w:tcMar>
          </w:tcPr>
          <w:p w14:paraId="32824CE7" w14:textId="77777777" w:rsidR="00F67131" w:rsidRDefault="00000000">
            <w:pPr>
              <w:spacing w:before="40" w:after="40" w:line="240" w:lineRule="auto"/>
              <w:jc w:val="both"/>
            </w:pPr>
            <w:r>
              <w:rPr>
                <w:rFonts w:ascii="Times New Roman" w:hAnsi="Times New Roman"/>
                <w:color w:val="262626"/>
                <w:sz w:val="18"/>
              </w:rPr>
              <w:t>39,6%</w:t>
            </w:r>
          </w:p>
        </w:tc>
      </w:tr>
      <w:tr w:rsidR="00F67131" w14:paraId="2EB83A4B" w14:textId="77777777">
        <w:trPr>
          <w:cantSplit/>
          <w:jc w:val="center"/>
        </w:trPr>
        <w:tc>
          <w:tcPr>
            <w:tcW w:w="3456" w:type="dxa"/>
            <w:tcMar>
              <w:top w:w="70" w:type="dxa"/>
              <w:left w:w="100" w:type="dxa"/>
              <w:bottom w:w="70" w:type="dxa"/>
              <w:right w:w="100" w:type="dxa"/>
            </w:tcMar>
          </w:tcPr>
          <w:p w14:paraId="1636A2BF" w14:textId="77777777" w:rsidR="00F67131" w:rsidRDefault="00000000">
            <w:pPr>
              <w:spacing w:before="40" w:after="40" w:line="240" w:lineRule="auto"/>
              <w:jc w:val="both"/>
            </w:pPr>
            <w:r>
              <w:rPr>
                <w:rFonts w:ascii="Times New Roman" w:hAnsi="Times New Roman"/>
                <w:color w:val="262626"/>
                <w:sz w:val="18"/>
              </w:rPr>
              <w:t>MB: Nợ xấu hợp nhất Nhóm 3–5 (TM 10.1/9.1)</w:t>
            </w:r>
          </w:p>
        </w:tc>
        <w:tc>
          <w:tcPr>
            <w:tcW w:w="1008" w:type="dxa"/>
            <w:tcMar>
              <w:top w:w="70" w:type="dxa"/>
              <w:left w:w="100" w:type="dxa"/>
              <w:bottom w:w="70" w:type="dxa"/>
              <w:right w:w="100" w:type="dxa"/>
            </w:tcMar>
          </w:tcPr>
          <w:p w14:paraId="490E2D16" w14:textId="77777777" w:rsidR="00F67131" w:rsidRDefault="00000000">
            <w:pPr>
              <w:spacing w:before="40" w:after="40" w:line="240" w:lineRule="auto"/>
              <w:jc w:val="both"/>
            </w:pPr>
            <w:r>
              <w:rPr>
                <w:rFonts w:ascii="Times New Roman" w:hAnsi="Times New Roman"/>
                <w:color w:val="262626"/>
                <w:sz w:val="18"/>
              </w:rPr>
              <w:t>3.248</w:t>
            </w:r>
          </w:p>
        </w:tc>
        <w:tc>
          <w:tcPr>
            <w:tcW w:w="1008" w:type="dxa"/>
            <w:tcMar>
              <w:top w:w="70" w:type="dxa"/>
              <w:left w:w="100" w:type="dxa"/>
              <w:bottom w:w="70" w:type="dxa"/>
              <w:right w:w="100" w:type="dxa"/>
            </w:tcMar>
          </w:tcPr>
          <w:p w14:paraId="3FE48B92" w14:textId="77777777" w:rsidR="00F67131" w:rsidRDefault="00000000">
            <w:pPr>
              <w:spacing w:before="40" w:after="40" w:line="240" w:lineRule="auto"/>
              <w:jc w:val="both"/>
            </w:pPr>
            <w:r>
              <w:rPr>
                <w:rFonts w:ascii="Times New Roman" w:hAnsi="Times New Roman"/>
                <w:color w:val="262626"/>
                <w:sz w:val="18"/>
              </w:rPr>
              <w:t>3.268</w:t>
            </w:r>
          </w:p>
        </w:tc>
        <w:tc>
          <w:tcPr>
            <w:tcW w:w="1008" w:type="dxa"/>
            <w:tcMar>
              <w:top w:w="70" w:type="dxa"/>
              <w:left w:w="100" w:type="dxa"/>
              <w:bottom w:w="70" w:type="dxa"/>
              <w:right w:w="100" w:type="dxa"/>
            </w:tcMar>
          </w:tcPr>
          <w:p w14:paraId="3DCB2D11" w14:textId="77777777" w:rsidR="00F67131" w:rsidRDefault="00000000">
            <w:pPr>
              <w:spacing w:before="40" w:after="40" w:line="240" w:lineRule="auto"/>
              <w:jc w:val="both"/>
            </w:pPr>
            <w:r>
              <w:rPr>
                <w:rFonts w:ascii="Times New Roman" w:hAnsi="Times New Roman"/>
                <w:color w:val="262626"/>
                <w:sz w:val="18"/>
              </w:rPr>
              <w:t>5.031</w:t>
            </w:r>
          </w:p>
        </w:tc>
        <w:tc>
          <w:tcPr>
            <w:tcW w:w="1008" w:type="dxa"/>
            <w:tcMar>
              <w:top w:w="70" w:type="dxa"/>
              <w:left w:w="100" w:type="dxa"/>
              <w:bottom w:w="70" w:type="dxa"/>
              <w:right w:w="100" w:type="dxa"/>
            </w:tcMar>
          </w:tcPr>
          <w:p w14:paraId="368CB487" w14:textId="77777777" w:rsidR="00F67131" w:rsidRDefault="00000000">
            <w:pPr>
              <w:spacing w:before="40" w:after="40" w:line="240" w:lineRule="auto"/>
              <w:jc w:val="both"/>
            </w:pPr>
            <w:r>
              <w:rPr>
                <w:rFonts w:ascii="Times New Roman" w:hAnsi="Times New Roman"/>
                <w:color w:val="262626"/>
                <w:sz w:val="18"/>
              </w:rPr>
              <w:t>9.805</w:t>
            </w:r>
          </w:p>
        </w:tc>
        <w:tc>
          <w:tcPr>
            <w:tcW w:w="1008" w:type="dxa"/>
            <w:tcMar>
              <w:top w:w="70" w:type="dxa"/>
              <w:left w:w="100" w:type="dxa"/>
              <w:bottom w:w="70" w:type="dxa"/>
              <w:right w:w="100" w:type="dxa"/>
            </w:tcMar>
          </w:tcPr>
          <w:p w14:paraId="4EF6603B" w14:textId="77777777" w:rsidR="00F67131" w:rsidRDefault="00000000">
            <w:pPr>
              <w:spacing w:before="40" w:after="40" w:line="240" w:lineRule="auto"/>
              <w:jc w:val="both"/>
            </w:pPr>
            <w:r>
              <w:rPr>
                <w:rFonts w:ascii="Times New Roman" w:hAnsi="Times New Roman"/>
                <w:color w:val="262626"/>
                <w:sz w:val="18"/>
              </w:rPr>
              <w:t>12.585</w:t>
            </w:r>
          </w:p>
        </w:tc>
        <w:tc>
          <w:tcPr>
            <w:tcW w:w="1008" w:type="dxa"/>
            <w:tcMar>
              <w:top w:w="70" w:type="dxa"/>
              <w:left w:w="100" w:type="dxa"/>
              <w:bottom w:w="70" w:type="dxa"/>
              <w:right w:w="100" w:type="dxa"/>
            </w:tcMar>
          </w:tcPr>
          <w:p w14:paraId="5CD69252" w14:textId="77777777" w:rsidR="00F67131" w:rsidRDefault="00000000">
            <w:pPr>
              <w:spacing w:before="40" w:after="40" w:line="240" w:lineRule="auto"/>
              <w:jc w:val="both"/>
            </w:pPr>
            <w:r>
              <w:rPr>
                <w:rFonts w:ascii="Times New Roman" w:hAnsi="Times New Roman"/>
                <w:color w:val="262626"/>
                <w:sz w:val="18"/>
              </w:rPr>
              <w:t>14.027</w:t>
            </w:r>
          </w:p>
        </w:tc>
      </w:tr>
      <w:tr w:rsidR="00F67131" w14:paraId="426B6FA3" w14:textId="77777777">
        <w:trPr>
          <w:cantSplit/>
          <w:jc w:val="center"/>
        </w:trPr>
        <w:tc>
          <w:tcPr>
            <w:tcW w:w="3456" w:type="dxa"/>
            <w:tcMar>
              <w:top w:w="70" w:type="dxa"/>
              <w:left w:w="100" w:type="dxa"/>
              <w:bottom w:w="70" w:type="dxa"/>
              <w:right w:w="100" w:type="dxa"/>
            </w:tcMar>
          </w:tcPr>
          <w:p w14:paraId="6CA1154D" w14:textId="77777777" w:rsidR="00F67131" w:rsidRDefault="00000000">
            <w:pPr>
              <w:spacing w:before="40" w:after="40" w:line="240" w:lineRule="auto"/>
              <w:jc w:val="both"/>
            </w:pPr>
            <w:r>
              <w:rPr>
                <w:rFonts w:ascii="Times New Roman" w:hAnsi="Times New Roman"/>
                <w:b/>
                <w:color w:val="262626"/>
                <w:sz w:val="18"/>
              </w:rPr>
              <w:t>MB: NPL hợp nhất (%)</w:t>
            </w:r>
          </w:p>
        </w:tc>
        <w:tc>
          <w:tcPr>
            <w:tcW w:w="1008" w:type="dxa"/>
            <w:tcMar>
              <w:top w:w="70" w:type="dxa"/>
              <w:left w:w="100" w:type="dxa"/>
              <w:bottom w:w="70" w:type="dxa"/>
              <w:right w:w="100" w:type="dxa"/>
            </w:tcMar>
          </w:tcPr>
          <w:p w14:paraId="7ABB24CE" w14:textId="77777777" w:rsidR="00F67131" w:rsidRDefault="00000000">
            <w:pPr>
              <w:spacing w:before="40" w:after="40" w:line="240" w:lineRule="auto"/>
              <w:jc w:val="both"/>
            </w:pPr>
            <w:r>
              <w:rPr>
                <w:rFonts w:ascii="Times New Roman" w:hAnsi="Times New Roman"/>
                <w:color w:val="262626"/>
                <w:sz w:val="18"/>
              </w:rPr>
              <w:t>1,09%</w:t>
            </w:r>
          </w:p>
        </w:tc>
        <w:tc>
          <w:tcPr>
            <w:tcW w:w="1008" w:type="dxa"/>
            <w:tcMar>
              <w:top w:w="70" w:type="dxa"/>
              <w:left w:w="100" w:type="dxa"/>
              <w:bottom w:w="70" w:type="dxa"/>
              <w:right w:w="100" w:type="dxa"/>
            </w:tcMar>
          </w:tcPr>
          <w:p w14:paraId="787FDA29" w14:textId="77777777" w:rsidR="00F67131" w:rsidRDefault="00000000">
            <w:pPr>
              <w:spacing w:before="40" w:after="40" w:line="240" w:lineRule="auto"/>
              <w:jc w:val="both"/>
            </w:pPr>
            <w:r>
              <w:rPr>
                <w:rFonts w:ascii="Times New Roman" w:hAnsi="Times New Roman"/>
                <w:color w:val="262626"/>
                <w:sz w:val="18"/>
              </w:rPr>
              <w:t>0,90%</w:t>
            </w:r>
          </w:p>
        </w:tc>
        <w:tc>
          <w:tcPr>
            <w:tcW w:w="1008" w:type="dxa"/>
            <w:tcMar>
              <w:top w:w="70" w:type="dxa"/>
              <w:left w:w="100" w:type="dxa"/>
              <w:bottom w:w="70" w:type="dxa"/>
              <w:right w:w="100" w:type="dxa"/>
            </w:tcMar>
          </w:tcPr>
          <w:p w14:paraId="5BE14350" w14:textId="77777777" w:rsidR="00F67131" w:rsidRDefault="00000000">
            <w:pPr>
              <w:spacing w:before="40" w:after="40" w:line="240" w:lineRule="auto"/>
              <w:jc w:val="both"/>
            </w:pPr>
            <w:r>
              <w:rPr>
                <w:rFonts w:ascii="Times New Roman" w:hAnsi="Times New Roman"/>
                <w:color w:val="262626"/>
                <w:sz w:val="18"/>
              </w:rPr>
              <w:t>1,09%</w:t>
            </w:r>
          </w:p>
        </w:tc>
        <w:tc>
          <w:tcPr>
            <w:tcW w:w="1008" w:type="dxa"/>
            <w:tcMar>
              <w:top w:w="70" w:type="dxa"/>
              <w:left w:w="100" w:type="dxa"/>
              <w:bottom w:w="70" w:type="dxa"/>
              <w:right w:w="100" w:type="dxa"/>
            </w:tcMar>
          </w:tcPr>
          <w:p w14:paraId="6BE04DF8" w14:textId="77777777" w:rsidR="00F67131" w:rsidRDefault="00000000">
            <w:pPr>
              <w:spacing w:before="40" w:after="40" w:line="240" w:lineRule="auto"/>
              <w:jc w:val="both"/>
            </w:pPr>
            <w:r>
              <w:rPr>
                <w:rFonts w:ascii="Times New Roman" w:hAnsi="Times New Roman"/>
                <w:color w:val="262626"/>
                <w:sz w:val="18"/>
              </w:rPr>
              <w:t>1,60%</w:t>
            </w:r>
          </w:p>
        </w:tc>
        <w:tc>
          <w:tcPr>
            <w:tcW w:w="1008" w:type="dxa"/>
            <w:tcMar>
              <w:top w:w="70" w:type="dxa"/>
              <w:left w:w="100" w:type="dxa"/>
              <w:bottom w:w="70" w:type="dxa"/>
              <w:right w:w="100" w:type="dxa"/>
            </w:tcMar>
          </w:tcPr>
          <w:p w14:paraId="171C113E" w14:textId="77777777" w:rsidR="00F67131" w:rsidRDefault="00000000">
            <w:pPr>
              <w:spacing w:before="40" w:after="40" w:line="240" w:lineRule="auto"/>
              <w:jc w:val="both"/>
            </w:pPr>
            <w:r>
              <w:rPr>
                <w:rFonts w:ascii="Times New Roman" w:hAnsi="Times New Roman"/>
                <w:color w:val="262626"/>
                <w:sz w:val="18"/>
              </w:rPr>
              <w:t>1,62%</w:t>
            </w:r>
          </w:p>
        </w:tc>
        <w:tc>
          <w:tcPr>
            <w:tcW w:w="1008" w:type="dxa"/>
            <w:tcMar>
              <w:top w:w="70" w:type="dxa"/>
              <w:left w:w="100" w:type="dxa"/>
              <w:bottom w:w="70" w:type="dxa"/>
              <w:right w:w="100" w:type="dxa"/>
            </w:tcMar>
          </w:tcPr>
          <w:p w14:paraId="2ACE2B9A" w14:textId="77777777" w:rsidR="00F67131" w:rsidRDefault="00000000">
            <w:pPr>
              <w:spacing w:before="40" w:after="40" w:line="240" w:lineRule="auto"/>
              <w:jc w:val="both"/>
            </w:pPr>
            <w:r>
              <w:rPr>
                <w:rFonts w:ascii="Times New Roman" w:hAnsi="Times New Roman"/>
                <w:color w:val="262626"/>
                <w:sz w:val="18"/>
              </w:rPr>
              <w:t>1,29%</w:t>
            </w:r>
          </w:p>
        </w:tc>
      </w:tr>
      <w:tr w:rsidR="00F67131" w14:paraId="362FB77B" w14:textId="77777777">
        <w:trPr>
          <w:cantSplit/>
          <w:jc w:val="center"/>
        </w:trPr>
        <w:tc>
          <w:tcPr>
            <w:tcW w:w="3456" w:type="dxa"/>
            <w:tcMar>
              <w:top w:w="70" w:type="dxa"/>
              <w:left w:w="100" w:type="dxa"/>
              <w:bottom w:w="70" w:type="dxa"/>
              <w:right w:w="100" w:type="dxa"/>
            </w:tcMar>
          </w:tcPr>
          <w:p w14:paraId="2EA69F00" w14:textId="77777777" w:rsidR="00F67131" w:rsidRDefault="00000000">
            <w:pPr>
              <w:spacing w:before="40" w:after="40" w:line="240" w:lineRule="auto"/>
              <w:jc w:val="both"/>
            </w:pPr>
            <w:r>
              <w:rPr>
                <w:rFonts w:ascii="Times New Roman" w:hAnsi="Times New Roman"/>
                <w:b/>
                <w:color w:val="262626"/>
                <w:sz w:val="18"/>
              </w:rPr>
              <w:t>MB: NPL riêng ngân hàng mẹ (%)</w:t>
            </w:r>
          </w:p>
        </w:tc>
        <w:tc>
          <w:tcPr>
            <w:tcW w:w="1008" w:type="dxa"/>
            <w:tcMar>
              <w:top w:w="70" w:type="dxa"/>
              <w:left w:w="100" w:type="dxa"/>
              <w:bottom w:w="70" w:type="dxa"/>
              <w:right w:w="100" w:type="dxa"/>
            </w:tcMar>
          </w:tcPr>
          <w:p w14:paraId="492E9439" w14:textId="77777777" w:rsidR="00F67131" w:rsidRDefault="00000000">
            <w:pPr>
              <w:spacing w:before="40" w:after="40" w:line="240" w:lineRule="auto"/>
              <w:jc w:val="both"/>
            </w:pPr>
            <w:r>
              <w:rPr>
                <w:rFonts w:ascii="Times New Roman" w:hAnsi="Times New Roman"/>
                <w:color w:val="262626"/>
                <w:sz w:val="18"/>
              </w:rPr>
              <w:t>0,92%</w:t>
            </w:r>
          </w:p>
        </w:tc>
        <w:tc>
          <w:tcPr>
            <w:tcW w:w="1008" w:type="dxa"/>
            <w:tcMar>
              <w:top w:w="70" w:type="dxa"/>
              <w:left w:w="100" w:type="dxa"/>
              <w:bottom w:w="70" w:type="dxa"/>
              <w:right w:w="100" w:type="dxa"/>
            </w:tcMar>
          </w:tcPr>
          <w:p w14:paraId="1AF924A7" w14:textId="77777777" w:rsidR="00F67131" w:rsidRDefault="00000000">
            <w:pPr>
              <w:spacing w:before="40" w:after="40" w:line="240" w:lineRule="auto"/>
              <w:jc w:val="both"/>
            </w:pPr>
            <w:r>
              <w:rPr>
                <w:rFonts w:ascii="Times New Roman" w:hAnsi="Times New Roman"/>
                <w:color w:val="262626"/>
                <w:sz w:val="18"/>
              </w:rPr>
              <w:t>0,68%</w:t>
            </w:r>
          </w:p>
        </w:tc>
        <w:tc>
          <w:tcPr>
            <w:tcW w:w="1008" w:type="dxa"/>
            <w:tcMar>
              <w:top w:w="70" w:type="dxa"/>
              <w:left w:w="100" w:type="dxa"/>
              <w:bottom w:w="70" w:type="dxa"/>
              <w:right w:w="100" w:type="dxa"/>
            </w:tcMar>
          </w:tcPr>
          <w:p w14:paraId="62FFDB41" w14:textId="77777777" w:rsidR="00F67131" w:rsidRDefault="00000000">
            <w:pPr>
              <w:spacing w:before="40" w:after="40" w:line="240" w:lineRule="auto"/>
              <w:jc w:val="both"/>
            </w:pPr>
            <w:r>
              <w:rPr>
                <w:rFonts w:ascii="Times New Roman" w:hAnsi="Times New Roman"/>
                <w:color w:val="262626"/>
                <w:sz w:val="18"/>
              </w:rPr>
              <w:t>0,83%</w:t>
            </w:r>
          </w:p>
        </w:tc>
        <w:tc>
          <w:tcPr>
            <w:tcW w:w="1008" w:type="dxa"/>
            <w:tcMar>
              <w:top w:w="70" w:type="dxa"/>
              <w:left w:w="100" w:type="dxa"/>
              <w:bottom w:w="70" w:type="dxa"/>
              <w:right w:w="100" w:type="dxa"/>
            </w:tcMar>
          </w:tcPr>
          <w:p w14:paraId="0C8B3C7C" w14:textId="77777777" w:rsidR="00F67131" w:rsidRDefault="00000000">
            <w:pPr>
              <w:spacing w:before="40" w:after="40" w:line="240" w:lineRule="auto"/>
              <w:jc w:val="both"/>
            </w:pPr>
            <w:r>
              <w:rPr>
                <w:rFonts w:ascii="Times New Roman" w:hAnsi="Times New Roman"/>
                <w:color w:val="262626"/>
                <w:sz w:val="18"/>
              </w:rPr>
              <w:t>1,41%</w:t>
            </w:r>
          </w:p>
        </w:tc>
        <w:tc>
          <w:tcPr>
            <w:tcW w:w="1008" w:type="dxa"/>
            <w:tcMar>
              <w:top w:w="70" w:type="dxa"/>
              <w:left w:w="100" w:type="dxa"/>
              <w:bottom w:w="70" w:type="dxa"/>
              <w:right w:w="100" w:type="dxa"/>
            </w:tcMar>
          </w:tcPr>
          <w:p w14:paraId="549C1BCA" w14:textId="77777777" w:rsidR="00F67131" w:rsidRDefault="00000000">
            <w:pPr>
              <w:spacing w:before="40" w:after="40" w:line="240" w:lineRule="auto"/>
              <w:jc w:val="both"/>
            </w:pPr>
            <w:r>
              <w:rPr>
                <w:rFonts w:ascii="Times New Roman" w:hAnsi="Times New Roman"/>
                <w:color w:val="262626"/>
                <w:sz w:val="18"/>
              </w:rPr>
              <w:t>1,43%</w:t>
            </w:r>
          </w:p>
        </w:tc>
        <w:tc>
          <w:tcPr>
            <w:tcW w:w="1008" w:type="dxa"/>
            <w:tcMar>
              <w:top w:w="70" w:type="dxa"/>
              <w:left w:w="100" w:type="dxa"/>
              <w:bottom w:w="70" w:type="dxa"/>
              <w:right w:w="100" w:type="dxa"/>
            </w:tcMar>
          </w:tcPr>
          <w:p w14:paraId="03E2FDD0" w14:textId="77777777" w:rsidR="00F67131" w:rsidRDefault="00000000">
            <w:pPr>
              <w:spacing w:before="40" w:after="40" w:line="240" w:lineRule="auto"/>
              <w:jc w:val="both"/>
            </w:pPr>
            <w:r>
              <w:rPr>
                <w:rFonts w:ascii="Times New Roman" w:hAnsi="Times New Roman"/>
                <w:color w:val="262626"/>
                <w:sz w:val="18"/>
              </w:rPr>
              <w:t>1,12%</w:t>
            </w:r>
          </w:p>
        </w:tc>
      </w:tr>
      <w:tr w:rsidR="00F67131" w14:paraId="0C27A179" w14:textId="77777777">
        <w:trPr>
          <w:cantSplit/>
          <w:jc w:val="center"/>
        </w:trPr>
        <w:tc>
          <w:tcPr>
            <w:tcW w:w="3456" w:type="dxa"/>
            <w:tcMar>
              <w:top w:w="70" w:type="dxa"/>
              <w:left w:w="100" w:type="dxa"/>
              <w:bottom w:w="70" w:type="dxa"/>
              <w:right w:w="100" w:type="dxa"/>
            </w:tcMar>
          </w:tcPr>
          <w:p w14:paraId="5F9EB5E2" w14:textId="77777777" w:rsidR="00F67131" w:rsidRDefault="00000000">
            <w:pPr>
              <w:spacing w:before="40" w:after="40" w:line="240" w:lineRule="auto"/>
              <w:jc w:val="both"/>
            </w:pPr>
            <w:r>
              <w:rPr>
                <w:rFonts w:ascii="Times New Roman" w:hAnsi="Times New Roman"/>
                <w:b/>
                <w:color w:val="262626"/>
                <w:sz w:val="18"/>
              </w:rPr>
              <w:lastRenderedPageBreak/>
              <w:t>Chênh lệch NPL cùng cơ sở (Agribank TM 9 − MB HN, điểm %)</w:t>
            </w:r>
          </w:p>
        </w:tc>
        <w:tc>
          <w:tcPr>
            <w:tcW w:w="1008" w:type="dxa"/>
            <w:tcMar>
              <w:top w:w="70" w:type="dxa"/>
              <w:left w:w="100" w:type="dxa"/>
              <w:bottom w:w="70" w:type="dxa"/>
              <w:right w:w="100" w:type="dxa"/>
            </w:tcMar>
          </w:tcPr>
          <w:p w14:paraId="66B494E3" w14:textId="77777777" w:rsidR="00F67131" w:rsidRDefault="00000000">
            <w:pPr>
              <w:spacing w:before="40" w:after="40" w:line="240" w:lineRule="auto"/>
              <w:jc w:val="both"/>
            </w:pPr>
            <w:r>
              <w:rPr>
                <w:rFonts w:ascii="Times New Roman" w:hAnsi="Times New Roman"/>
                <w:color w:val="262626"/>
                <w:sz w:val="18"/>
              </w:rPr>
              <w:t>+0,68</w:t>
            </w:r>
          </w:p>
        </w:tc>
        <w:tc>
          <w:tcPr>
            <w:tcW w:w="1008" w:type="dxa"/>
            <w:tcMar>
              <w:top w:w="70" w:type="dxa"/>
              <w:left w:w="100" w:type="dxa"/>
              <w:bottom w:w="70" w:type="dxa"/>
              <w:right w:w="100" w:type="dxa"/>
            </w:tcMar>
          </w:tcPr>
          <w:p w14:paraId="38C0B6FC" w14:textId="77777777" w:rsidR="00F67131" w:rsidRDefault="00000000">
            <w:pPr>
              <w:spacing w:before="40" w:after="40" w:line="240" w:lineRule="auto"/>
              <w:jc w:val="both"/>
            </w:pPr>
            <w:r>
              <w:rPr>
                <w:rFonts w:ascii="Times New Roman" w:hAnsi="Times New Roman"/>
                <w:color w:val="262626"/>
                <w:sz w:val="18"/>
              </w:rPr>
              <w:t>+0,97</w:t>
            </w:r>
          </w:p>
        </w:tc>
        <w:tc>
          <w:tcPr>
            <w:tcW w:w="1008" w:type="dxa"/>
            <w:tcMar>
              <w:top w:w="70" w:type="dxa"/>
              <w:left w:w="100" w:type="dxa"/>
              <w:bottom w:w="70" w:type="dxa"/>
              <w:right w:w="100" w:type="dxa"/>
            </w:tcMar>
          </w:tcPr>
          <w:p w14:paraId="5438B850" w14:textId="77777777" w:rsidR="00F67131" w:rsidRDefault="00000000">
            <w:pPr>
              <w:spacing w:before="40" w:after="40" w:line="240" w:lineRule="auto"/>
              <w:jc w:val="both"/>
            </w:pPr>
            <w:r>
              <w:rPr>
                <w:rFonts w:ascii="Times New Roman" w:hAnsi="Times New Roman"/>
                <w:color w:val="262626"/>
                <w:sz w:val="18"/>
              </w:rPr>
              <w:t>+0,71</w:t>
            </w:r>
          </w:p>
        </w:tc>
        <w:tc>
          <w:tcPr>
            <w:tcW w:w="1008" w:type="dxa"/>
            <w:tcMar>
              <w:top w:w="70" w:type="dxa"/>
              <w:left w:w="100" w:type="dxa"/>
              <w:bottom w:w="70" w:type="dxa"/>
              <w:right w:w="100" w:type="dxa"/>
            </w:tcMar>
          </w:tcPr>
          <w:p w14:paraId="1F03BBF1" w14:textId="77777777" w:rsidR="00F67131" w:rsidRDefault="00000000">
            <w:pPr>
              <w:spacing w:before="40" w:after="40" w:line="240" w:lineRule="auto"/>
              <w:jc w:val="both"/>
            </w:pPr>
            <w:r>
              <w:rPr>
                <w:rFonts w:ascii="Times New Roman" w:hAnsi="Times New Roman"/>
                <w:color w:val="262626"/>
                <w:sz w:val="18"/>
              </w:rPr>
              <w:t>+0,25</w:t>
            </w:r>
          </w:p>
        </w:tc>
        <w:tc>
          <w:tcPr>
            <w:tcW w:w="1008" w:type="dxa"/>
            <w:tcMar>
              <w:top w:w="70" w:type="dxa"/>
              <w:left w:w="100" w:type="dxa"/>
              <w:bottom w:w="70" w:type="dxa"/>
              <w:right w:w="100" w:type="dxa"/>
            </w:tcMar>
          </w:tcPr>
          <w:p w14:paraId="6D4DCF16" w14:textId="77777777" w:rsidR="00F67131" w:rsidRDefault="00000000">
            <w:pPr>
              <w:spacing w:before="40" w:after="40" w:line="240" w:lineRule="auto"/>
              <w:jc w:val="both"/>
            </w:pPr>
            <w:r>
              <w:rPr>
                <w:rFonts w:ascii="Times New Roman" w:hAnsi="Times New Roman"/>
                <w:color w:val="262626"/>
                <w:sz w:val="18"/>
              </w:rPr>
              <w:t>+0,06</w:t>
            </w:r>
          </w:p>
        </w:tc>
        <w:tc>
          <w:tcPr>
            <w:tcW w:w="1008" w:type="dxa"/>
            <w:tcMar>
              <w:top w:w="70" w:type="dxa"/>
              <w:left w:w="100" w:type="dxa"/>
              <w:bottom w:w="70" w:type="dxa"/>
              <w:right w:w="100" w:type="dxa"/>
            </w:tcMar>
          </w:tcPr>
          <w:p w14:paraId="5D0E6438" w14:textId="77777777" w:rsidR="00F67131" w:rsidRDefault="00000000">
            <w:pPr>
              <w:spacing w:before="40" w:after="40" w:line="240" w:lineRule="auto"/>
              <w:jc w:val="both"/>
            </w:pPr>
            <w:r>
              <w:rPr>
                <w:rFonts w:ascii="Times New Roman" w:hAnsi="Times New Roman"/>
                <w:color w:val="262626"/>
                <w:sz w:val="18"/>
              </w:rPr>
              <w:t>+0,00</w:t>
            </w:r>
          </w:p>
        </w:tc>
      </w:tr>
    </w:tbl>
    <w:p w14:paraId="676A4C5D" w14:textId="77777777" w:rsidR="00F67131" w:rsidRDefault="00000000">
      <w:pPr>
        <w:spacing w:after="80" w:line="300" w:lineRule="auto"/>
        <w:jc w:val="both"/>
      </w:pPr>
      <w:r>
        <w:rPr>
          <w:rFonts w:ascii="Times New Roman" w:hAnsi="Times New Roman"/>
          <w:b/>
          <w:i/>
          <w:sz w:val="21"/>
        </w:rPr>
        <w:t xml:space="preserve">Nguồn: </w:t>
      </w:r>
      <w:r>
        <w:rPr>
          <w:rFonts w:ascii="Times New Roman" w:hAnsi="Times New Roman"/>
          <w:i/>
          <w:sz w:val="21"/>
        </w:rPr>
        <w:t>Trích xuất và tính toán từ Thuyết minh 9/10 BCTC hợp nhất kiểm toán, BCTC riêng lẻ kiểm toán và Báo cáo thường niên 2020–2025 của Agribank và MB (sheet BCTC_Agribank_Goc, BCTC_MB_Goc, Du_lieu và Chi_tieu).</w:t>
      </w:r>
    </w:p>
    <w:p>
      <w:pPr>
        <w:keepNext/>
        <w:spacing w:before="240" w:after="80"/>
        <w:jc w:val="center"/>
      </w:pPr>
      <w:r>
        <w:rPr>
          <w:rFonts w:ascii="Times New Roman" w:hAnsi="Times New Roman"/>
          <w:b/>
          <w:i w:val="0"/>
          <w:color w:val="002060"/>
          <w:sz w:val="21"/>
        </w:rPr>
        <w:t>Hình 1. Diễn biến tỷ lệ NPL và tỷ lệ nợ nhóm 2 của Agribank và MB (2020–2025)</w:t>
      </w:r>
    </w:p>
    <w:p>
      <w:pPr>
        <w:spacing w:before="80" w:after="80"/>
        <w:jc w:val="center"/>
      </w:pPr>
      <w:r>
        <w:drawing>
          <wp:inline xmlns:a="http://schemas.openxmlformats.org/drawingml/2006/main" xmlns:pic="http://schemas.openxmlformats.org/drawingml/2006/picture">
            <wp:extent cx="5669280" cy="3201476"/>
            <wp:docPr id="1" name="Picture 1"/>
            <wp:cNvGraphicFramePr>
              <a:graphicFrameLocks noChangeAspect="1"/>
            </wp:cNvGraphicFramePr>
            <a:graphic>
              <a:graphicData uri="http://schemas.openxmlformats.org/drawingml/2006/picture">
                <pic:pic>
                  <pic:nvPicPr>
                    <pic:cNvPr id="0" name="Hinh_1_NPL_va_Nhom_2.png"/>
                    <pic:cNvPicPr/>
                  </pic:nvPicPr>
                  <pic:blipFill>
                    <a:blip r:embed="rId9"/>
                    <a:stretch>
                      <a:fillRect/>
                    </a:stretch>
                  </pic:blipFill>
                  <pic:spPr>
                    <a:xfrm>
                      <a:off x="0" y="0"/>
                      <a:ext cx="5669280" cy="3201476"/>
                    </a:xfrm>
                    <a:prstGeom prst="rect"/>
                  </pic:spPr>
                </pic:pic>
              </a:graphicData>
            </a:graphic>
          </wp:inline>
        </w:drawing>
      </w:r>
    </w:p>
    <w:p>
      <w:pPr>
        <w:spacing w:before="40" w:after="200"/>
        <w:jc w:val="center"/>
      </w:pPr>
      <w:r>
        <w:rPr>
          <w:rFonts w:ascii="Times New Roman" w:hAnsi="Times New Roman"/>
          <w:b w:val="0"/>
          <w:i/>
          <w:color w:val="505050"/>
          <w:sz w:val="18"/>
        </w:rPr>
        <w:t>Nguồn: Tính toán và đồ thị hóa của nhóm tác giả từ Thuyết minh BCTC kiểm toán và Báo cáo thường niên 2020–2025.</w:t>
      </w:r>
    </w:p>
    <w:p>
      <w:pPr>
        <w:pStyle w:val="Heading2"/>
        <w:keepNext/>
        <w:spacing w:before="240" w:after="80"/>
        <w:outlineLvl w:val="1"/>
      </w:pPr>
      <w:r>
        <w:rPr>
          <w:rFonts w:ascii="Times New Roman" w:hAnsi="Times New Roman"/>
          <w:b/>
          <w:i w:val="0"/>
          <w:color w:val="0F4C81"/>
          <w:sz w:val="24"/>
        </w:rPr>
        <w:t>2.2. Phân rã biến động nợ xấu (NPL Decomposition): Lượng hóa hiệu ứng mẫu số và tử số</w:t>
      </w:r>
    </w:p>
    <w:p w14:paraId="29C81F6F" w14:textId="77777777" w:rsidR="00F67131" w:rsidRDefault="00000000">
      <w:pPr>
        <w:spacing w:after="80" w:line="300" w:lineRule="auto"/>
        <w:jc w:val="both"/>
      </w:pPr>
      <w:r>
        <w:rPr>
          <w:rFonts w:ascii="Times New Roman" w:hAnsi="Times New Roman"/>
          <w:color w:val="000000"/>
        </w:rPr>
        <w:t>So sánh cùng cơ sở và phân rã biến động NPL năm 2025: Như minh họa trực quan tại Hình 1, diễn biến tỷ lệ nợ xấu và nợ nhóm 2 giai đoạn 2020–2025 phản ánh hai chu kỳ chất lượng tài sản hoàn toàn khác nhau. Báo cáo thường niên của Agribank công bố NPL 2025 là 1,17%, thấp hơn mức 1,29% của MB. Tuy nhiên, tỷ lệ 1,17% của Agribank sử dụng mẫu số tổng dư nợ cấp tín dụng theo Thông tư 11/Thông tư 31, trong khi tỷ lệ 1,29% của MB được tính chuẩn xác bằng nợ nhóm 3–5 chia cho tổng dư nợ cho vay khách hàng hợp nhất. Khi tính toán lại trên cùng một cơ sở thống nhất từ Thuyết minh số 9 BCTC hợp nhất kiểm toán 2025, tỷ lệ NPL của Agribank là 1,30%, gần như hội tụ hoàn toàn với mức 1,29% của MB (chênh lệch dưới 0,01 điểm phần trăm). Vì vậy, các nhận định truyền thông cho rằng 'Agribank lần đầu tiên đưa tỷ lệ nợ xấu xuống thấp hơn MB' thực chất là kết quả của việc so sánh không cùng mẫu số kế toán. Để đánh giá thực chất mức độ suy giảm NPL đến từ sự cải thiện nội tại của chất lượng tài sản hay từ hiệu ứng mở rộng quy mô tín dụng, nghiên cứu thực hiện phân rã toán học (NPL Decomposition) biến động nợ xấu của cả hai ngân hàng năm 2025:</w:t>
      </w:r>
    </w:p>
    <w:p w14:paraId="7D6A9E57" w14:textId="77777777" w:rsidR="00F67131" w:rsidRDefault="00000000">
      <w:pPr>
        <w:spacing w:after="80" w:line="300" w:lineRule="auto"/>
        <w:jc w:val="both"/>
      </w:pPr>
      <w:r>
        <w:rPr>
          <w:rFonts w:ascii="Times New Roman" w:hAnsi="Times New Roman"/>
          <w:color w:val="000000"/>
        </w:rPr>
        <w:t>Ta có công thức phân rã biến động tỷ lệ nợ xấu (NPL Decomposition):</w:t>
      </w:r>
      <w:r>
        <w:rPr>
          <w:rFonts w:ascii="Times New Roman" w:hAnsi="Times New Roman"/>
          <w:color w:val="000000"/>
        </w:rPr>
        <w:br/>
        <w:t xml:space="preserve">    ΔNPL = NPL[t] − NPL[t-1] = (NPD[t] / Loan[t]) − (NPD[t-1] / Loan[t-1])</w:t>
      </w:r>
      <w:r>
        <w:rPr>
          <w:rFonts w:ascii="Times New Roman" w:hAnsi="Times New Roman"/>
          <w:color w:val="000000"/>
        </w:rPr>
        <w:br/>
      </w:r>
      <w:r>
        <w:rPr>
          <w:rFonts w:ascii="Times New Roman" w:hAnsi="Times New Roman"/>
          <w:color w:val="000000"/>
        </w:rPr>
        <w:lastRenderedPageBreak/>
        <w:t xml:space="preserve">         = [ΔNPD[t] / Loan[t]] (Hiệu ứng Tử số: Biến động quy mô nợ xấu)</w:t>
      </w:r>
      <w:r>
        <w:rPr>
          <w:rFonts w:ascii="Times New Roman" w:hAnsi="Times New Roman"/>
          <w:color w:val="000000"/>
        </w:rPr>
        <w:br/>
        <w:t xml:space="preserve">           − [NPL[t-1] × (ΔLoan[t] / Loan[t])] (Hiệu ứng Mẫu số: Tốc độ tăng trưởng quy mô tín dụng)</w:t>
      </w:r>
      <w:r>
        <w:rPr>
          <w:rFonts w:ascii="Times New Roman" w:hAnsi="Times New Roman"/>
          <w:color w:val="000000"/>
        </w:rPr>
        <w:br/>
      </w:r>
      <w:r>
        <w:rPr>
          <w:rFonts w:ascii="Times New Roman" w:hAnsi="Times New Roman"/>
          <w:color w:val="000000"/>
        </w:rPr>
        <w:br/>
        <w:t>Kết quả tính toán năm 2025 (số liệu Thuyết minh 9/10 BCTC hợp nhất kiểm toán 2025):</w:t>
      </w:r>
      <w:r>
        <w:rPr>
          <w:rFonts w:ascii="Times New Roman" w:hAnsi="Times New Roman"/>
          <w:color w:val="000000"/>
        </w:rPr>
        <w:br/>
        <w:t xml:space="preserve">  • MB: Tỷ lệ NPL giảm từ 1,62% về 1,29% (−0,33 điểm %). Hiệu ứng mẫu số (tăng trưởng tín dụng làm loãng nợ xấu): 1,62% × (307.361 / 1.084.019) = −0,46 điểm %; hiệu ứng tử số (chất lượng tín dụng giảm, nợ xấu tuyệt đối tăng từ 12.585 tỷ lên 14.027 tỷ đồng): (+1.442 / 1.084.019) = +0,13 điểm %. Tổng hợp hai hiệu ứng: −0,46% + 0,13% = −0,33 điểm %.</w:t>
      </w:r>
      <w:r>
        <w:rPr>
          <w:rFonts w:ascii="Times New Roman" w:hAnsi="Times New Roman"/>
          <w:color w:val="000000"/>
        </w:rPr>
        <w:tab/>
      </w:r>
      <w:r>
        <w:rPr>
          <w:rFonts w:ascii="Times New Roman" w:hAnsi="Times New Roman"/>
          <w:color w:val="000000"/>
        </w:rPr>
        <w:br/>
        <w:t xml:space="preserve">  • Agribank: Tỷ lệ NPL giảm từ 1,68% về 1,30% (−0,39 điểm %). Hiệu ứng mẫu số: 1,68% × (252.987 / 1.976.369) = −0,22 điểm %; hiệu ứng tử số (nợ xấu tuyệt đối giảm từ 29.009 tỷ về 25.610 tỷ đồng): (−3.399 / 1.976.369) = −0,17 điểm %. Tổng hợp hai hiệu ứng: −0,22% − 0,17% = −0,39 điểm %.</w:t>
      </w:r>
      <w:r>
        <w:rPr>
          <w:rFonts w:ascii="Times New Roman" w:hAnsi="Times New Roman"/>
          <w:color w:val="000000"/>
        </w:rPr>
        <w:br/>
        <w:t xml:space="preserve">  • Vai trò của xóa nợ bằng dự phòng: Trong năm 2025, MB sử dụng 12.185 tỷ đồng và Agribank sử dụng 32.621 tỷ đồng quỹ dự phòng để xử lý rủi ro tín dụng (tương ứng 1,31% và 1,76% dư nợ bình quân). Khi cộng lại số nợ đã xóa vào nợ xấu nội bảng (cận trên kỹ thuật, do một phần khoản xóa thuộc nợ xấu tồn đọng đầu kỳ), tỷ lệ NPL trước xử lý rủi ro thực tế ước tính là 2,42% tại MB và 2,95% tại Agribank.</w:t>
      </w:r>
      <w:r>
        <w:rPr>
          <w:rFonts w:ascii="Times New Roman" w:hAnsi="Times New Roman"/>
          <w:color w:val="000000"/>
        </w:rPr>
        <w:br/>
        <w:t>Nhận xét: Mức giảm tỷ lệ NPL của MB trong năm 2025 chủ yếu được thúc đẩy bởi tốc độ tăng trưởng dư nợ rất mạnh (mẫu số tăng nhanh làm loãng nợ xấu), trong khi số dư nợ xấu tuyệt đối vẫn tăng thêm 1.442 tỷ đồng. Ngược lại, mức giảm NPL của Agribank có sự đóng góp thực chất của cả hai yếu tố: quy mô nợ xấu tuyệt đối giảm (−3.399 tỷ) và mẫu số dư nợ mở rộng, tuy nhiên Agribank sử dụng quy mô xóa nợ lớn hơn đáng kể tính trên tổng dư nợ. Về bản chất kế toán, cả hai ngân hàng đều tuân thủ chặt chẽ quy chế xử lý rủi ro bằng dự phòng theo Thông tư 11/2021/TT-NHNN và Nghị định 86/2024/NĐ-CP.</w:t>
      </w:r>
      <w:r>
        <w:rPr>
          <w:rFonts w:ascii="Times New Roman" w:hAnsi="Times New Roman"/>
          <w:color w:val="000000"/>
        </w:rPr>
        <w:br/>
        <w:t>(Mối tương quan giữa tốc độ tăng trưởng quy mô tín dụng và tốc độ gia tăng nợ xấu được đồ thị hóa rõ nét tại Hình 2 dưới đây).</w:t>
      </w:r>
    </w:p>
    <w:p>
      <w:pPr>
        <w:keepNext/>
        <w:spacing w:before="240" w:after="80"/>
        <w:jc w:val="center"/>
      </w:pPr>
      <w:r>
        <w:rPr>
          <w:rFonts w:ascii="Times New Roman" w:hAnsi="Times New Roman"/>
          <w:b/>
          <w:i w:val="0"/>
          <w:color w:val="002060"/>
          <w:sz w:val="21"/>
        </w:rPr>
        <w:t>Hình 2. Tốc độ tăng trưởng quy mô dư nợ và nợ xấu tại Agribank và MB (2020–2025)</w:t>
      </w:r>
    </w:p>
    <w:p>
      <w:pPr>
        <w:spacing w:before="80" w:after="80"/>
        <w:jc w:val="center"/>
      </w:pPr>
      <w:r>
        <w:drawing>
          <wp:inline xmlns:a="http://schemas.openxmlformats.org/drawingml/2006/main" xmlns:pic="http://schemas.openxmlformats.org/drawingml/2006/picture">
            <wp:extent cx="5669280" cy="2551176"/>
            <wp:docPr id="2" name="Picture 2"/>
            <wp:cNvGraphicFramePr>
              <a:graphicFrameLocks noChangeAspect="1"/>
            </wp:cNvGraphicFramePr>
            <a:graphic>
              <a:graphicData uri="http://schemas.openxmlformats.org/drawingml/2006/picture">
                <pic:pic>
                  <pic:nvPicPr>
                    <pic:cNvPr id="0" name="Hinh_2_Tang_truong_Du_no_vs_No_xau.png"/>
                    <pic:cNvPicPr/>
                  </pic:nvPicPr>
                  <pic:blipFill>
                    <a:blip r:embed="rId10"/>
                    <a:stretch>
                      <a:fillRect/>
                    </a:stretch>
                  </pic:blipFill>
                  <pic:spPr>
                    <a:xfrm>
                      <a:off x="0" y="0"/>
                      <a:ext cx="5669280" cy="2551176"/>
                    </a:xfrm>
                    <a:prstGeom prst="rect"/>
                  </pic:spPr>
                </pic:pic>
              </a:graphicData>
            </a:graphic>
          </wp:inline>
        </w:drawing>
      </w:r>
    </w:p>
    <w:p>
      <w:pPr>
        <w:spacing w:before="40" w:after="200"/>
        <w:jc w:val="center"/>
      </w:pPr>
      <w:r>
        <w:rPr>
          <w:rFonts w:ascii="Times New Roman" w:hAnsi="Times New Roman"/>
          <w:b w:val="0"/>
          <w:i/>
          <w:color w:val="505050"/>
          <w:sz w:val="18"/>
        </w:rPr>
        <w:t>Nguồn: Tính toán và đồ thị hóa của nhóm tác giả từ Thuyết minh BCTC hợp nhất kiểm toán 2020–2025.</w:t>
      </w:r>
    </w:p>
    <w:p>
      <w:pPr>
        <w:pStyle w:val="Heading2"/>
        <w:keepNext/>
        <w:spacing w:before="240" w:after="80"/>
        <w:outlineLvl w:val="1"/>
      </w:pPr>
      <w:r>
        <w:rPr>
          <w:rFonts w:ascii="Times New Roman" w:hAnsi="Times New Roman"/>
          <w:b/>
          <w:i w:val="0"/>
          <w:color w:val="0F4C81"/>
          <w:sz w:val="24"/>
        </w:rPr>
        <w:t>2.3. Bộ đệm dự phòng (LLCR), Chi phí tín dụng và Vai trò của kỹ thuật xóa nợ bằng dự phòng</w:t>
      </w:r>
    </w:p>
    <w:p>
      <w:pPr>
        <w:keepNext/>
        <w:pageBreakBefore w:val="0"/>
        <w:spacing w:before="200" w:after="80" w:line="276" w:lineRule="auto"/>
        <w:jc w:val="left"/>
      </w:pPr>
      <w:r>
        <w:rPr>
          <w:rFonts w:ascii="Times New Roman" w:hAnsi="Times New Roman"/>
          <w:b/>
          <w:i w:val="0"/>
          <w:color w:val="002060"/>
          <w:sz w:val="22"/>
        </w:rPr>
        <w:t>Bảng 3. Bộ đệm dự phòng (LLCR), chi phí dự phòng và bóc tách Credit Cost (2020–2025)</w:t>
      </w:r>
    </w:p>
    <w:tbl>
      <w:tblPr>
        <w:tblW w:w="0" w:type="auto"/>
        <w:jc w:val="center"/>
        <w:tblBorders>
          <w:top w:val="single" w:sz="6" w:space="0" w:color="1B365D"/>
          <w:bottom w:val="single" w:sz="6" w:space="0" w:color="1B365D"/>
          <w:insideH w:val="single" w:sz="4" w:space="0" w:color="E0E0E0"/>
        </w:tblBorders>
        <w:tblLook w:val="04A0" w:firstRow="1" w:lastRow="0" w:firstColumn="1" w:lastColumn="0" w:noHBand="0" w:noVBand="1"/>
      </w:tblPr>
      <w:tblGrid>
        <w:gridCol w:w="3314"/>
        <w:gridCol w:w="993"/>
        <w:gridCol w:w="993"/>
        <w:gridCol w:w="993"/>
        <w:gridCol w:w="993"/>
        <w:gridCol w:w="993"/>
        <w:gridCol w:w="993"/>
      </w:tblGrid>
      <w:tr w:rsidR="00F67131" w14:paraId="47677567" w14:textId="77777777">
        <w:trPr>
          <w:cantSplit/>
          <w:tblHeader/>
          <w:jc w:val="center"/>
        </w:trPr>
        <w:tc>
          <w:tcPr>
            <w:tcW w:w="3456" w:type="dxa"/>
            <w:shd w:val="clear" w:color="auto" w:fill="1B365D"/>
            <w:tcMar>
              <w:top w:w="70" w:type="dxa"/>
              <w:left w:w="100" w:type="dxa"/>
              <w:bottom w:w="70" w:type="dxa"/>
              <w:right w:w="100" w:type="dxa"/>
            </w:tcMar>
          </w:tcPr>
          <w:p w14:paraId="5D2F5FE5" w14:textId="77777777" w:rsidR="00F67131" w:rsidRDefault="00000000">
            <w:pPr>
              <w:spacing w:before="40" w:after="40" w:line="240" w:lineRule="auto"/>
              <w:jc w:val="both"/>
            </w:pPr>
            <w:r>
              <w:rPr>
                <w:rFonts w:ascii="Times New Roman" w:hAnsi="Times New Roman"/>
                <w:b/>
                <w:color w:val="FFFFFF"/>
                <w:sz w:val="19"/>
              </w:rPr>
              <w:t>Chỉ tiêu phân tích</w:t>
            </w:r>
          </w:p>
        </w:tc>
        <w:tc>
          <w:tcPr>
            <w:tcW w:w="1008" w:type="dxa"/>
            <w:shd w:val="clear" w:color="auto" w:fill="1B365D"/>
            <w:tcMar>
              <w:top w:w="70" w:type="dxa"/>
              <w:left w:w="100" w:type="dxa"/>
              <w:bottom w:w="70" w:type="dxa"/>
              <w:right w:w="100" w:type="dxa"/>
            </w:tcMar>
          </w:tcPr>
          <w:p w14:paraId="7D7ECCE6" w14:textId="77777777" w:rsidR="00F67131" w:rsidRDefault="00000000">
            <w:pPr>
              <w:spacing w:before="40" w:after="40" w:line="240" w:lineRule="auto"/>
              <w:jc w:val="both"/>
            </w:pPr>
            <w:r>
              <w:rPr>
                <w:rFonts w:ascii="Times New Roman" w:hAnsi="Times New Roman"/>
                <w:b/>
                <w:color w:val="FFFFFF"/>
                <w:sz w:val="19"/>
              </w:rPr>
              <w:t>2020</w:t>
            </w:r>
          </w:p>
        </w:tc>
        <w:tc>
          <w:tcPr>
            <w:tcW w:w="1008" w:type="dxa"/>
            <w:shd w:val="clear" w:color="auto" w:fill="1B365D"/>
            <w:tcMar>
              <w:top w:w="70" w:type="dxa"/>
              <w:left w:w="100" w:type="dxa"/>
              <w:bottom w:w="70" w:type="dxa"/>
              <w:right w:w="100" w:type="dxa"/>
            </w:tcMar>
          </w:tcPr>
          <w:p w14:paraId="0487854D" w14:textId="77777777" w:rsidR="00F67131" w:rsidRDefault="00000000">
            <w:pPr>
              <w:spacing w:before="40" w:after="40" w:line="240" w:lineRule="auto"/>
              <w:jc w:val="both"/>
            </w:pPr>
            <w:r>
              <w:rPr>
                <w:rFonts w:ascii="Times New Roman" w:hAnsi="Times New Roman"/>
                <w:b/>
                <w:color w:val="FFFFFF"/>
                <w:sz w:val="19"/>
              </w:rPr>
              <w:t>2021</w:t>
            </w:r>
          </w:p>
        </w:tc>
        <w:tc>
          <w:tcPr>
            <w:tcW w:w="1008" w:type="dxa"/>
            <w:shd w:val="clear" w:color="auto" w:fill="1B365D"/>
            <w:tcMar>
              <w:top w:w="70" w:type="dxa"/>
              <w:left w:w="100" w:type="dxa"/>
              <w:bottom w:w="70" w:type="dxa"/>
              <w:right w:w="100" w:type="dxa"/>
            </w:tcMar>
          </w:tcPr>
          <w:p w14:paraId="5E118442" w14:textId="77777777" w:rsidR="00F67131" w:rsidRDefault="00000000">
            <w:pPr>
              <w:spacing w:before="40" w:after="40" w:line="240" w:lineRule="auto"/>
              <w:jc w:val="both"/>
            </w:pPr>
            <w:r>
              <w:rPr>
                <w:rFonts w:ascii="Times New Roman" w:hAnsi="Times New Roman"/>
                <w:b/>
                <w:color w:val="FFFFFF"/>
                <w:sz w:val="19"/>
              </w:rPr>
              <w:t>2022</w:t>
            </w:r>
          </w:p>
        </w:tc>
        <w:tc>
          <w:tcPr>
            <w:tcW w:w="1008" w:type="dxa"/>
            <w:shd w:val="clear" w:color="auto" w:fill="1B365D"/>
            <w:tcMar>
              <w:top w:w="70" w:type="dxa"/>
              <w:left w:w="100" w:type="dxa"/>
              <w:bottom w:w="70" w:type="dxa"/>
              <w:right w:w="100" w:type="dxa"/>
            </w:tcMar>
          </w:tcPr>
          <w:p w14:paraId="610BB509" w14:textId="77777777" w:rsidR="00F67131" w:rsidRDefault="00000000">
            <w:pPr>
              <w:spacing w:before="40" w:after="40" w:line="240" w:lineRule="auto"/>
              <w:jc w:val="both"/>
            </w:pPr>
            <w:r>
              <w:rPr>
                <w:rFonts w:ascii="Times New Roman" w:hAnsi="Times New Roman"/>
                <w:b/>
                <w:color w:val="FFFFFF"/>
                <w:sz w:val="19"/>
              </w:rPr>
              <w:t>2023</w:t>
            </w:r>
          </w:p>
        </w:tc>
        <w:tc>
          <w:tcPr>
            <w:tcW w:w="1008" w:type="dxa"/>
            <w:shd w:val="clear" w:color="auto" w:fill="1B365D"/>
            <w:tcMar>
              <w:top w:w="70" w:type="dxa"/>
              <w:left w:w="100" w:type="dxa"/>
              <w:bottom w:w="70" w:type="dxa"/>
              <w:right w:w="100" w:type="dxa"/>
            </w:tcMar>
          </w:tcPr>
          <w:p w14:paraId="192D0B0A" w14:textId="77777777" w:rsidR="00F67131" w:rsidRDefault="00000000">
            <w:pPr>
              <w:spacing w:before="40" w:after="40" w:line="240" w:lineRule="auto"/>
              <w:jc w:val="both"/>
            </w:pPr>
            <w:r>
              <w:rPr>
                <w:rFonts w:ascii="Times New Roman" w:hAnsi="Times New Roman"/>
                <w:b/>
                <w:color w:val="FFFFFF"/>
                <w:sz w:val="19"/>
              </w:rPr>
              <w:t>2024</w:t>
            </w:r>
          </w:p>
        </w:tc>
        <w:tc>
          <w:tcPr>
            <w:tcW w:w="1008" w:type="dxa"/>
            <w:shd w:val="clear" w:color="auto" w:fill="1B365D"/>
            <w:tcMar>
              <w:top w:w="70" w:type="dxa"/>
              <w:left w:w="100" w:type="dxa"/>
              <w:bottom w:w="70" w:type="dxa"/>
              <w:right w:w="100" w:type="dxa"/>
            </w:tcMar>
          </w:tcPr>
          <w:p w14:paraId="700D4044" w14:textId="77777777" w:rsidR="00F67131" w:rsidRDefault="00000000">
            <w:pPr>
              <w:spacing w:before="40" w:after="40" w:line="240" w:lineRule="auto"/>
              <w:jc w:val="both"/>
            </w:pPr>
            <w:r>
              <w:rPr>
                <w:rFonts w:ascii="Times New Roman" w:hAnsi="Times New Roman"/>
                <w:b/>
                <w:color w:val="FFFFFF"/>
                <w:sz w:val="19"/>
              </w:rPr>
              <w:t>2025</w:t>
            </w:r>
          </w:p>
        </w:tc>
      </w:tr>
      <w:tr w:rsidR="00F67131" w14:paraId="65207903" w14:textId="77777777">
        <w:trPr>
          <w:cantSplit/>
          <w:jc w:val="center"/>
        </w:trPr>
        <w:tc>
          <w:tcPr>
            <w:tcW w:w="3456" w:type="dxa"/>
            <w:tcMar>
              <w:top w:w="70" w:type="dxa"/>
              <w:left w:w="100" w:type="dxa"/>
              <w:bottom w:w="70" w:type="dxa"/>
              <w:right w:w="100" w:type="dxa"/>
            </w:tcMar>
          </w:tcPr>
          <w:p w14:paraId="670FBE44" w14:textId="77777777" w:rsidR="00F67131" w:rsidRDefault="00000000">
            <w:pPr>
              <w:spacing w:before="40" w:after="40" w:line="240" w:lineRule="auto"/>
              <w:jc w:val="both"/>
            </w:pPr>
            <w:r>
              <w:rPr>
                <w:rFonts w:ascii="Times New Roman" w:hAnsi="Times New Roman"/>
                <w:b/>
                <w:color w:val="262626"/>
                <w:sz w:val="18"/>
              </w:rPr>
              <w:t>Agribank: Tỷ lệ bao phủ nợ xấu Hợp nhất (LLCR)</w:t>
            </w:r>
          </w:p>
        </w:tc>
        <w:tc>
          <w:tcPr>
            <w:tcW w:w="1008" w:type="dxa"/>
            <w:tcMar>
              <w:top w:w="70" w:type="dxa"/>
              <w:left w:w="100" w:type="dxa"/>
              <w:bottom w:w="70" w:type="dxa"/>
              <w:right w:w="100" w:type="dxa"/>
            </w:tcMar>
          </w:tcPr>
          <w:p w14:paraId="62032C57" w14:textId="77777777" w:rsidR="00F67131" w:rsidRDefault="00000000">
            <w:pPr>
              <w:spacing w:before="40" w:after="40" w:line="240" w:lineRule="auto"/>
              <w:jc w:val="both"/>
            </w:pPr>
            <w:r>
              <w:rPr>
                <w:rFonts w:ascii="Times New Roman" w:hAnsi="Times New Roman"/>
                <w:color w:val="262626"/>
                <w:sz w:val="18"/>
              </w:rPr>
              <w:t>113,6%</w:t>
            </w:r>
          </w:p>
        </w:tc>
        <w:tc>
          <w:tcPr>
            <w:tcW w:w="1008" w:type="dxa"/>
            <w:tcMar>
              <w:top w:w="70" w:type="dxa"/>
              <w:left w:w="100" w:type="dxa"/>
              <w:bottom w:w="70" w:type="dxa"/>
              <w:right w:w="100" w:type="dxa"/>
            </w:tcMar>
          </w:tcPr>
          <w:p w14:paraId="2EC8E630" w14:textId="77777777" w:rsidR="00F67131" w:rsidRDefault="00000000">
            <w:pPr>
              <w:spacing w:before="40" w:after="40" w:line="240" w:lineRule="auto"/>
              <w:jc w:val="both"/>
            </w:pPr>
            <w:r>
              <w:rPr>
                <w:rFonts w:ascii="Times New Roman" w:hAnsi="Times New Roman"/>
                <w:color w:val="262626"/>
                <w:sz w:val="18"/>
              </w:rPr>
              <w:t>140,8%</w:t>
            </w:r>
          </w:p>
        </w:tc>
        <w:tc>
          <w:tcPr>
            <w:tcW w:w="1008" w:type="dxa"/>
            <w:tcMar>
              <w:top w:w="70" w:type="dxa"/>
              <w:left w:w="100" w:type="dxa"/>
              <w:bottom w:w="70" w:type="dxa"/>
              <w:right w:w="100" w:type="dxa"/>
            </w:tcMar>
          </w:tcPr>
          <w:p w14:paraId="6C339E72" w14:textId="77777777" w:rsidR="00F67131" w:rsidRDefault="00000000">
            <w:pPr>
              <w:spacing w:before="40" w:after="40" w:line="240" w:lineRule="auto"/>
              <w:jc w:val="both"/>
            </w:pPr>
            <w:r>
              <w:rPr>
                <w:rFonts w:ascii="Times New Roman" w:hAnsi="Times New Roman"/>
                <w:color w:val="262626"/>
                <w:sz w:val="18"/>
              </w:rPr>
              <w:t>141,3%</w:t>
            </w:r>
          </w:p>
        </w:tc>
        <w:tc>
          <w:tcPr>
            <w:tcW w:w="1008" w:type="dxa"/>
            <w:tcMar>
              <w:top w:w="70" w:type="dxa"/>
              <w:left w:w="100" w:type="dxa"/>
              <w:bottom w:w="70" w:type="dxa"/>
              <w:right w:w="100" w:type="dxa"/>
            </w:tcMar>
          </w:tcPr>
          <w:p w14:paraId="1352618B" w14:textId="77777777" w:rsidR="00F67131" w:rsidRDefault="00000000">
            <w:pPr>
              <w:spacing w:before="40" w:after="40" w:line="240" w:lineRule="auto"/>
              <w:jc w:val="both"/>
            </w:pPr>
            <w:r>
              <w:rPr>
                <w:rFonts w:ascii="Times New Roman" w:hAnsi="Times New Roman"/>
                <w:color w:val="262626"/>
                <w:sz w:val="18"/>
              </w:rPr>
              <w:t>132,4%</w:t>
            </w:r>
          </w:p>
        </w:tc>
        <w:tc>
          <w:tcPr>
            <w:tcW w:w="1008" w:type="dxa"/>
            <w:tcMar>
              <w:top w:w="70" w:type="dxa"/>
              <w:left w:w="100" w:type="dxa"/>
              <w:bottom w:w="70" w:type="dxa"/>
              <w:right w:w="100" w:type="dxa"/>
            </w:tcMar>
          </w:tcPr>
          <w:p w14:paraId="5A74DB26" w14:textId="77777777" w:rsidR="00F67131" w:rsidRDefault="00000000">
            <w:pPr>
              <w:spacing w:before="40" w:after="40" w:line="240" w:lineRule="auto"/>
              <w:jc w:val="both"/>
            </w:pPr>
            <w:r>
              <w:rPr>
                <w:rFonts w:ascii="Times New Roman" w:hAnsi="Times New Roman"/>
                <w:color w:val="262626"/>
                <w:sz w:val="18"/>
              </w:rPr>
              <w:t>132,0%</w:t>
            </w:r>
          </w:p>
        </w:tc>
        <w:tc>
          <w:tcPr>
            <w:tcW w:w="1008" w:type="dxa"/>
            <w:tcMar>
              <w:top w:w="70" w:type="dxa"/>
              <w:left w:w="100" w:type="dxa"/>
              <w:bottom w:w="70" w:type="dxa"/>
              <w:right w:w="100" w:type="dxa"/>
            </w:tcMar>
          </w:tcPr>
          <w:p w14:paraId="50082FD9" w14:textId="77777777" w:rsidR="00F67131" w:rsidRDefault="00000000">
            <w:pPr>
              <w:spacing w:before="40" w:after="40" w:line="240" w:lineRule="auto"/>
              <w:jc w:val="both"/>
            </w:pPr>
            <w:r>
              <w:rPr>
                <w:rFonts w:ascii="Times New Roman" w:hAnsi="Times New Roman"/>
                <w:color w:val="262626"/>
                <w:sz w:val="18"/>
              </w:rPr>
              <w:t>146,3%</w:t>
            </w:r>
          </w:p>
        </w:tc>
      </w:tr>
      <w:tr w:rsidR="00F67131" w14:paraId="13BA39A8" w14:textId="77777777">
        <w:trPr>
          <w:cantSplit/>
          <w:jc w:val="center"/>
        </w:trPr>
        <w:tc>
          <w:tcPr>
            <w:tcW w:w="3456" w:type="dxa"/>
            <w:tcMar>
              <w:top w:w="70" w:type="dxa"/>
              <w:left w:w="100" w:type="dxa"/>
              <w:bottom w:w="70" w:type="dxa"/>
              <w:right w:w="100" w:type="dxa"/>
            </w:tcMar>
          </w:tcPr>
          <w:p w14:paraId="29CF587C" w14:textId="77777777" w:rsidR="00F67131" w:rsidRDefault="00000000">
            <w:pPr>
              <w:spacing w:before="40" w:after="40" w:line="240" w:lineRule="auto"/>
              <w:jc w:val="both"/>
            </w:pPr>
            <w:r>
              <w:rPr>
                <w:rFonts w:ascii="Times New Roman" w:hAnsi="Times New Roman"/>
                <w:color w:val="262626"/>
                <w:sz w:val="18"/>
              </w:rPr>
              <w:t>Agribank: Chi phí dự phòng RRTD Hợp nhất (tỷ)</w:t>
            </w:r>
          </w:p>
        </w:tc>
        <w:tc>
          <w:tcPr>
            <w:tcW w:w="1008" w:type="dxa"/>
            <w:tcMar>
              <w:top w:w="70" w:type="dxa"/>
              <w:left w:w="100" w:type="dxa"/>
              <w:bottom w:w="70" w:type="dxa"/>
              <w:right w:w="100" w:type="dxa"/>
            </w:tcMar>
          </w:tcPr>
          <w:p w14:paraId="12825235" w14:textId="77777777" w:rsidR="00F67131" w:rsidRDefault="00000000">
            <w:pPr>
              <w:spacing w:before="40" w:after="40" w:line="240" w:lineRule="auto"/>
              <w:jc w:val="both"/>
            </w:pPr>
            <w:r>
              <w:rPr>
                <w:rFonts w:ascii="Times New Roman" w:hAnsi="Times New Roman"/>
                <w:color w:val="262626"/>
                <w:sz w:val="18"/>
              </w:rPr>
              <w:t>18.732</w:t>
            </w:r>
          </w:p>
        </w:tc>
        <w:tc>
          <w:tcPr>
            <w:tcW w:w="1008" w:type="dxa"/>
            <w:tcMar>
              <w:top w:w="70" w:type="dxa"/>
              <w:left w:w="100" w:type="dxa"/>
              <w:bottom w:w="70" w:type="dxa"/>
              <w:right w:w="100" w:type="dxa"/>
            </w:tcMar>
          </w:tcPr>
          <w:p w14:paraId="2C9887D5" w14:textId="77777777" w:rsidR="00F67131" w:rsidRDefault="00000000">
            <w:pPr>
              <w:spacing w:before="40" w:after="40" w:line="240" w:lineRule="auto"/>
              <w:jc w:val="both"/>
            </w:pPr>
            <w:r>
              <w:rPr>
                <w:rFonts w:ascii="Times New Roman" w:hAnsi="Times New Roman"/>
                <w:color w:val="262626"/>
                <w:sz w:val="18"/>
              </w:rPr>
              <w:t>22.048</w:t>
            </w:r>
          </w:p>
        </w:tc>
        <w:tc>
          <w:tcPr>
            <w:tcW w:w="1008" w:type="dxa"/>
            <w:tcMar>
              <w:top w:w="70" w:type="dxa"/>
              <w:left w:w="100" w:type="dxa"/>
              <w:bottom w:w="70" w:type="dxa"/>
              <w:right w:w="100" w:type="dxa"/>
            </w:tcMar>
          </w:tcPr>
          <w:p w14:paraId="729FC247" w14:textId="77777777" w:rsidR="00F67131" w:rsidRDefault="00000000">
            <w:pPr>
              <w:spacing w:before="40" w:after="40" w:line="240" w:lineRule="auto"/>
              <w:jc w:val="both"/>
            </w:pPr>
            <w:r>
              <w:rPr>
                <w:rFonts w:ascii="Times New Roman" w:hAnsi="Times New Roman"/>
                <w:color w:val="262626"/>
                <w:sz w:val="18"/>
              </w:rPr>
              <w:t>27.172</w:t>
            </w:r>
          </w:p>
        </w:tc>
        <w:tc>
          <w:tcPr>
            <w:tcW w:w="1008" w:type="dxa"/>
            <w:tcMar>
              <w:top w:w="70" w:type="dxa"/>
              <w:left w:w="100" w:type="dxa"/>
              <w:bottom w:w="70" w:type="dxa"/>
              <w:right w:w="100" w:type="dxa"/>
            </w:tcMar>
          </w:tcPr>
          <w:p w14:paraId="75ED1E11" w14:textId="77777777" w:rsidR="00F67131" w:rsidRDefault="00000000">
            <w:pPr>
              <w:spacing w:before="40" w:after="40" w:line="240" w:lineRule="auto"/>
              <w:jc w:val="both"/>
            </w:pPr>
            <w:r>
              <w:rPr>
                <w:rFonts w:ascii="Times New Roman" w:hAnsi="Times New Roman"/>
                <w:color w:val="262626"/>
                <w:sz w:val="18"/>
              </w:rPr>
              <w:t>19.347</w:t>
            </w:r>
          </w:p>
        </w:tc>
        <w:tc>
          <w:tcPr>
            <w:tcW w:w="1008" w:type="dxa"/>
            <w:tcMar>
              <w:top w:w="70" w:type="dxa"/>
              <w:left w:w="100" w:type="dxa"/>
              <w:bottom w:w="70" w:type="dxa"/>
              <w:right w:w="100" w:type="dxa"/>
            </w:tcMar>
          </w:tcPr>
          <w:p w14:paraId="24A7712E" w14:textId="77777777" w:rsidR="00F67131" w:rsidRDefault="00000000">
            <w:pPr>
              <w:spacing w:before="40" w:after="40" w:line="240" w:lineRule="auto"/>
              <w:jc w:val="both"/>
            </w:pPr>
            <w:r>
              <w:rPr>
                <w:rFonts w:ascii="Times New Roman" w:hAnsi="Times New Roman"/>
                <w:color w:val="262626"/>
                <w:sz w:val="18"/>
              </w:rPr>
              <w:t>26.658</w:t>
            </w:r>
          </w:p>
        </w:tc>
        <w:tc>
          <w:tcPr>
            <w:tcW w:w="1008" w:type="dxa"/>
            <w:tcMar>
              <w:top w:w="70" w:type="dxa"/>
              <w:left w:w="100" w:type="dxa"/>
              <w:bottom w:w="70" w:type="dxa"/>
              <w:right w:w="100" w:type="dxa"/>
            </w:tcMar>
          </w:tcPr>
          <w:p w14:paraId="46ADC70E" w14:textId="77777777" w:rsidR="00F67131" w:rsidRDefault="00000000">
            <w:pPr>
              <w:spacing w:before="40" w:after="40" w:line="240" w:lineRule="auto"/>
              <w:jc w:val="both"/>
            </w:pPr>
            <w:r>
              <w:rPr>
                <w:rFonts w:ascii="Times New Roman" w:hAnsi="Times New Roman"/>
                <w:color w:val="262626"/>
                <w:sz w:val="18"/>
              </w:rPr>
              <w:t>31.808</w:t>
            </w:r>
          </w:p>
        </w:tc>
      </w:tr>
      <w:tr w:rsidR="00F67131" w14:paraId="48218400" w14:textId="77777777">
        <w:trPr>
          <w:cantSplit/>
          <w:jc w:val="center"/>
        </w:trPr>
        <w:tc>
          <w:tcPr>
            <w:tcW w:w="3456" w:type="dxa"/>
            <w:tcMar>
              <w:top w:w="70" w:type="dxa"/>
              <w:left w:w="100" w:type="dxa"/>
              <w:bottom w:w="70" w:type="dxa"/>
              <w:right w:w="100" w:type="dxa"/>
            </w:tcMar>
          </w:tcPr>
          <w:p w14:paraId="6A42A624" w14:textId="77777777" w:rsidR="00F67131" w:rsidRDefault="00000000">
            <w:pPr>
              <w:spacing w:before="40" w:after="40" w:line="240" w:lineRule="auto"/>
              <w:jc w:val="both"/>
            </w:pPr>
            <w:r>
              <w:rPr>
                <w:rFonts w:ascii="Times New Roman" w:hAnsi="Times New Roman"/>
                <w:color w:val="262626"/>
                <w:sz w:val="18"/>
              </w:rPr>
              <w:t>Agribank: Credit Cost (CPDP / Dư nợ BQ)</w:t>
            </w:r>
          </w:p>
        </w:tc>
        <w:tc>
          <w:tcPr>
            <w:tcW w:w="1008" w:type="dxa"/>
            <w:tcMar>
              <w:top w:w="70" w:type="dxa"/>
              <w:left w:w="100" w:type="dxa"/>
              <w:bottom w:w="70" w:type="dxa"/>
              <w:right w:w="100" w:type="dxa"/>
            </w:tcMar>
          </w:tcPr>
          <w:p w14:paraId="19EC9131" w14:textId="77777777" w:rsidR="00F67131" w:rsidRDefault="00000000">
            <w:pPr>
              <w:spacing w:before="40" w:after="40" w:line="240" w:lineRule="auto"/>
              <w:jc w:val="both"/>
            </w:pPr>
            <w:r>
              <w:rPr>
                <w:rFonts w:ascii="Times New Roman" w:hAnsi="Times New Roman"/>
                <w:color w:val="262626"/>
                <w:sz w:val="18"/>
              </w:rPr>
              <w:t>1,60%</w:t>
            </w:r>
          </w:p>
        </w:tc>
        <w:tc>
          <w:tcPr>
            <w:tcW w:w="1008" w:type="dxa"/>
            <w:tcMar>
              <w:top w:w="70" w:type="dxa"/>
              <w:left w:w="100" w:type="dxa"/>
              <w:bottom w:w="70" w:type="dxa"/>
              <w:right w:w="100" w:type="dxa"/>
            </w:tcMar>
          </w:tcPr>
          <w:p w14:paraId="238ABDAC" w14:textId="77777777" w:rsidR="00F67131" w:rsidRDefault="00000000">
            <w:pPr>
              <w:spacing w:before="40" w:after="40" w:line="240" w:lineRule="auto"/>
              <w:jc w:val="both"/>
            </w:pPr>
            <w:r>
              <w:rPr>
                <w:rFonts w:ascii="Times New Roman" w:hAnsi="Times New Roman"/>
                <w:color w:val="262626"/>
                <w:sz w:val="18"/>
              </w:rPr>
              <w:t>1,74%</w:t>
            </w:r>
          </w:p>
        </w:tc>
        <w:tc>
          <w:tcPr>
            <w:tcW w:w="1008" w:type="dxa"/>
            <w:tcMar>
              <w:top w:w="70" w:type="dxa"/>
              <w:left w:w="100" w:type="dxa"/>
              <w:bottom w:w="70" w:type="dxa"/>
              <w:right w:w="100" w:type="dxa"/>
            </w:tcMar>
          </w:tcPr>
          <w:p w14:paraId="1C9B4428" w14:textId="77777777" w:rsidR="00F67131" w:rsidRDefault="00000000">
            <w:pPr>
              <w:spacing w:before="40" w:after="40" w:line="240" w:lineRule="auto"/>
              <w:jc w:val="both"/>
            </w:pPr>
            <w:r>
              <w:rPr>
                <w:rFonts w:ascii="Times New Roman" w:hAnsi="Times New Roman"/>
                <w:color w:val="262626"/>
                <w:sz w:val="18"/>
              </w:rPr>
              <w:t>1,97%</w:t>
            </w:r>
          </w:p>
        </w:tc>
        <w:tc>
          <w:tcPr>
            <w:tcW w:w="1008" w:type="dxa"/>
            <w:tcMar>
              <w:top w:w="70" w:type="dxa"/>
              <w:left w:w="100" w:type="dxa"/>
              <w:bottom w:w="70" w:type="dxa"/>
              <w:right w:w="100" w:type="dxa"/>
            </w:tcMar>
          </w:tcPr>
          <w:p w14:paraId="0B926FC0" w14:textId="77777777" w:rsidR="00F67131" w:rsidRDefault="00000000">
            <w:pPr>
              <w:spacing w:before="40" w:after="40" w:line="240" w:lineRule="auto"/>
              <w:jc w:val="both"/>
            </w:pPr>
            <w:r>
              <w:rPr>
                <w:rFonts w:ascii="Times New Roman" w:hAnsi="Times New Roman"/>
                <w:color w:val="262626"/>
                <w:sz w:val="18"/>
              </w:rPr>
              <w:t>1,29%</w:t>
            </w:r>
          </w:p>
        </w:tc>
        <w:tc>
          <w:tcPr>
            <w:tcW w:w="1008" w:type="dxa"/>
            <w:tcMar>
              <w:top w:w="70" w:type="dxa"/>
              <w:left w:w="100" w:type="dxa"/>
              <w:bottom w:w="70" w:type="dxa"/>
              <w:right w:w="100" w:type="dxa"/>
            </w:tcMar>
          </w:tcPr>
          <w:p w14:paraId="0BD5DB97" w14:textId="77777777" w:rsidR="00F67131" w:rsidRDefault="00000000">
            <w:pPr>
              <w:spacing w:before="40" w:after="40" w:line="240" w:lineRule="auto"/>
              <w:jc w:val="both"/>
            </w:pPr>
            <w:r>
              <w:rPr>
                <w:rFonts w:ascii="Times New Roman" w:hAnsi="Times New Roman"/>
                <w:color w:val="262626"/>
                <w:sz w:val="18"/>
              </w:rPr>
              <w:t>1,63%</w:t>
            </w:r>
          </w:p>
        </w:tc>
        <w:tc>
          <w:tcPr>
            <w:tcW w:w="1008" w:type="dxa"/>
            <w:tcMar>
              <w:top w:w="70" w:type="dxa"/>
              <w:left w:w="100" w:type="dxa"/>
              <w:bottom w:w="70" w:type="dxa"/>
              <w:right w:w="100" w:type="dxa"/>
            </w:tcMar>
          </w:tcPr>
          <w:p w14:paraId="2655E43B" w14:textId="77777777" w:rsidR="00F67131" w:rsidRDefault="00000000">
            <w:pPr>
              <w:spacing w:before="40" w:after="40" w:line="240" w:lineRule="auto"/>
              <w:jc w:val="both"/>
            </w:pPr>
            <w:r>
              <w:rPr>
                <w:rFonts w:ascii="Times New Roman" w:hAnsi="Times New Roman"/>
                <w:color w:val="262626"/>
                <w:sz w:val="18"/>
              </w:rPr>
              <w:t>1,72%</w:t>
            </w:r>
          </w:p>
        </w:tc>
      </w:tr>
      <w:tr w:rsidR="00F67131" w14:paraId="3303CCC7" w14:textId="77777777">
        <w:trPr>
          <w:cantSplit/>
          <w:jc w:val="center"/>
        </w:trPr>
        <w:tc>
          <w:tcPr>
            <w:tcW w:w="3456" w:type="dxa"/>
            <w:tcMar>
              <w:top w:w="70" w:type="dxa"/>
              <w:left w:w="100" w:type="dxa"/>
              <w:bottom w:w="70" w:type="dxa"/>
              <w:right w:w="100" w:type="dxa"/>
            </w:tcMar>
          </w:tcPr>
          <w:p w14:paraId="48D1C24D" w14:textId="77777777" w:rsidR="00F67131" w:rsidRDefault="00000000">
            <w:pPr>
              <w:spacing w:before="40" w:after="40" w:line="240" w:lineRule="auto"/>
              <w:jc w:val="both"/>
            </w:pPr>
            <w:r>
              <w:rPr>
                <w:rFonts w:ascii="Times New Roman" w:hAnsi="Times New Roman"/>
                <w:color w:val="262626"/>
                <w:sz w:val="18"/>
              </w:rPr>
              <w:t>Agribank: Nợ xóa bằng quỹ DP trong năm (TM 10/11)</w:t>
            </w:r>
          </w:p>
        </w:tc>
        <w:tc>
          <w:tcPr>
            <w:tcW w:w="1008" w:type="dxa"/>
            <w:tcMar>
              <w:top w:w="70" w:type="dxa"/>
              <w:left w:w="100" w:type="dxa"/>
              <w:bottom w:w="70" w:type="dxa"/>
              <w:right w:w="100" w:type="dxa"/>
            </w:tcMar>
          </w:tcPr>
          <w:p w14:paraId="3217D6B2" w14:textId="77777777" w:rsidR="00F67131" w:rsidRDefault="00000000">
            <w:pPr>
              <w:spacing w:before="40" w:after="40" w:line="240" w:lineRule="auto"/>
              <w:jc w:val="both"/>
            </w:pPr>
            <w:r>
              <w:rPr>
                <w:rFonts w:ascii="Times New Roman" w:hAnsi="Times New Roman"/>
                <w:color w:val="262626"/>
                <w:sz w:val="18"/>
              </w:rPr>
              <w:t>14.126</w:t>
            </w:r>
          </w:p>
        </w:tc>
        <w:tc>
          <w:tcPr>
            <w:tcW w:w="1008" w:type="dxa"/>
            <w:tcMar>
              <w:top w:w="70" w:type="dxa"/>
              <w:left w:w="100" w:type="dxa"/>
              <w:bottom w:w="70" w:type="dxa"/>
              <w:right w:w="100" w:type="dxa"/>
            </w:tcMar>
          </w:tcPr>
          <w:p w14:paraId="57943285" w14:textId="77777777" w:rsidR="00F67131" w:rsidRDefault="00000000">
            <w:pPr>
              <w:spacing w:before="40" w:after="40" w:line="240" w:lineRule="auto"/>
              <w:jc w:val="both"/>
            </w:pPr>
            <w:r>
              <w:rPr>
                <w:rFonts w:ascii="Times New Roman" w:hAnsi="Times New Roman"/>
                <w:color w:val="262626"/>
                <w:sz w:val="18"/>
              </w:rPr>
              <w:t>11.922</w:t>
            </w:r>
          </w:p>
        </w:tc>
        <w:tc>
          <w:tcPr>
            <w:tcW w:w="1008" w:type="dxa"/>
            <w:tcMar>
              <w:top w:w="70" w:type="dxa"/>
              <w:left w:w="100" w:type="dxa"/>
              <w:bottom w:w="70" w:type="dxa"/>
              <w:right w:w="100" w:type="dxa"/>
            </w:tcMar>
          </w:tcPr>
          <w:p w14:paraId="6B62F992" w14:textId="77777777" w:rsidR="00F67131" w:rsidRDefault="00000000">
            <w:pPr>
              <w:spacing w:before="40" w:after="40" w:line="240" w:lineRule="auto"/>
              <w:jc w:val="both"/>
            </w:pPr>
            <w:r>
              <w:rPr>
                <w:rFonts w:ascii="Times New Roman" w:hAnsi="Times New Roman"/>
                <w:color w:val="262626"/>
                <w:sz w:val="18"/>
              </w:rPr>
              <w:t>24.548</w:t>
            </w:r>
          </w:p>
        </w:tc>
        <w:tc>
          <w:tcPr>
            <w:tcW w:w="1008" w:type="dxa"/>
            <w:tcMar>
              <w:top w:w="70" w:type="dxa"/>
              <w:left w:w="100" w:type="dxa"/>
              <w:bottom w:w="70" w:type="dxa"/>
              <w:right w:w="100" w:type="dxa"/>
            </w:tcMar>
          </w:tcPr>
          <w:p w14:paraId="4F0D4D66" w14:textId="77777777" w:rsidR="00F67131" w:rsidRDefault="00000000">
            <w:pPr>
              <w:spacing w:before="40" w:after="40" w:line="240" w:lineRule="auto"/>
              <w:jc w:val="both"/>
            </w:pPr>
            <w:r>
              <w:rPr>
                <w:rFonts w:ascii="Times New Roman" w:hAnsi="Times New Roman"/>
                <w:color w:val="262626"/>
                <w:sz w:val="18"/>
              </w:rPr>
              <w:t>18.170</w:t>
            </w:r>
          </w:p>
        </w:tc>
        <w:tc>
          <w:tcPr>
            <w:tcW w:w="1008" w:type="dxa"/>
            <w:tcMar>
              <w:top w:w="70" w:type="dxa"/>
              <w:left w:w="100" w:type="dxa"/>
              <w:bottom w:w="70" w:type="dxa"/>
              <w:right w:w="100" w:type="dxa"/>
            </w:tcMar>
          </w:tcPr>
          <w:p w14:paraId="4C5F2988" w14:textId="77777777" w:rsidR="00F67131" w:rsidRDefault="00000000">
            <w:pPr>
              <w:spacing w:before="40" w:after="40" w:line="240" w:lineRule="auto"/>
              <w:jc w:val="both"/>
            </w:pPr>
            <w:r>
              <w:rPr>
                <w:rFonts w:ascii="Times New Roman" w:hAnsi="Times New Roman"/>
                <w:color w:val="262626"/>
                <w:sz w:val="18"/>
              </w:rPr>
              <w:t>26.444</w:t>
            </w:r>
          </w:p>
        </w:tc>
        <w:tc>
          <w:tcPr>
            <w:tcW w:w="1008" w:type="dxa"/>
            <w:tcMar>
              <w:top w:w="70" w:type="dxa"/>
              <w:left w:w="100" w:type="dxa"/>
              <w:bottom w:w="70" w:type="dxa"/>
              <w:right w:w="100" w:type="dxa"/>
            </w:tcMar>
          </w:tcPr>
          <w:p w14:paraId="79C91A53" w14:textId="77777777" w:rsidR="00F67131" w:rsidRDefault="00000000">
            <w:pPr>
              <w:spacing w:before="40" w:after="40" w:line="240" w:lineRule="auto"/>
              <w:jc w:val="both"/>
            </w:pPr>
            <w:r>
              <w:rPr>
                <w:rFonts w:ascii="Times New Roman" w:hAnsi="Times New Roman"/>
                <w:color w:val="262626"/>
                <w:sz w:val="18"/>
              </w:rPr>
              <w:t>32.621</w:t>
            </w:r>
          </w:p>
        </w:tc>
      </w:tr>
      <w:tr w:rsidR="00F67131" w14:paraId="63AECE8B" w14:textId="77777777">
        <w:trPr>
          <w:cantSplit/>
          <w:jc w:val="center"/>
        </w:trPr>
        <w:tc>
          <w:tcPr>
            <w:tcW w:w="3456" w:type="dxa"/>
            <w:tcMar>
              <w:top w:w="70" w:type="dxa"/>
              <w:left w:w="100" w:type="dxa"/>
              <w:bottom w:w="70" w:type="dxa"/>
              <w:right w:w="100" w:type="dxa"/>
            </w:tcMar>
          </w:tcPr>
          <w:p w14:paraId="33D3B40D" w14:textId="77777777" w:rsidR="00F67131" w:rsidRDefault="00000000">
            <w:pPr>
              <w:spacing w:before="40" w:after="40" w:line="240" w:lineRule="auto"/>
              <w:jc w:val="both"/>
            </w:pPr>
            <w:r>
              <w:rPr>
                <w:rFonts w:ascii="Times New Roman" w:hAnsi="Times New Roman"/>
                <w:color w:val="262626"/>
                <w:sz w:val="18"/>
              </w:rPr>
              <w:t>Agribank: Thu từ nợ đã XLRR (TM 29/30 BCTC)</w:t>
            </w:r>
          </w:p>
        </w:tc>
        <w:tc>
          <w:tcPr>
            <w:tcW w:w="1008" w:type="dxa"/>
            <w:tcMar>
              <w:top w:w="70" w:type="dxa"/>
              <w:left w:w="100" w:type="dxa"/>
              <w:bottom w:w="70" w:type="dxa"/>
              <w:right w:w="100" w:type="dxa"/>
            </w:tcMar>
          </w:tcPr>
          <w:p w14:paraId="5BAF34AE" w14:textId="77777777" w:rsidR="00F67131" w:rsidRDefault="00000000">
            <w:pPr>
              <w:spacing w:before="40" w:after="40" w:line="240" w:lineRule="auto"/>
              <w:jc w:val="both"/>
            </w:pPr>
            <w:r>
              <w:rPr>
                <w:rFonts w:ascii="Times New Roman" w:hAnsi="Times New Roman"/>
                <w:color w:val="262626"/>
                <w:sz w:val="18"/>
              </w:rPr>
              <w:t>8.673</w:t>
            </w:r>
          </w:p>
        </w:tc>
        <w:tc>
          <w:tcPr>
            <w:tcW w:w="1008" w:type="dxa"/>
            <w:tcMar>
              <w:top w:w="70" w:type="dxa"/>
              <w:left w:w="100" w:type="dxa"/>
              <w:bottom w:w="70" w:type="dxa"/>
              <w:right w:w="100" w:type="dxa"/>
            </w:tcMar>
          </w:tcPr>
          <w:p w14:paraId="6B84EEDE" w14:textId="77777777" w:rsidR="00F67131" w:rsidRDefault="00000000">
            <w:pPr>
              <w:spacing w:before="40" w:after="40" w:line="240" w:lineRule="auto"/>
              <w:jc w:val="both"/>
            </w:pPr>
            <w:r>
              <w:rPr>
                <w:rFonts w:ascii="Times New Roman" w:hAnsi="Times New Roman"/>
                <w:color w:val="262626"/>
                <w:sz w:val="18"/>
              </w:rPr>
              <w:t>8.810</w:t>
            </w:r>
          </w:p>
        </w:tc>
        <w:tc>
          <w:tcPr>
            <w:tcW w:w="1008" w:type="dxa"/>
            <w:tcMar>
              <w:top w:w="70" w:type="dxa"/>
              <w:left w:w="100" w:type="dxa"/>
              <w:bottom w:w="70" w:type="dxa"/>
              <w:right w:w="100" w:type="dxa"/>
            </w:tcMar>
          </w:tcPr>
          <w:p w14:paraId="65CCBDEC" w14:textId="77777777" w:rsidR="00F67131" w:rsidRDefault="00000000">
            <w:pPr>
              <w:spacing w:before="40" w:after="40" w:line="240" w:lineRule="auto"/>
              <w:jc w:val="both"/>
            </w:pPr>
            <w:r>
              <w:rPr>
                <w:rFonts w:ascii="Times New Roman" w:hAnsi="Times New Roman"/>
                <w:color w:val="262626"/>
                <w:sz w:val="18"/>
              </w:rPr>
              <w:t>10.267</w:t>
            </w:r>
          </w:p>
        </w:tc>
        <w:tc>
          <w:tcPr>
            <w:tcW w:w="1008" w:type="dxa"/>
            <w:tcMar>
              <w:top w:w="70" w:type="dxa"/>
              <w:left w:w="100" w:type="dxa"/>
              <w:bottom w:w="70" w:type="dxa"/>
              <w:right w:w="100" w:type="dxa"/>
            </w:tcMar>
          </w:tcPr>
          <w:p w14:paraId="7A9EE990" w14:textId="77777777" w:rsidR="00F67131" w:rsidRDefault="00000000">
            <w:pPr>
              <w:spacing w:before="40" w:after="40" w:line="240" w:lineRule="auto"/>
              <w:jc w:val="both"/>
            </w:pPr>
            <w:r>
              <w:rPr>
                <w:rFonts w:ascii="Times New Roman" w:hAnsi="Times New Roman"/>
                <w:color w:val="262626"/>
                <w:sz w:val="18"/>
              </w:rPr>
              <w:t>11.167</w:t>
            </w:r>
          </w:p>
        </w:tc>
        <w:tc>
          <w:tcPr>
            <w:tcW w:w="1008" w:type="dxa"/>
            <w:tcMar>
              <w:top w:w="70" w:type="dxa"/>
              <w:left w:w="100" w:type="dxa"/>
              <w:bottom w:w="70" w:type="dxa"/>
              <w:right w:w="100" w:type="dxa"/>
            </w:tcMar>
          </w:tcPr>
          <w:p w14:paraId="3D73298E" w14:textId="77777777" w:rsidR="00F67131" w:rsidRDefault="00000000">
            <w:pPr>
              <w:spacing w:before="40" w:after="40" w:line="240" w:lineRule="auto"/>
              <w:jc w:val="both"/>
            </w:pPr>
            <w:r>
              <w:rPr>
                <w:rFonts w:ascii="Times New Roman" w:hAnsi="Times New Roman"/>
                <w:color w:val="262626"/>
                <w:sz w:val="18"/>
              </w:rPr>
              <w:t>8.413</w:t>
            </w:r>
          </w:p>
        </w:tc>
        <w:tc>
          <w:tcPr>
            <w:tcW w:w="1008" w:type="dxa"/>
            <w:tcMar>
              <w:top w:w="70" w:type="dxa"/>
              <w:left w:w="100" w:type="dxa"/>
              <w:bottom w:w="70" w:type="dxa"/>
              <w:right w:w="100" w:type="dxa"/>
            </w:tcMar>
          </w:tcPr>
          <w:p w14:paraId="060E0A53" w14:textId="77777777" w:rsidR="00F67131" w:rsidRDefault="00000000">
            <w:pPr>
              <w:spacing w:before="40" w:after="40" w:line="240" w:lineRule="auto"/>
              <w:jc w:val="both"/>
            </w:pPr>
            <w:r>
              <w:rPr>
                <w:rFonts w:ascii="Times New Roman" w:hAnsi="Times New Roman"/>
                <w:color w:val="262626"/>
                <w:sz w:val="18"/>
              </w:rPr>
              <w:t>12.123</w:t>
            </w:r>
          </w:p>
        </w:tc>
      </w:tr>
      <w:tr w:rsidR="00F67131" w14:paraId="237D8FFE" w14:textId="77777777">
        <w:trPr>
          <w:cantSplit/>
          <w:jc w:val="center"/>
        </w:trPr>
        <w:tc>
          <w:tcPr>
            <w:tcW w:w="3456" w:type="dxa"/>
            <w:tcMar>
              <w:top w:w="70" w:type="dxa"/>
              <w:left w:w="100" w:type="dxa"/>
              <w:bottom w:w="70" w:type="dxa"/>
              <w:right w:w="100" w:type="dxa"/>
            </w:tcMar>
          </w:tcPr>
          <w:p w14:paraId="443693C5" w14:textId="77777777" w:rsidR="00F67131" w:rsidRDefault="00000000">
            <w:pPr>
              <w:spacing w:before="40" w:after="40" w:line="240" w:lineRule="auto"/>
              <w:jc w:val="both"/>
            </w:pPr>
            <w:r>
              <w:rPr>
                <w:rFonts w:ascii="Times New Roman" w:hAnsi="Times New Roman"/>
                <w:b/>
                <w:color w:val="262626"/>
                <w:sz w:val="18"/>
              </w:rPr>
              <w:t>MB: Tỷ lệ bao phủ nợ xấu Hợp nhất (LLCR)</w:t>
            </w:r>
          </w:p>
        </w:tc>
        <w:tc>
          <w:tcPr>
            <w:tcW w:w="1008" w:type="dxa"/>
            <w:tcMar>
              <w:top w:w="70" w:type="dxa"/>
              <w:left w:w="100" w:type="dxa"/>
              <w:bottom w:w="70" w:type="dxa"/>
              <w:right w:w="100" w:type="dxa"/>
            </w:tcMar>
          </w:tcPr>
          <w:p w14:paraId="7CCFCE45" w14:textId="77777777" w:rsidR="00F67131" w:rsidRDefault="00000000">
            <w:pPr>
              <w:spacing w:before="40" w:after="40" w:line="240" w:lineRule="auto"/>
              <w:jc w:val="both"/>
            </w:pPr>
            <w:r>
              <w:rPr>
                <w:rFonts w:ascii="Times New Roman" w:hAnsi="Times New Roman"/>
                <w:color w:val="262626"/>
                <w:sz w:val="18"/>
              </w:rPr>
              <w:t>134,1%</w:t>
            </w:r>
          </w:p>
        </w:tc>
        <w:tc>
          <w:tcPr>
            <w:tcW w:w="1008" w:type="dxa"/>
            <w:tcMar>
              <w:top w:w="70" w:type="dxa"/>
              <w:left w:w="100" w:type="dxa"/>
              <w:bottom w:w="70" w:type="dxa"/>
              <w:right w:w="100" w:type="dxa"/>
            </w:tcMar>
          </w:tcPr>
          <w:p w14:paraId="4B2927E0" w14:textId="77777777" w:rsidR="00F67131" w:rsidRDefault="00000000">
            <w:pPr>
              <w:spacing w:before="40" w:after="40" w:line="240" w:lineRule="auto"/>
              <w:jc w:val="both"/>
            </w:pPr>
            <w:r>
              <w:rPr>
                <w:rFonts w:ascii="Times New Roman" w:hAnsi="Times New Roman"/>
                <w:color w:val="262626"/>
                <w:sz w:val="18"/>
              </w:rPr>
              <w:t>268,0%</w:t>
            </w:r>
          </w:p>
        </w:tc>
        <w:tc>
          <w:tcPr>
            <w:tcW w:w="1008" w:type="dxa"/>
            <w:tcMar>
              <w:top w:w="70" w:type="dxa"/>
              <w:left w:w="100" w:type="dxa"/>
              <w:bottom w:w="70" w:type="dxa"/>
              <w:right w:w="100" w:type="dxa"/>
            </w:tcMar>
          </w:tcPr>
          <w:p w14:paraId="04EB8B21" w14:textId="77777777" w:rsidR="00F67131" w:rsidRDefault="00000000">
            <w:pPr>
              <w:spacing w:before="40" w:after="40" w:line="240" w:lineRule="auto"/>
              <w:jc w:val="both"/>
            </w:pPr>
            <w:r>
              <w:rPr>
                <w:rFonts w:ascii="Times New Roman" w:hAnsi="Times New Roman"/>
                <w:color w:val="262626"/>
                <w:sz w:val="18"/>
              </w:rPr>
              <w:t>238,0%</w:t>
            </w:r>
          </w:p>
        </w:tc>
        <w:tc>
          <w:tcPr>
            <w:tcW w:w="1008" w:type="dxa"/>
            <w:tcMar>
              <w:top w:w="70" w:type="dxa"/>
              <w:left w:w="100" w:type="dxa"/>
              <w:bottom w:w="70" w:type="dxa"/>
              <w:right w:w="100" w:type="dxa"/>
            </w:tcMar>
          </w:tcPr>
          <w:p w14:paraId="5B4520CB" w14:textId="77777777" w:rsidR="00F67131" w:rsidRDefault="00000000">
            <w:pPr>
              <w:spacing w:before="40" w:after="40" w:line="240" w:lineRule="auto"/>
              <w:jc w:val="both"/>
            </w:pPr>
            <w:r>
              <w:rPr>
                <w:rFonts w:ascii="Times New Roman" w:hAnsi="Times New Roman"/>
                <w:color w:val="262626"/>
                <w:sz w:val="18"/>
              </w:rPr>
              <w:t>117,0%</w:t>
            </w:r>
          </w:p>
        </w:tc>
        <w:tc>
          <w:tcPr>
            <w:tcW w:w="1008" w:type="dxa"/>
            <w:tcMar>
              <w:top w:w="70" w:type="dxa"/>
              <w:left w:w="100" w:type="dxa"/>
              <w:bottom w:w="70" w:type="dxa"/>
              <w:right w:w="100" w:type="dxa"/>
            </w:tcMar>
          </w:tcPr>
          <w:p w14:paraId="0607E13E" w14:textId="77777777" w:rsidR="00F67131" w:rsidRDefault="00000000">
            <w:pPr>
              <w:spacing w:before="40" w:after="40" w:line="240" w:lineRule="auto"/>
              <w:jc w:val="both"/>
            </w:pPr>
            <w:r>
              <w:rPr>
                <w:rFonts w:ascii="Times New Roman" w:hAnsi="Times New Roman"/>
                <w:color w:val="262626"/>
                <w:sz w:val="18"/>
              </w:rPr>
              <w:t>92,2%</w:t>
            </w:r>
          </w:p>
        </w:tc>
        <w:tc>
          <w:tcPr>
            <w:tcW w:w="1008" w:type="dxa"/>
            <w:tcMar>
              <w:top w:w="70" w:type="dxa"/>
              <w:left w:w="100" w:type="dxa"/>
              <w:bottom w:w="70" w:type="dxa"/>
              <w:right w:w="100" w:type="dxa"/>
            </w:tcMar>
          </w:tcPr>
          <w:p w14:paraId="7758C4A9" w14:textId="77777777" w:rsidR="00F67131" w:rsidRDefault="00000000">
            <w:pPr>
              <w:spacing w:before="40" w:after="40" w:line="240" w:lineRule="auto"/>
              <w:jc w:val="both"/>
            </w:pPr>
            <w:r>
              <w:rPr>
                <w:rFonts w:ascii="Times New Roman" w:hAnsi="Times New Roman"/>
                <w:color w:val="262626"/>
                <w:sz w:val="18"/>
              </w:rPr>
              <w:t>93,7%</w:t>
            </w:r>
          </w:p>
        </w:tc>
      </w:tr>
      <w:tr w:rsidR="00F67131" w14:paraId="494B59ED" w14:textId="77777777">
        <w:trPr>
          <w:cantSplit/>
          <w:jc w:val="center"/>
        </w:trPr>
        <w:tc>
          <w:tcPr>
            <w:tcW w:w="3456" w:type="dxa"/>
            <w:tcMar>
              <w:top w:w="70" w:type="dxa"/>
              <w:left w:w="100" w:type="dxa"/>
              <w:bottom w:w="70" w:type="dxa"/>
              <w:right w:w="100" w:type="dxa"/>
            </w:tcMar>
          </w:tcPr>
          <w:p w14:paraId="2309BBD9" w14:textId="77777777" w:rsidR="00F67131" w:rsidRDefault="00000000">
            <w:pPr>
              <w:spacing w:before="40" w:after="40" w:line="240" w:lineRule="auto"/>
              <w:jc w:val="both"/>
            </w:pPr>
            <w:r>
              <w:rPr>
                <w:rFonts w:ascii="Times New Roman" w:hAnsi="Times New Roman"/>
                <w:color w:val="262626"/>
                <w:sz w:val="18"/>
              </w:rPr>
              <w:t>MB: Chi phí dự phòng RRTD Hợp nhất (tỷ)</w:t>
            </w:r>
          </w:p>
        </w:tc>
        <w:tc>
          <w:tcPr>
            <w:tcW w:w="1008" w:type="dxa"/>
            <w:tcMar>
              <w:top w:w="70" w:type="dxa"/>
              <w:left w:w="100" w:type="dxa"/>
              <w:bottom w:w="70" w:type="dxa"/>
              <w:right w:w="100" w:type="dxa"/>
            </w:tcMar>
          </w:tcPr>
          <w:p w14:paraId="47782CA1" w14:textId="77777777" w:rsidR="00F67131" w:rsidRDefault="00000000">
            <w:pPr>
              <w:spacing w:before="40" w:after="40" w:line="240" w:lineRule="auto"/>
              <w:jc w:val="both"/>
            </w:pPr>
            <w:r>
              <w:rPr>
                <w:rFonts w:ascii="Times New Roman" w:hAnsi="Times New Roman"/>
                <w:color w:val="262626"/>
                <w:sz w:val="18"/>
              </w:rPr>
              <w:t>6.118</w:t>
            </w:r>
          </w:p>
        </w:tc>
        <w:tc>
          <w:tcPr>
            <w:tcW w:w="1008" w:type="dxa"/>
            <w:tcMar>
              <w:top w:w="70" w:type="dxa"/>
              <w:left w:w="100" w:type="dxa"/>
              <w:bottom w:w="70" w:type="dxa"/>
              <w:right w:w="100" w:type="dxa"/>
            </w:tcMar>
          </w:tcPr>
          <w:p w14:paraId="6854EA30" w14:textId="77777777" w:rsidR="00F67131" w:rsidRDefault="00000000">
            <w:pPr>
              <w:spacing w:before="40" w:after="40" w:line="240" w:lineRule="auto"/>
              <w:jc w:val="both"/>
            </w:pPr>
            <w:r>
              <w:rPr>
                <w:rFonts w:ascii="Times New Roman" w:hAnsi="Times New Roman"/>
                <w:color w:val="262626"/>
                <w:sz w:val="18"/>
              </w:rPr>
              <w:t>8.030</w:t>
            </w:r>
          </w:p>
        </w:tc>
        <w:tc>
          <w:tcPr>
            <w:tcW w:w="1008" w:type="dxa"/>
            <w:tcMar>
              <w:top w:w="70" w:type="dxa"/>
              <w:left w:w="100" w:type="dxa"/>
              <w:bottom w:w="70" w:type="dxa"/>
              <w:right w:w="100" w:type="dxa"/>
            </w:tcMar>
          </w:tcPr>
          <w:p w14:paraId="1CA91B24" w14:textId="77777777" w:rsidR="00F67131" w:rsidRDefault="00000000">
            <w:pPr>
              <w:spacing w:before="40" w:after="40" w:line="240" w:lineRule="auto"/>
              <w:jc w:val="both"/>
            </w:pPr>
            <w:r>
              <w:rPr>
                <w:rFonts w:ascii="Times New Roman" w:hAnsi="Times New Roman"/>
                <w:color w:val="262626"/>
                <w:sz w:val="18"/>
              </w:rPr>
              <w:t>8.048</w:t>
            </w:r>
          </w:p>
        </w:tc>
        <w:tc>
          <w:tcPr>
            <w:tcW w:w="1008" w:type="dxa"/>
            <w:tcMar>
              <w:top w:w="70" w:type="dxa"/>
              <w:left w:w="100" w:type="dxa"/>
              <w:bottom w:w="70" w:type="dxa"/>
              <w:right w:w="100" w:type="dxa"/>
            </w:tcMar>
          </w:tcPr>
          <w:p w14:paraId="1E82F68B" w14:textId="77777777" w:rsidR="00F67131" w:rsidRDefault="00000000">
            <w:pPr>
              <w:spacing w:before="40" w:after="40" w:line="240" w:lineRule="auto"/>
              <w:jc w:val="both"/>
            </w:pPr>
            <w:r>
              <w:rPr>
                <w:rFonts w:ascii="Times New Roman" w:hAnsi="Times New Roman"/>
                <w:color w:val="262626"/>
                <w:sz w:val="18"/>
              </w:rPr>
              <w:t>6.087</w:t>
            </w:r>
          </w:p>
        </w:tc>
        <w:tc>
          <w:tcPr>
            <w:tcW w:w="1008" w:type="dxa"/>
            <w:tcMar>
              <w:top w:w="70" w:type="dxa"/>
              <w:left w:w="100" w:type="dxa"/>
              <w:bottom w:w="70" w:type="dxa"/>
              <w:right w:w="100" w:type="dxa"/>
            </w:tcMar>
          </w:tcPr>
          <w:p w14:paraId="2138EA65" w14:textId="77777777" w:rsidR="00F67131" w:rsidRDefault="00000000">
            <w:pPr>
              <w:spacing w:before="40" w:after="40" w:line="240" w:lineRule="auto"/>
              <w:jc w:val="both"/>
            </w:pPr>
            <w:r>
              <w:rPr>
                <w:rFonts w:ascii="Times New Roman" w:hAnsi="Times New Roman"/>
                <w:color w:val="262626"/>
                <w:sz w:val="18"/>
              </w:rPr>
              <w:t>9.577</w:t>
            </w:r>
          </w:p>
        </w:tc>
        <w:tc>
          <w:tcPr>
            <w:tcW w:w="1008" w:type="dxa"/>
            <w:tcMar>
              <w:top w:w="70" w:type="dxa"/>
              <w:left w:w="100" w:type="dxa"/>
              <w:bottom w:w="70" w:type="dxa"/>
              <w:right w:w="100" w:type="dxa"/>
            </w:tcMar>
          </w:tcPr>
          <w:p w14:paraId="1F84EB80" w14:textId="77777777" w:rsidR="00F67131" w:rsidRDefault="00000000">
            <w:pPr>
              <w:spacing w:before="40" w:after="40" w:line="240" w:lineRule="auto"/>
              <w:jc w:val="both"/>
            </w:pPr>
            <w:r>
              <w:rPr>
                <w:rFonts w:ascii="Times New Roman" w:hAnsi="Times New Roman"/>
                <w:color w:val="262626"/>
                <w:sz w:val="18"/>
              </w:rPr>
              <w:t>13.744</w:t>
            </w:r>
          </w:p>
        </w:tc>
      </w:tr>
      <w:tr w:rsidR="00F67131" w14:paraId="23BF0225" w14:textId="77777777">
        <w:trPr>
          <w:cantSplit/>
          <w:jc w:val="center"/>
        </w:trPr>
        <w:tc>
          <w:tcPr>
            <w:tcW w:w="3456" w:type="dxa"/>
            <w:tcMar>
              <w:top w:w="70" w:type="dxa"/>
              <w:left w:w="100" w:type="dxa"/>
              <w:bottom w:w="70" w:type="dxa"/>
              <w:right w:w="100" w:type="dxa"/>
            </w:tcMar>
          </w:tcPr>
          <w:p w14:paraId="6AC5BD6D" w14:textId="77777777" w:rsidR="00F67131" w:rsidRDefault="00000000">
            <w:pPr>
              <w:spacing w:before="40" w:after="40" w:line="240" w:lineRule="auto"/>
              <w:jc w:val="both"/>
            </w:pPr>
            <w:r>
              <w:rPr>
                <w:rFonts w:ascii="Times New Roman" w:hAnsi="Times New Roman"/>
                <w:color w:val="262626"/>
                <w:sz w:val="18"/>
              </w:rPr>
              <w:t>MB: Credit Cost Hợp nhất (CPDP / Dư nợ BQ)</w:t>
            </w:r>
          </w:p>
        </w:tc>
        <w:tc>
          <w:tcPr>
            <w:tcW w:w="1008" w:type="dxa"/>
            <w:tcMar>
              <w:top w:w="70" w:type="dxa"/>
              <w:left w:w="100" w:type="dxa"/>
              <w:bottom w:w="70" w:type="dxa"/>
              <w:right w:w="100" w:type="dxa"/>
            </w:tcMar>
          </w:tcPr>
          <w:p w14:paraId="3F00E0C1" w14:textId="77777777" w:rsidR="00F67131" w:rsidRDefault="00000000">
            <w:pPr>
              <w:spacing w:before="40" w:after="40" w:line="240" w:lineRule="auto"/>
              <w:jc w:val="both"/>
            </w:pPr>
            <w:r>
              <w:rPr>
                <w:rFonts w:ascii="Times New Roman" w:hAnsi="Times New Roman"/>
                <w:color w:val="262626"/>
                <w:sz w:val="18"/>
              </w:rPr>
              <w:t>2,23%</w:t>
            </w:r>
          </w:p>
        </w:tc>
        <w:tc>
          <w:tcPr>
            <w:tcW w:w="1008" w:type="dxa"/>
            <w:tcMar>
              <w:top w:w="70" w:type="dxa"/>
              <w:left w:w="100" w:type="dxa"/>
              <w:bottom w:w="70" w:type="dxa"/>
              <w:right w:w="100" w:type="dxa"/>
            </w:tcMar>
          </w:tcPr>
          <w:p w14:paraId="1FBB2428" w14:textId="77777777" w:rsidR="00F67131" w:rsidRDefault="00000000">
            <w:pPr>
              <w:spacing w:before="40" w:after="40" w:line="240" w:lineRule="auto"/>
              <w:jc w:val="both"/>
            </w:pPr>
            <w:r>
              <w:rPr>
                <w:rFonts w:ascii="Times New Roman" w:hAnsi="Times New Roman"/>
                <w:color w:val="262626"/>
                <w:sz w:val="18"/>
              </w:rPr>
              <w:t>2,43%</w:t>
            </w:r>
          </w:p>
        </w:tc>
        <w:tc>
          <w:tcPr>
            <w:tcW w:w="1008" w:type="dxa"/>
            <w:tcMar>
              <w:top w:w="70" w:type="dxa"/>
              <w:left w:w="100" w:type="dxa"/>
              <w:bottom w:w="70" w:type="dxa"/>
              <w:right w:w="100" w:type="dxa"/>
            </w:tcMar>
          </w:tcPr>
          <w:p w14:paraId="6966D66A" w14:textId="77777777" w:rsidR="00F67131" w:rsidRDefault="00000000">
            <w:pPr>
              <w:spacing w:before="40" w:after="40" w:line="240" w:lineRule="auto"/>
              <w:jc w:val="both"/>
            </w:pPr>
            <w:r>
              <w:rPr>
                <w:rFonts w:ascii="Times New Roman" w:hAnsi="Times New Roman"/>
                <w:color w:val="262626"/>
                <w:sz w:val="18"/>
              </w:rPr>
              <w:t>1,95%</w:t>
            </w:r>
          </w:p>
        </w:tc>
        <w:tc>
          <w:tcPr>
            <w:tcW w:w="1008" w:type="dxa"/>
            <w:tcMar>
              <w:top w:w="70" w:type="dxa"/>
              <w:left w:w="100" w:type="dxa"/>
              <w:bottom w:w="70" w:type="dxa"/>
              <w:right w:w="100" w:type="dxa"/>
            </w:tcMar>
          </w:tcPr>
          <w:p w14:paraId="293C9014" w14:textId="77777777" w:rsidR="00F67131" w:rsidRDefault="00000000">
            <w:pPr>
              <w:spacing w:before="40" w:after="40" w:line="240" w:lineRule="auto"/>
              <w:jc w:val="both"/>
            </w:pPr>
            <w:r>
              <w:rPr>
                <w:rFonts w:ascii="Times New Roman" w:hAnsi="Times New Roman"/>
                <w:color w:val="262626"/>
                <w:sz w:val="18"/>
              </w:rPr>
              <w:t>1,14%</w:t>
            </w:r>
          </w:p>
        </w:tc>
        <w:tc>
          <w:tcPr>
            <w:tcW w:w="1008" w:type="dxa"/>
            <w:tcMar>
              <w:top w:w="70" w:type="dxa"/>
              <w:left w:w="100" w:type="dxa"/>
              <w:bottom w:w="70" w:type="dxa"/>
              <w:right w:w="100" w:type="dxa"/>
            </w:tcMar>
          </w:tcPr>
          <w:p w14:paraId="13701481" w14:textId="77777777" w:rsidR="00F67131" w:rsidRDefault="00000000">
            <w:pPr>
              <w:spacing w:before="40" w:after="40" w:line="240" w:lineRule="auto"/>
              <w:jc w:val="both"/>
            </w:pPr>
            <w:r>
              <w:rPr>
                <w:rFonts w:ascii="Times New Roman" w:hAnsi="Times New Roman"/>
                <w:color w:val="262626"/>
                <w:sz w:val="18"/>
              </w:rPr>
              <w:t>1,38%</w:t>
            </w:r>
          </w:p>
        </w:tc>
        <w:tc>
          <w:tcPr>
            <w:tcW w:w="1008" w:type="dxa"/>
            <w:tcMar>
              <w:top w:w="70" w:type="dxa"/>
              <w:left w:w="100" w:type="dxa"/>
              <w:bottom w:w="70" w:type="dxa"/>
              <w:right w:w="100" w:type="dxa"/>
            </w:tcMar>
          </w:tcPr>
          <w:p w14:paraId="4DCF460B" w14:textId="77777777" w:rsidR="00F67131" w:rsidRDefault="00000000">
            <w:pPr>
              <w:spacing w:before="40" w:after="40" w:line="240" w:lineRule="auto"/>
              <w:jc w:val="both"/>
            </w:pPr>
            <w:r>
              <w:rPr>
                <w:rFonts w:ascii="Times New Roman" w:hAnsi="Times New Roman"/>
                <w:color w:val="262626"/>
                <w:sz w:val="18"/>
              </w:rPr>
              <w:t>1,48%</w:t>
            </w:r>
          </w:p>
        </w:tc>
      </w:tr>
      <w:tr w:rsidR="00F67131" w14:paraId="65882B38" w14:textId="77777777">
        <w:trPr>
          <w:cantSplit/>
          <w:jc w:val="center"/>
        </w:trPr>
        <w:tc>
          <w:tcPr>
            <w:tcW w:w="3456" w:type="dxa"/>
            <w:tcMar>
              <w:top w:w="70" w:type="dxa"/>
              <w:left w:w="100" w:type="dxa"/>
              <w:bottom w:w="70" w:type="dxa"/>
              <w:right w:w="100" w:type="dxa"/>
            </w:tcMar>
          </w:tcPr>
          <w:p w14:paraId="71C1F95D" w14:textId="77777777" w:rsidR="00F67131" w:rsidRDefault="00000000">
            <w:pPr>
              <w:spacing w:before="40" w:after="40" w:line="240" w:lineRule="auto"/>
              <w:jc w:val="both"/>
            </w:pPr>
            <w:r>
              <w:rPr>
                <w:rFonts w:ascii="Times New Roman" w:hAnsi="Times New Roman"/>
                <w:color w:val="262626"/>
                <w:sz w:val="18"/>
              </w:rPr>
              <w:t>MB: Nợ xóa bằng quỹ DP trong năm (TM 11/10 HN)</w:t>
            </w:r>
          </w:p>
        </w:tc>
        <w:tc>
          <w:tcPr>
            <w:tcW w:w="1008" w:type="dxa"/>
            <w:tcMar>
              <w:top w:w="70" w:type="dxa"/>
              <w:left w:w="100" w:type="dxa"/>
              <w:bottom w:w="70" w:type="dxa"/>
              <w:right w:w="100" w:type="dxa"/>
            </w:tcMar>
          </w:tcPr>
          <w:p w14:paraId="39886045" w14:textId="77777777" w:rsidR="00F67131" w:rsidRDefault="00000000">
            <w:pPr>
              <w:spacing w:before="40" w:after="40" w:line="240" w:lineRule="auto"/>
              <w:jc w:val="both"/>
            </w:pPr>
            <w:r>
              <w:rPr>
                <w:rFonts w:ascii="Times New Roman" w:hAnsi="Times New Roman"/>
                <w:color w:val="262626"/>
                <w:sz w:val="18"/>
              </w:rPr>
              <w:t>4.980</w:t>
            </w:r>
          </w:p>
        </w:tc>
        <w:tc>
          <w:tcPr>
            <w:tcW w:w="1008" w:type="dxa"/>
            <w:tcMar>
              <w:top w:w="70" w:type="dxa"/>
              <w:left w:w="100" w:type="dxa"/>
              <w:bottom w:w="70" w:type="dxa"/>
              <w:right w:w="100" w:type="dxa"/>
            </w:tcMar>
          </w:tcPr>
          <w:p w14:paraId="3FE1F7BB" w14:textId="77777777" w:rsidR="00F67131" w:rsidRDefault="00000000">
            <w:pPr>
              <w:spacing w:before="40" w:after="40" w:line="240" w:lineRule="auto"/>
              <w:jc w:val="both"/>
            </w:pPr>
            <w:r>
              <w:rPr>
                <w:rFonts w:ascii="Times New Roman" w:hAnsi="Times New Roman"/>
                <w:color w:val="262626"/>
                <w:sz w:val="18"/>
              </w:rPr>
              <w:t>3.543</w:t>
            </w:r>
          </w:p>
        </w:tc>
        <w:tc>
          <w:tcPr>
            <w:tcW w:w="1008" w:type="dxa"/>
            <w:tcMar>
              <w:top w:w="70" w:type="dxa"/>
              <w:left w:w="100" w:type="dxa"/>
              <w:bottom w:w="70" w:type="dxa"/>
              <w:right w:w="100" w:type="dxa"/>
            </w:tcMar>
          </w:tcPr>
          <w:p w14:paraId="5AE99168" w14:textId="77777777" w:rsidR="00F67131" w:rsidRDefault="00000000">
            <w:pPr>
              <w:spacing w:before="40" w:after="40" w:line="240" w:lineRule="auto"/>
              <w:jc w:val="both"/>
            </w:pPr>
            <w:r>
              <w:rPr>
                <w:rFonts w:ascii="Times New Roman" w:hAnsi="Times New Roman"/>
                <w:color w:val="262626"/>
                <w:sz w:val="18"/>
              </w:rPr>
              <w:t>4.412</w:t>
            </w:r>
          </w:p>
        </w:tc>
        <w:tc>
          <w:tcPr>
            <w:tcW w:w="1008" w:type="dxa"/>
            <w:tcMar>
              <w:top w:w="70" w:type="dxa"/>
              <w:left w:w="100" w:type="dxa"/>
              <w:bottom w:w="70" w:type="dxa"/>
              <w:right w:w="100" w:type="dxa"/>
            </w:tcMar>
          </w:tcPr>
          <w:p w14:paraId="4D7C1FC4" w14:textId="77777777" w:rsidR="00F67131" w:rsidRDefault="00000000">
            <w:pPr>
              <w:spacing w:before="40" w:after="40" w:line="240" w:lineRule="auto"/>
              <w:jc w:val="both"/>
            </w:pPr>
            <w:r>
              <w:rPr>
                <w:rFonts w:ascii="Times New Roman" w:hAnsi="Times New Roman"/>
                <w:color w:val="262626"/>
                <w:sz w:val="18"/>
              </w:rPr>
              <w:t>6.622</w:t>
            </w:r>
          </w:p>
        </w:tc>
        <w:tc>
          <w:tcPr>
            <w:tcW w:w="1008" w:type="dxa"/>
            <w:tcMar>
              <w:top w:w="70" w:type="dxa"/>
              <w:left w:w="100" w:type="dxa"/>
              <w:bottom w:w="70" w:type="dxa"/>
              <w:right w:w="100" w:type="dxa"/>
            </w:tcMar>
          </w:tcPr>
          <w:p w14:paraId="2DDB8C01" w14:textId="77777777" w:rsidR="00F67131" w:rsidRDefault="00000000">
            <w:pPr>
              <w:spacing w:before="40" w:after="40" w:line="240" w:lineRule="auto"/>
              <w:jc w:val="both"/>
            </w:pPr>
            <w:r>
              <w:rPr>
                <w:rFonts w:ascii="Times New Roman" w:hAnsi="Times New Roman"/>
                <w:color w:val="262626"/>
                <w:sz w:val="18"/>
              </w:rPr>
              <w:t>9.397</w:t>
            </w:r>
          </w:p>
        </w:tc>
        <w:tc>
          <w:tcPr>
            <w:tcW w:w="1008" w:type="dxa"/>
            <w:tcMar>
              <w:top w:w="70" w:type="dxa"/>
              <w:left w:w="100" w:type="dxa"/>
              <w:bottom w:w="70" w:type="dxa"/>
              <w:right w:w="100" w:type="dxa"/>
            </w:tcMar>
          </w:tcPr>
          <w:p w14:paraId="5A96C81F" w14:textId="77777777" w:rsidR="00F67131" w:rsidRDefault="00000000">
            <w:pPr>
              <w:spacing w:before="40" w:after="40" w:line="240" w:lineRule="auto"/>
              <w:jc w:val="both"/>
            </w:pPr>
            <w:r>
              <w:rPr>
                <w:rFonts w:ascii="Times New Roman" w:hAnsi="Times New Roman"/>
                <w:color w:val="262626"/>
                <w:sz w:val="18"/>
              </w:rPr>
              <w:t>12.185</w:t>
            </w:r>
          </w:p>
        </w:tc>
      </w:tr>
    </w:tbl>
    <w:p w14:paraId="33EEFB01" w14:textId="77777777" w:rsidR="00F67131" w:rsidRDefault="00000000">
      <w:pPr>
        <w:spacing w:after="80" w:line="300" w:lineRule="auto"/>
        <w:jc w:val="both"/>
      </w:pPr>
      <w:r>
        <w:rPr>
          <w:rFonts w:ascii="Times New Roman" w:hAnsi="Times New Roman"/>
          <w:b/>
          <w:i/>
          <w:sz w:val="21"/>
        </w:rPr>
        <w:t xml:space="preserve">Nguồn: </w:t>
      </w:r>
      <w:r>
        <w:rPr>
          <w:rFonts w:ascii="Times New Roman" w:hAnsi="Times New Roman"/>
          <w:i/>
          <w:sz w:val="21"/>
        </w:rPr>
        <w:t>Trích xuất từ Báo cáo KQKD hợp nhất kiểm toán và Thuyết minh biến động dự phòng rủi ro cho vay khách hàng (TM 10/11 Agribank; TM 11/10 MB) giai đoạn 2020–2025.</w:t>
      </w:r>
    </w:p>
    <w:p>
      <w:pPr>
        <w:keepNext/>
        <w:spacing w:before="240" w:after="80"/>
        <w:jc w:val="center"/>
      </w:pPr>
      <w:r>
        <w:rPr>
          <w:rFonts w:ascii="Times New Roman" w:hAnsi="Times New Roman"/>
          <w:b/>
          <w:i w:val="0"/>
          <w:color w:val="002060"/>
          <w:sz w:val="21"/>
        </w:rPr>
        <w:t>Hình 3. Tỷ lệ bao phủ nợ xấu (LLCR) và Chi phí tín dụng (Credit Cost) giai đoạn 2020–2025</w:t>
      </w:r>
    </w:p>
    <w:p>
      <w:pPr>
        <w:spacing w:before="80" w:after="80"/>
        <w:jc w:val="center"/>
      </w:pPr>
      <w:r>
        <w:drawing>
          <wp:inline xmlns:a="http://schemas.openxmlformats.org/drawingml/2006/main" xmlns:pic="http://schemas.openxmlformats.org/drawingml/2006/picture">
            <wp:extent cx="5669280" cy="3201476"/>
            <wp:docPr id="3" name="Picture 3"/>
            <wp:cNvGraphicFramePr>
              <a:graphicFrameLocks noChangeAspect="1"/>
            </wp:cNvGraphicFramePr>
            <a:graphic>
              <a:graphicData uri="http://schemas.openxmlformats.org/drawingml/2006/picture">
                <pic:pic>
                  <pic:nvPicPr>
                    <pic:cNvPr id="0" name="Hinh_3_LLCR_va_Credit_Cost.png"/>
                    <pic:cNvPicPr/>
                  </pic:nvPicPr>
                  <pic:blipFill>
                    <a:blip r:embed="rId11"/>
                    <a:stretch>
                      <a:fillRect/>
                    </a:stretch>
                  </pic:blipFill>
                  <pic:spPr>
                    <a:xfrm>
                      <a:off x="0" y="0"/>
                      <a:ext cx="5669280" cy="3201476"/>
                    </a:xfrm>
                    <a:prstGeom prst="rect"/>
                  </pic:spPr>
                </pic:pic>
              </a:graphicData>
            </a:graphic>
          </wp:inline>
        </w:drawing>
      </w:r>
    </w:p>
    <w:p>
      <w:pPr>
        <w:spacing w:before="40" w:after="200"/>
        <w:jc w:val="center"/>
      </w:pPr>
      <w:r>
        <w:rPr>
          <w:rFonts w:ascii="Times New Roman" w:hAnsi="Times New Roman"/>
          <w:b w:val="0"/>
          <w:i/>
          <w:color w:val="505050"/>
          <w:sz w:val="18"/>
        </w:rPr>
        <w:t>Nguồn: Tính toán và đồ thị hóa của nhóm tác giả từ Báo cáo KQKD và Thuyết minh biến động dự phòng BCTC kiểm toán 2020–2025.</w:t>
      </w:r>
    </w:p>
    <w:p w14:paraId="14C67FCE" w14:textId="77777777" w:rsidR="00F67131" w:rsidRDefault="00000000">
      <w:pPr>
        <w:spacing w:after="80" w:line="300" w:lineRule="auto"/>
        <w:jc w:val="both"/>
      </w:pPr>
      <w:r>
        <w:rPr>
          <w:rFonts w:ascii="Times New Roman" w:hAnsi="Times New Roman"/>
          <w:color w:val="000000"/>
        </w:rPr>
        <w:t>Hành vi trích lập dự phòng theo chu kỳ: Hình 3 trực quan hóa rõ nét sự đánh đổi mang tính chu kỳ giữa bộ đệm dự phòng bao nợ xấu (LLCR) và chi phí tín dụng (Credit Cost) của hai ngân hàng. Năm 2021, MB trích lập mạnh, đưa tỷ lệ bao phủ nợ xấu hợp nhất lên 268,0% (riêng lẻ 348,7%). Năm 2023, nợ xấu hợp nhất của MB tăng 94,9% nhưng chi phí dự phòng giảm 24,4% (từ 8.048 xuống 6.087 tỷ đồng); tỷ trọng chi phí dự phòng trên lợi nhuận trước dự phòng giảm từ 26,1% (2022) xuống 18,8% (2023), và LLCR giảm từ 238,0% xuống 117,0%, rồi 92,2%–93,7% trong 2024–2025. Diễn biến này phù hợp với hiện tượng trích lập dự phòng thuận chu kỳ ("quá ít, quá muộn") và động cơ làm mượt lợi nhuận được Laeven &amp; Majnoni (2003) mô tả. Tuy nhiên, có hai lưu ý: (i) thuyết minh biến động dự phòng năm 2023 cho thấy trích lập ròng xấp xỉ 6,1 nghìn tỷ đồng (số dư đầu kỳ 11.976 tỷ, xóa nợ 6.622 tỷ, số dư cuối kỳ 11.470 tỷ), nên con số “hoàn nhập 4.800 tỷ đồng” do báo chí nêu chưa được xác nhận trên báo cáo kiểm toán; (ii) Agribank có diễn biến tương tự: năm 2023 nợ xấu tăng 10,2% nhưng chi phí dự phòng giảm 28,8% (từ 27.172 xuống 19.347 tỷ đồng), tỷ trọng chi phí dự phòng trên lợi nhuận trước dự phòng giảm từ 54,7% xuống 42,8%. Như vậy, đây là đặc điểm chung của năm 2023 – năm áp dụng Thông tư 02/2023 – chứ không riêng MB; muốn khẳng định hành vi làm mượt lợi nhuận cần kiểm định thống kê trên mẫu nhiều ngân hàng.</w:t>
      </w:r>
    </w:p>
    <w:p w14:paraId="1E21AC2C" w14:textId="77777777" w:rsidR="00F67131" w:rsidRDefault="00000000">
      <w:pPr>
        <w:spacing w:after="80" w:line="300" w:lineRule="auto"/>
        <w:jc w:val="both"/>
      </w:pPr>
      <w:r>
        <w:rPr>
          <w:rFonts w:ascii="Times New Roman" w:hAnsi="Times New Roman"/>
          <w:b/>
        </w:rPr>
        <w:t xml:space="preserve">Thu hồi nợ đã xử lý của Agribank: </w:t>
      </w:r>
      <w:r>
        <w:rPr>
          <w:rFonts w:ascii="Times New Roman" w:hAnsi="Times New Roman"/>
        </w:rPr>
        <w:t xml:space="preserve">Agribank duy trì LLCR hợp nhất trong khoảng 113,6%–146,3% (riêng lẻ 110,9%–144,4%). Thu từ nợ đã xử lý rủi ro theo Thuyết minh 29/30 BCTC hợp nhất tăng từ 8.673 tỷ đồng (2020) lên 12.123 tỷ đồng (2025); nếu tính cả thu từ xử lý tài sản như báo cáo thường niên 2025 thì đạt 16.305 tỷ đồng, tương đương 38,1%–51,3% chi phí dự phòng năm 2025. Số dư nợ đã xử lý đang theo dõi ngoại bảng cuối 2025 là 278.372 tỷ đồng, nên mức thu hồi hằng năm chỉ bằng </w:t>
      </w:r>
      <w:r>
        <w:rPr>
          <w:rFonts w:ascii="Times New Roman" w:hAnsi="Times New Roman"/>
        </w:rPr>
        <w:lastRenderedPageBreak/>
        <w:t>khoảng 4%–6% số dư này. Tài sản bảo đảm là đất đai giúp thu hồi được tiền mặt, nhưng tốc độ thu hồi chậm – phù hợp với tỷ trọng nợ nhóm 5 cao ở Mục 4.3.</w:t>
      </w:r>
    </w:p>
    <w:p>
      <w:pPr>
        <w:pStyle w:val="Heading2"/>
        <w:keepNext/>
        <w:spacing w:before="240" w:after="80"/>
        <w:outlineLvl w:val="1"/>
      </w:pPr>
      <w:r>
        <w:rPr>
          <w:rFonts w:ascii="Times New Roman" w:hAnsi="Times New Roman"/>
          <w:b/>
          <w:i w:val="0"/>
          <w:color w:val="0F4C81"/>
          <w:sz w:val="24"/>
        </w:rPr>
        <w:t>2.4. Nợ nhóm 2, Nợ cơ cấu và Áp lực nợ tiềm ẩn: Nợ nhóm 2 như biến báo động sớm (EWI)</w:t>
      </w:r>
    </w:p>
    <w:p>
      <w:pPr>
        <w:keepNext/>
        <w:pageBreakBefore w:val="0"/>
        <w:spacing w:before="200" w:after="80" w:line="276" w:lineRule="auto"/>
        <w:jc w:val="left"/>
      </w:pPr>
      <w:r>
        <w:rPr>
          <w:rFonts w:ascii="Times New Roman" w:hAnsi="Times New Roman"/>
          <w:b/>
          <w:i w:val="0"/>
          <w:color w:val="002060"/>
          <w:sz w:val="22"/>
        </w:rPr>
        <w:t>Bảng 4. Nợ nhóm 2, nợ cơ cấu theo thông tư và NPL điều chỉnh toàn diện (2020–2025)</w:t>
      </w:r>
    </w:p>
    <w:tbl>
      <w:tblPr>
        <w:tblW w:w="0" w:type="auto"/>
        <w:jc w:val="center"/>
        <w:tblBorders>
          <w:top w:val="single" w:sz="6" w:space="0" w:color="1B365D"/>
          <w:bottom w:val="single" w:sz="6" w:space="0" w:color="1B365D"/>
          <w:insideH w:val="single" w:sz="4" w:space="0" w:color="E0E0E0"/>
        </w:tblBorders>
        <w:tblLook w:val="04A0" w:firstRow="1" w:lastRow="0" w:firstColumn="1" w:lastColumn="0" w:noHBand="0" w:noVBand="1"/>
      </w:tblPr>
      <w:tblGrid>
        <w:gridCol w:w="3312"/>
        <w:gridCol w:w="990"/>
        <w:gridCol w:w="995"/>
        <w:gridCol w:w="995"/>
        <w:gridCol w:w="990"/>
        <w:gridCol w:w="995"/>
        <w:gridCol w:w="995"/>
      </w:tblGrid>
      <w:tr w:rsidR="00F67131" w14:paraId="609C0DD8" w14:textId="77777777">
        <w:trPr>
          <w:cantSplit/>
          <w:tblHeader/>
          <w:jc w:val="center"/>
        </w:trPr>
        <w:tc>
          <w:tcPr>
            <w:tcW w:w="3456" w:type="dxa"/>
            <w:shd w:val="clear" w:color="auto" w:fill="1B365D"/>
            <w:tcMar>
              <w:top w:w="70" w:type="dxa"/>
              <w:left w:w="100" w:type="dxa"/>
              <w:bottom w:w="70" w:type="dxa"/>
              <w:right w:w="100" w:type="dxa"/>
            </w:tcMar>
          </w:tcPr>
          <w:p w14:paraId="610E0D6C" w14:textId="77777777" w:rsidR="00F67131" w:rsidRDefault="00000000">
            <w:pPr>
              <w:spacing w:before="40" w:after="40" w:line="240" w:lineRule="auto"/>
              <w:jc w:val="both"/>
            </w:pPr>
            <w:r>
              <w:rPr>
                <w:rFonts w:ascii="Times New Roman" w:hAnsi="Times New Roman"/>
                <w:color w:val="FFFFFF"/>
                <w:sz w:val="19"/>
              </w:rPr>
              <w:t>Chỉ tiêu phân tích (Tỷ đồng, %)</w:t>
            </w:r>
          </w:p>
        </w:tc>
        <w:tc>
          <w:tcPr>
            <w:tcW w:w="1008" w:type="dxa"/>
            <w:shd w:val="clear" w:color="auto" w:fill="1B365D"/>
            <w:tcMar>
              <w:top w:w="70" w:type="dxa"/>
              <w:left w:w="100" w:type="dxa"/>
              <w:bottom w:w="70" w:type="dxa"/>
              <w:right w:w="100" w:type="dxa"/>
            </w:tcMar>
          </w:tcPr>
          <w:p w14:paraId="7325E1FD" w14:textId="77777777" w:rsidR="00F67131" w:rsidRDefault="00000000">
            <w:pPr>
              <w:spacing w:before="40" w:after="40" w:line="240" w:lineRule="auto"/>
              <w:jc w:val="both"/>
            </w:pPr>
            <w:r>
              <w:rPr>
                <w:rFonts w:ascii="Times New Roman" w:hAnsi="Times New Roman"/>
                <w:color w:val="FFFFFF"/>
                <w:sz w:val="19"/>
              </w:rPr>
              <w:t>2020</w:t>
            </w:r>
          </w:p>
        </w:tc>
        <w:tc>
          <w:tcPr>
            <w:tcW w:w="1008" w:type="dxa"/>
            <w:shd w:val="clear" w:color="auto" w:fill="1B365D"/>
            <w:tcMar>
              <w:top w:w="70" w:type="dxa"/>
              <w:left w:w="100" w:type="dxa"/>
              <w:bottom w:w="70" w:type="dxa"/>
              <w:right w:w="100" w:type="dxa"/>
            </w:tcMar>
          </w:tcPr>
          <w:p w14:paraId="0F5BAD7C" w14:textId="77777777" w:rsidR="00F67131" w:rsidRDefault="00000000">
            <w:pPr>
              <w:spacing w:before="40" w:after="40" w:line="240" w:lineRule="auto"/>
              <w:jc w:val="both"/>
            </w:pPr>
            <w:r>
              <w:rPr>
                <w:rFonts w:ascii="Times New Roman" w:hAnsi="Times New Roman"/>
                <w:color w:val="FFFFFF"/>
                <w:sz w:val="19"/>
              </w:rPr>
              <w:t>2021</w:t>
            </w:r>
          </w:p>
        </w:tc>
        <w:tc>
          <w:tcPr>
            <w:tcW w:w="1008" w:type="dxa"/>
            <w:shd w:val="clear" w:color="auto" w:fill="1B365D"/>
            <w:tcMar>
              <w:top w:w="70" w:type="dxa"/>
              <w:left w:w="100" w:type="dxa"/>
              <w:bottom w:w="70" w:type="dxa"/>
              <w:right w:w="100" w:type="dxa"/>
            </w:tcMar>
          </w:tcPr>
          <w:p w14:paraId="4B1B2A37" w14:textId="77777777" w:rsidR="00F67131" w:rsidRDefault="00000000">
            <w:pPr>
              <w:spacing w:before="40" w:after="40" w:line="240" w:lineRule="auto"/>
              <w:jc w:val="both"/>
            </w:pPr>
            <w:r>
              <w:rPr>
                <w:rFonts w:ascii="Times New Roman" w:hAnsi="Times New Roman"/>
                <w:color w:val="FFFFFF"/>
                <w:sz w:val="19"/>
              </w:rPr>
              <w:t>2022</w:t>
            </w:r>
          </w:p>
        </w:tc>
        <w:tc>
          <w:tcPr>
            <w:tcW w:w="1008" w:type="dxa"/>
            <w:shd w:val="clear" w:color="auto" w:fill="1B365D"/>
            <w:tcMar>
              <w:top w:w="70" w:type="dxa"/>
              <w:left w:w="100" w:type="dxa"/>
              <w:bottom w:w="70" w:type="dxa"/>
              <w:right w:w="100" w:type="dxa"/>
            </w:tcMar>
          </w:tcPr>
          <w:p w14:paraId="6C2F5459" w14:textId="77777777" w:rsidR="00F67131" w:rsidRDefault="00000000">
            <w:pPr>
              <w:spacing w:before="40" w:after="40" w:line="240" w:lineRule="auto"/>
              <w:jc w:val="both"/>
            </w:pPr>
            <w:r>
              <w:rPr>
                <w:rFonts w:ascii="Times New Roman" w:hAnsi="Times New Roman"/>
                <w:color w:val="FFFFFF"/>
                <w:sz w:val="19"/>
              </w:rPr>
              <w:t>2023</w:t>
            </w:r>
          </w:p>
        </w:tc>
        <w:tc>
          <w:tcPr>
            <w:tcW w:w="1008" w:type="dxa"/>
            <w:shd w:val="clear" w:color="auto" w:fill="1B365D"/>
            <w:tcMar>
              <w:top w:w="70" w:type="dxa"/>
              <w:left w:w="100" w:type="dxa"/>
              <w:bottom w:w="70" w:type="dxa"/>
              <w:right w:w="100" w:type="dxa"/>
            </w:tcMar>
          </w:tcPr>
          <w:p w14:paraId="6EC3C866" w14:textId="77777777" w:rsidR="00F67131" w:rsidRDefault="00000000">
            <w:pPr>
              <w:spacing w:before="40" w:after="40" w:line="240" w:lineRule="auto"/>
              <w:jc w:val="both"/>
            </w:pPr>
            <w:r>
              <w:rPr>
                <w:rFonts w:ascii="Times New Roman" w:hAnsi="Times New Roman"/>
                <w:color w:val="FFFFFF"/>
                <w:sz w:val="19"/>
              </w:rPr>
              <w:t>2024</w:t>
            </w:r>
          </w:p>
        </w:tc>
        <w:tc>
          <w:tcPr>
            <w:tcW w:w="1008" w:type="dxa"/>
            <w:shd w:val="clear" w:color="auto" w:fill="1B365D"/>
            <w:tcMar>
              <w:top w:w="70" w:type="dxa"/>
              <w:left w:w="100" w:type="dxa"/>
              <w:bottom w:w="70" w:type="dxa"/>
              <w:right w:w="100" w:type="dxa"/>
            </w:tcMar>
          </w:tcPr>
          <w:p w14:paraId="67EBEAD0" w14:textId="77777777" w:rsidR="00F67131" w:rsidRDefault="00000000">
            <w:pPr>
              <w:spacing w:before="40" w:after="40" w:line="240" w:lineRule="auto"/>
              <w:jc w:val="both"/>
            </w:pPr>
            <w:r>
              <w:rPr>
                <w:rFonts w:ascii="Times New Roman" w:hAnsi="Times New Roman"/>
                <w:color w:val="FFFFFF"/>
                <w:sz w:val="19"/>
              </w:rPr>
              <w:t>2025</w:t>
            </w:r>
          </w:p>
        </w:tc>
      </w:tr>
      <w:tr w:rsidR="00F67131" w14:paraId="1EB0358F" w14:textId="77777777">
        <w:trPr>
          <w:cantSplit/>
          <w:jc w:val="center"/>
        </w:trPr>
        <w:tc>
          <w:tcPr>
            <w:tcW w:w="3456" w:type="dxa"/>
            <w:tcMar>
              <w:top w:w="70" w:type="dxa"/>
              <w:left w:w="100" w:type="dxa"/>
              <w:bottom w:w="70" w:type="dxa"/>
              <w:right w:w="100" w:type="dxa"/>
            </w:tcMar>
          </w:tcPr>
          <w:p w14:paraId="5DCC00F7" w14:textId="77777777" w:rsidR="00F67131" w:rsidRDefault="00000000">
            <w:pPr>
              <w:spacing w:before="40" w:after="40" w:line="240" w:lineRule="auto"/>
              <w:jc w:val="both"/>
            </w:pPr>
            <w:r>
              <w:rPr>
                <w:rFonts w:ascii="Times New Roman" w:hAnsi="Times New Roman"/>
                <w:color w:val="262626"/>
                <w:sz w:val="18"/>
              </w:rPr>
              <w:t>Agribank: Nợ nhóm 2 (TM 9/10 BCTC Kiểm toán)</w:t>
            </w:r>
          </w:p>
        </w:tc>
        <w:tc>
          <w:tcPr>
            <w:tcW w:w="1008" w:type="dxa"/>
            <w:tcMar>
              <w:top w:w="70" w:type="dxa"/>
              <w:left w:w="100" w:type="dxa"/>
              <w:bottom w:w="70" w:type="dxa"/>
              <w:right w:w="100" w:type="dxa"/>
            </w:tcMar>
          </w:tcPr>
          <w:p w14:paraId="764DFA57" w14:textId="77777777" w:rsidR="00F67131" w:rsidRDefault="00000000">
            <w:pPr>
              <w:spacing w:before="40" w:after="40" w:line="240" w:lineRule="auto"/>
              <w:jc w:val="both"/>
            </w:pPr>
            <w:r>
              <w:rPr>
                <w:rFonts w:ascii="Times New Roman" w:hAnsi="Times New Roman"/>
                <w:color w:val="262626"/>
                <w:sz w:val="18"/>
              </w:rPr>
              <w:t>30.078</w:t>
            </w:r>
          </w:p>
        </w:tc>
        <w:tc>
          <w:tcPr>
            <w:tcW w:w="1008" w:type="dxa"/>
            <w:tcMar>
              <w:top w:w="70" w:type="dxa"/>
              <w:left w:w="100" w:type="dxa"/>
              <w:bottom w:w="70" w:type="dxa"/>
              <w:right w:w="100" w:type="dxa"/>
            </w:tcMar>
          </w:tcPr>
          <w:p w14:paraId="2889CA0D" w14:textId="77777777" w:rsidR="00F67131" w:rsidRDefault="00000000">
            <w:pPr>
              <w:spacing w:before="40" w:after="40" w:line="240" w:lineRule="auto"/>
              <w:jc w:val="both"/>
            </w:pPr>
            <w:r>
              <w:rPr>
                <w:rFonts w:ascii="Times New Roman" w:hAnsi="Times New Roman"/>
                <w:color w:val="262626"/>
                <w:sz w:val="18"/>
              </w:rPr>
              <w:t>28.446</w:t>
            </w:r>
          </w:p>
        </w:tc>
        <w:tc>
          <w:tcPr>
            <w:tcW w:w="1008" w:type="dxa"/>
            <w:tcMar>
              <w:top w:w="70" w:type="dxa"/>
              <w:left w:w="100" w:type="dxa"/>
              <w:bottom w:w="70" w:type="dxa"/>
              <w:right w:w="100" w:type="dxa"/>
            </w:tcMar>
          </w:tcPr>
          <w:p w14:paraId="491924AC" w14:textId="77777777" w:rsidR="00F67131" w:rsidRDefault="00000000">
            <w:pPr>
              <w:spacing w:before="40" w:after="40" w:line="240" w:lineRule="auto"/>
              <w:jc w:val="both"/>
            </w:pPr>
            <w:r>
              <w:rPr>
                <w:rFonts w:ascii="Times New Roman" w:hAnsi="Times New Roman"/>
                <w:color w:val="262626"/>
                <w:sz w:val="18"/>
              </w:rPr>
              <w:t>35.280</w:t>
            </w:r>
          </w:p>
        </w:tc>
        <w:tc>
          <w:tcPr>
            <w:tcW w:w="1008" w:type="dxa"/>
            <w:tcMar>
              <w:top w:w="70" w:type="dxa"/>
              <w:left w:w="100" w:type="dxa"/>
              <w:bottom w:w="70" w:type="dxa"/>
              <w:right w:w="100" w:type="dxa"/>
            </w:tcMar>
          </w:tcPr>
          <w:p w14:paraId="64A0AD0E" w14:textId="77777777" w:rsidR="00F67131" w:rsidRDefault="00000000">
            <w:pPr>
              <w:spacing w:before="40" w:after="40" w:line="240" w:lineRule="auto"/>
              <w:jc w:val="both"/>
            </w:pPr>
            <w:r>
              <w:rPr>
                <w:rFonts w:ascii="Times New Roman" w:hAnsi="Times New Roman"/>
                <w:color w:val="262626"/>
                <w:sz w:val="18"/>
              </w:rPr>
              <w:t>32.340</w:t>
            </w:r>
          </w:p>
        </w:tc>
        <w:tc>
          <w:tcPr>
            <w:tcW w:w="1008" w:type="dxa"/>
            <w:tcMar>
              <w:top w:w="70" w:type="dxa"/>
              <w:left w:w="100" w:type="dxa"/>
              <w:bottom w:w="70" w:type="dxa"/>
              <w:right w:w="100" w:type="dxa"/>
            </w:tcMar>
          </w:tcPr>
          <w:p w14:paraId="031BD25F" w14:textId="77777777" w:rsidR="00F67131" w:rsidRDefault="00000000">
            <w:pPr>
              <w:spacing w:before="40" w:after="40" w:line="240" w:lineRule="auto"/>
              <w:jc w:val="both"/>
            </w:pPr>
            <w:r>
              <w:rPr>
                <w:rFonts w:ascii="Times New Roman" w:hAnsi="Times New Roman"/>
                <w:color w:val="262626"/>
                <w:sz w:val="18"/>
              </w:rPr>
              <w:t>29.202</w:t>
            </w:r>
          </w:p>
        </w:tc>
        <w:tc>
          <w:tcPr>
            <w:tcW w:w="1008" w:type="dxa"/>
            <w:tcMar>
              <w:top w:w="70" w:type="dxa"/>
              <w:left w:w="100" w:type="dxa"/>
              <w:bottom w:w="70" w:type="dxa"/>
              <w:right w:w="100" w:type="dxa"/>
            </w:tcMar>
          </w:tcPr>
          <w:p w14:paraId="5D6249A5" w14:textId="77777777" w:rsidR="00F67131" w:rsidRDefault="00000000">
            <w:pPr>
              <w:spacing w:before="40" w:after="40" w:line="240" w:lineRule="auto"/>
              <w:jc w:val="both"/>
            </w:pPr>
            <w:r>
              <w:rPr>
                <w:rFonts w:ascii="Times New Roman" w:hAnsi="Times New Roman"/>
                <w:color w:val="262626"/>
                <w:sz w:val="18"/>
              </w:rPr>
              <w:t>21.282</w:t>
            </w:r>
          </w:p>
        </w:tc>
      </w:tr>
      <w:tr w:rsidR="00F67131" w14:paraId="53973A65" w14:textId="77777777">
        <w:trPr>
          <w:cantSplit/>
          <w:jc w:val="center"/>
        </w:trPr>
        <w:tc>
          <w:tcPr>
            <w:tcW w:w="3456" w:type="dxa"/>
            <w:tcMar>
              <w:top w:w="70" w:type="dxa"/>
              <w:left w:w="100" w:type="dxa"/>
              <w:bottom w:w="70" w:type="dxa"/>
              <w:right w:w="100" w:type="dxa"/>
            </w:tcMar>
          </w:tcPr>
          <w:p w14:paraId="690367AB" w14:textId="77777777" w:rsidR="00F67131" w:rsidRDefault="00000000">
            <w:pPr>
              <w:spacing w:before="40" w:after="40" w:line="240" w:lineRule="auto"/>
              <w:jc w:val="both"/>
            </w:pPr>
            <w:r>
              <w:rPr>
                <w:rFonts w:ascii="Times New Roman" w:hAnsi="Times New Roman"/>
                <w:color w:val="262626"/>
                <w:sz w:val="18"/>
              </w:rPr>
              <w:t>Agribank: Tỷ lệ nợ nhóm 2 / Dư nợ Hợp nhất (%)</w:t>
            </w:r>
          </w:p>
        </w:tc>
        <w:tc>
          <w:tcPr>
            <w:tcW w:w="1008" w:type="dxa"/>
            <w:tcMar>
              <w:top w:w="70" w:type="dxa"/>
              <w:left w:w="100" w:type="dxa"/>
              <w:bottom w:w="70" w:type="dxa"/>
              <w:right w:w="100" w:type="dxa"/>
            </w:tcMar>
          </w:tcPr>
          <w:p w14:paraId="42ACF838" w14:textId="77777777" w:rsidR="00F67131" w:rsidRDefault="00000000">
            <w:pPr>
              <w:spacing w:before="40" w:after="40" w:line="240" w:lineRule="auto"/>
              <w:jc w:val="both"/>
            </w:pPr>
            <w:r>
              <w:rPr>
                <w:rFonts w:ascii="Times New Roman" w:hAnsi="Times New Roman"/>
                <w:color w:val="262626"/>
                <w:sz w:val="18"/>
              </w:rPr>
              <w:t>2,48%</w:t>
            </w:r>
          </w:p>
        </w:tc>
        <w:tc>
          <w:tcPr>
            <w:tcW w:w="1008" w:type="dxa"/>
            <w:tcMar>
              <w:top w:w="70" w:type="dxa"/>
              <w:left w:w="100" w:type="dxa"/>
              <w:bottom w:w="70" w:type="dxa"/>
              <w:right w:w="100" w:type="dxa"/>
            </w:tcMar>
          </w:tcPr>
          <w:p w14:paraId="00BB41CE" w14:textId="77777777" w:rsidR="00F67131" w:rsidRDefault="00000000">
            <w:pPr>
              <w:spacing w:before="40" w:after="40" w:line="240" w:lineRule="auto"/>
              <w:jc w:val="both"/>
            </w:pPr>
            <w:r>
              <w:rPr>
                <w:rFonts w:ascii="Times New Roman" w:hAnsi="Times New Roman"/>
                <w:color w:val="262626"/>
                <w:sz w:val="18"/>
              </w:rPr>
              <w:t>2,16%</w:t>
            </w:r>
          </w:p>
        </w:tc>
        <w:tc>
          <w:tcPr>
            <w:tcW w:w="1008" w:type="dxa"/>
            <w:tcMar>
              <w:top w:w="70" w:type="dxa"/>
              <w:left w:w="100" w:type="dxa"/>
              <w:bottom w:w="70" w:type="dxa"/>
              <w:right w:w="100" w:type="dxa"/>
            </w:tcMar>
          </w:tcPr>
          <w:p w14:paraId="2AD83DED" w14:textId="77777777" w:rsidR="00F67131" w:rsidRDefault="00000000">
            <w:pPr>
              <w:spacing w:before="40" w:after="40" w:line="240" w:lineRule="auto"/>
              <w:jc w:val="both"/>
            </w:pPr>
            <w:r>
              <w:rPr>
                <w:rFonts w:ascii="Times New Roman" w:hAnsi="Times New Roman"/>
                <w:color w:val="262626"/>
                <w:sz w:val="18"/>
              </w:rPr>
              <w:t>2,44%</w:t>
            </w:r>
          </w:p>
        </w:tc>
        <w:tc>
          <w:tcPr>
            <w:tcW w:w="1008" w:type="dxa"/>
            <w:tcMar>
              <w:top w:w="70" w:type="dxa"/>
              <w:left w:w="100" w:type="dxa"/>
              <w:bottom w:w="70" w:type="dxa"/>
              <w:right w:w="100" w:type="dxa"/>
            </w:tcMar>
          </w:tcPr>
          <w:p w14:paraId="44CC6884" w14:textId="77777777" w:rsidR="00F67131" w:rsidRDefault="00000000">
            <w:pPr>
              <w:spacing w:before="40" w:after="40" w:line="240" w:lineRule="auto"/>
              <w:jc w:val="both"/>
            </w:pPr>
            <w:r>
              <w:rPr>
                <w:rFonts w:ascii="Times New Roman" w:hAnsi="Times New Roman"/>
                <w:color w:val="262626"/>
                <w:sz w:val="18"/>
              </w:rPr>
              <w:t>2,08%</w:t>
            </w:r>
          </w:p>
        </w:tc>
        <w:tc>
          <w:tcPr>
            <w:tcW w:w="1008" w:type="dxa"/>
            <w:tcMar>
              <w:top w:w="70" w:type="dxa"/>
              <w:left w:w="100" w:type="dxa"/>
              <w:bottom w:w="70" w:type="dxa"/>
              <w:right w:w="100" w:type="dxa"/>
            </w:tcMar>
          </w:tcPr>
          <w:p w14:paraId="70D276DD" w14:textId="77777777" w:rsidR="00F67131" w:rsidRDefault="00000000">
            <w:pPr>
              <w:spacing w:before="40" w:after="40" w:line="240" w:lineRule="auto"/>
              <w:jc w:val="both"/>
            </w:pPr>
            <w:r>
              <w:rPr>
                <w:rFonts w:ascii="Times New Roman" w:hAnsi="Times New Roman"/>
                <w:color w:val="262626"/>
                <w:sz w:val="18"/>
              </w:rPr>
              <w:t>1,69%</w:t>
            </w:r>
          </w:p>
        </w:tc>
        <w:tc>
          <w:tcPr>
            <w:tcW w:w="1008" w:type="dxa"/>
            <w:tcMar>
              <w:top w:w="70" w:type="dxa"/>
              <w:left w:w="100" w:type="dxa"/>
              <w:bottom w:w="70" w:type="dxa"/>
              <w:right w:w="100" w:type="dxa"/>
            </w:tcMar>
          </w:tcPr>
          <w:p w14:paraId="5526FBD0" w14:textId="77777777" w:rsidR="00F67131" w:rsidRDefault="00000000">
            <w:pPr>
              <w:spacing w:before="40" w:after="40" w:line="240" w:lineRule="auto"/>
              <w:jc w:val="both"/>
            </w:pPr>
            <w:r>
              <w:rPr>
                <w:rFonts w:ascii="Times New Roman" w:hAnsi="Times New Roman"/>
                <w:color w:val="262626"/>
                <w:sz w:val="18"/>
              </w:rPr>
              <w:t>1,08%</w:t>
            </w:r>
          </w:p>
        </w:tc>
      </w:tr>
      <w:tr w:rsidR="00F67131" w14:paraId="2A96B403" w14:textId="77777777">
        <w:trPr>
          <w:cantSplit/>
          <w:jc w:val="center"/>
        </w:trPr>
        <w:tc>
          <w:tcPr>
            <w:tcW w:w="3456" w:type="dxa"/>
            <w:tcMar>
              <w:top w:w="70" w:type="dxa"/>
              <w:left w:w="100" w:type="dxa"/>
              <w:bottom w:w="70" w:type="dxa"/>
              <w:right w:w="100" w:type="dxa"/>
            </w:tcMar>
          </w:tcPr>
          <w:p w14:paraId="6BA81ABE" w14:textId="77777777" w:rsidR="00F67131" w:rsidRDefault="00000000">
            <w:pPr>
              <w:spacing w:before="40" w:after="40" w:line="240" w:lineRule="auto"/>
              <w:jc w:val="both"/>
            </w:pPr>
            <w:r>
              <w:rPr>
                <w:rFonts w:ascii="Times New Roman" w:hAnsi="Times New Roman"/>
                <w:color w:val="262626"/>
                <w:sz w:val="18"/>
              </w:rPr>
              <w:t>Agribank: Tỷ lệ Nợ có vấn đề (Nhóm 2 + Nhóm 3–5) / Dư nợ HN</w:t>
            </w:r>
          </w:p>
        </w:tc>
        <w:tc>
          <w:tcPr>
            <w:tcW w:w="1008" w:type="dxa"/>
            <w:tcMar>
              <w:top w:w="70" w:type="dxa"/>
              <w:left w:w="100" w:type="dxa"/>
              <w:bottom w:w="70" w:type="dxa"/>
              <w:right w:w="100" w:type="dxa"/>
            </w:tcMar>
          </w:tcPr>
          <w:p w14:paraId="2B16D400" w14:textId="77777777" w:rsidR="00F67131" w:rsidRDefault="00000000">
            <w:pPr>
              <w:spacing w:before="40" w:after="40" w:line="240" w:lineRule="auto"/>
              <w:jc w:val="both"/>
            </w:pPr>
            <w:r>
              <w:rPr>
                <w:rFonts w:ascii="Times New Roman" w:hAnsi="Times New Roman"/>
                <w:color w:val="262626"/>
                <w:sz w:val="18"/>
              </w:rPr>
              <w:t>4,25%</w:t>
            </w:r>
          </w:p>
        </w:tc>
        <w:tc>
          <w:tcPr>
            <w:tcW w:w="1008" w:type="dxa"/>
            <w:tcMar>
              <w:top w:w="70" w:type="dxa"/>
              <w:left w:w="100" w:type="dxa"/>
              <w:bottom w:w="70" w:type="dxa"/>
              <w:right w:w="100" w:type="dxa"/>
            </w:tcMar>
          </w:tcPr>
          <w:p w14:paraId="25CFC9E9" w14:textId="77777777" w:rsidR="00F67131" w:rsidRDefault="00000000">
            <w:pPr>
              <w:spacing w:before="40" w:after="40" w:line="240" w:lineRule="auto"/>
              <w:jc w:val="both"/>
            </w:pPr>
            <w:r>
              <w:rPr>
                <w:rFonts w:ascii="Times New Roman" w:hAnsi="Times New Roman"/>
                <w:color w:val="262626"/>
                <w:sz w:val="18"/>
              </w:rPr>
              <w:t>4,03%</w:t>
            </w:r>
          </w:p>
        </w:tc>
        <w:tc>
          <w:tcPr>
            <w:tcW w:w="1008" w:type="dxa"/>
            <w:tcMar>
              <w:top w:w="70" w:type="dxa"/>
              <w:left w:w="100" w:type="dxa"/>
              <w:bottom w:w="70" w:type="dxa"/>
              <w:right w:w="100" w:type="dxa"/>
            </w:tcMar>
          </w:tcPr>
          <w:p w14:paraId="2F81B52E" w14:textId="77777777" w:rsidR="00F67131" w:rsidRDefault="00000000">
            <w:pPr>
              <w:spacing w:before="40" w:after="40" w:line="240" w:lineRule="auto"/>
              <w:jc w:val="both"/>
            </w:pPr>
            <w:r>
              <w:rPr>
                <w:rFonts w:ascii="Times New Roman" w:hAnsi="Times New Roman"/>
                <w:color w:val="262626"/>
                <w:sz w:val="18"/>
              </w:rPr>
              <w:t>4,25%</w:t>
            </w:r>
          </w:p>
        </w:tc>
        <w:tc>
          <w:tcPr>
            <w:tcW w:w="1008" w:type="dxa"/>
            <w:tcMar>
              <w:top w:w="70" w:type="dxa"/>
              <w:left w:w="100" w:type="dxa"/>
              <w:bottom w:w="70" w:type="dxa"/>
              <w:right w:w="100" w:type="dxa"/>
            </w:tcMar>
          </w:tcPr>
          <w:p w14:paraId="1E106EC5" w14:textId="77777777" w:rsidR="00F67131" w:rsidRDefault="00000000">
            <w:pPr>
              <w:spacing w:before="40" w:after="40" w:line="240" w:lineRule="auto"/>
              <w:jc w:val="both"/>
            </w:pPr>
            <w:r>
              <w:rPr>
                <w:rFonts w:ascii="Times New Roman" w:hAnsi="Times New Roman"/>
                <w:color w:val="262626"/>
                <w:sz w:val="18"/>
              </w:rPr>
              <w:t>3,93%</w:t>
            </w:r>
          </w:p>
        </w:tc>
        <w:tc>
          <w:tcPr>
            <w:tcW w:w="1008" w:type="dxa"/>
            <w:tcMar>
              <w:top w:w="70" w:type="dxa"/>
              <w:left w:w="100" w:type="dxa"/>
              <w:bottom w:w="70" w:type="dxa"/>
              <w:right w:w="100" w:type="dxa"/>
            </w:tcMar>
          </w:tcPr>
          <w:p w14:paraId="777632DC" w14:textId="77777777" w:rsidR="00F67131" w:rsidRDefault="00000000">
            <w:pPr>
              <w:spacing w:before="40" w:after="40" w:line="240" w:lineRule="auto"/>
              <w:jc w:val="both"/>
            </w:pPr>
            <w:r>
              <w:rPr>
                <w:rFonts w:ascii="Times New Roman" w:hAnsi="Times New Roman"/>
                <w:color w:val="262626"/>
                <w:sz w:val="18"/>
              </w:rPr>
              <w:t>3,38%</w:t>
            </w:r>
          </w:p>
        </w:tc>
        <w:tc>
          <w:tcPr>
            <w:tcW w:w="1008" w:type="dxa"/>
            <w:tcMar>
              <w:top w:w="70" w:type="dxa"/>
              <w:left w:w="100" w:type="dxa"/>
              <w:bottom w:w="70" w:type="dxa"/>
              <w:right w:w="100" w:type="dxa"/>
            </w:tcMar>
          </w:tcPr>
          <w:p w14:paraId="0C8A2413" w14:textId="77777777" w:rsidR="00F67131" w:rsidRDefault="00000000">
            <w:pPr>
              <w:spacing w:before="40" w:after="40" w:line="240" w:lineRule="auto"/>
              <w:jc w:val="both"/>
            </w:pPr>
            <w:r>
              <w:rPr>
                <w:rFonts w:ascii="Times New Roman" w:hAnsi="Times New Roman"/>
                <w:color w:val="262626"/>
                <w:sz w:val="18"/>
              </w:rPr>
              <w:t>2,37%</w:t>
            </w:r>
          </w:p>
        </w:tc>
      </w:tr>
      <w:tr w:rsidR="00F67131" w14:paraId="0CE28BC6" w14:textId="77777777">
        <w:trPr>
          <w:cantSplit/>
          <w:jc w:val="center"/>
        </w:trPr>
        <w:tc>
          <w:tcPr>
            <w:tcW w:w="3456" w:type="dxa"/>
            <w:tcMar>
              <w:top w:w="70" w:type="dxa"/>
              <w:left w:w="100" w:type="dxa"/>
              <w:bottom w:w="70" w:type="dxa"/>
              <w:right w:w="100" w:type="dxa"/>
            </w:tcMar>
          </w:tcPr>
          <w:p w14:paraId="72849906" w14:textId="77777777" w:rsidR="00F67131" w:rsidRDefault="00000000">
            <w:pPr>
              <w:spacing w:before="40" w:after="40" w:line="240" w:lineRule="auto"/>
              <w:jc w:val="both"/>
            </w:pPr>
            <w:r>
              <w:rPr>
                <w:rFonts w:ascii="Times New Roman" w:hAnsi="Times New Roman"/>
                <w:color w:val="262626"/>
                <w:sz w:val="18"/>
              </w:rPr>
              <w:t>Agribank: Dư nợ cơ cấu giữ nguyên nhóm nợ công bố (BCTN, tỷ)</w:t>
            </w:r>
          </w:p>
        </w:tc>
        <w:tc>
          <w:tcPr>
            <w:tcW w:w="1008" w:type="dxa"/>
            <w:tcMar>
              <w:top w:w="70" w:type="dxa"/>
              <w:left w:w="100" w:type="dxa"/>
              <w:bottom w:w="70" w:type="dxa"/>
              <w:right w:w="100" w:type="dxa"/>
            </w:tcMar>
          </w:tcPr>
          <w:p w14:paraId="63EF7563" w14:textId="77777777" w:rsidR="00F67131" w:rsidRDefault="00000000">
            <w:pPr>
              <w:spacing w:before="40" w:after="40" w:line="240" w:lineRule="auto"/>
              <w:jc w:val="both"/>
            </w:pPr>
            <w:r>
              <w:rPr>
                <w:rFonts w:ascii="Times New Roman" w:hAnsi="Times New Roman"/>
                <w:color w:val="262626"/>
                <w:sz w:val="18"/>
              </w:rPr>
              <w:t>n.a.</w:t>
            </w:r>
          </w:p>
        </w:tc>
        <w:tc>
          <w:tcPr>
            <w:tcW w:w="1008" w:type="dxa"/>
            <w:tcMar>
              <w:top w:w="70" w:type="dxa"/>
              <w:left w:w="100" w:type="dxa"/>
              <w:bottom w:w="70" w:type="dxa"/>
              <w:right w:w="100" w:type="dxa"/>
            </w:tcMar>
          </w:tcPr>
          <w:p w14:paraId="74773AB1" w14:textId="77777777" w:rsidR="00F67131" w:rsidRDefault="00000000">
            <w:pPr>
              <w:spacing w:before="40" w:after="40" w:line="240" w:lineRule="auto"/>
              <w:jc w:val="both"/>
            </w:pPr>
            <w:r>
              <w:rPr>
                <w:rFonts w:ascii="Times New Roman" w:hAnsi="Times New Roman"/>
                <w:color w:val="262626"/>
                <w:sz w:val="18"/>
              </w:rPr>
              <w:t>n.a.</w:t>
            </w:r>
          </w:p>
        </w:tc>
        <w:tc>
          <w:tcPr>
            <w:tcW w:w="1008" w:type="dxa"/>
            <w:tcMar>
              <w:top w:w="70" w:type="dxa"/>
              <w:left w:w="100" w:type="dxa"/>
              <w:bottom w:w="70" w:type="dxa"/>
              <w:right w:w="100" w:type="dxa"/>
            </w:tcMar>
          </w:tcPr>
          <w:p w14:paraId="1D138F70" w14:textId="77777777" w:rsidR="00F67131" w:rsidRDefault="00000000">
            <w:pPr>
              <w:spacing w:before="40" w:after="40" w:line="240" w:lineRule="auto"/>
              <w:jc w:val="both"/>
            </w:pPr>
            <w:r>
              <w:rPr>
                <w:rFonts w:ascii="Times New Roman" w:hAnsi="Times New Roman"/>
                <w:color w:val="262626"/>
                <w:sz w:val="18"/>
              </w:rPr>
              <w:t>0</w:t>
            </w:r>
          </w:p>
        </w:tc>
        <w:tc>
          <w:tcPr>
            <w:tcW w:w="1008" w:type="dxa"/>
            <w:tcMar>
              <w:top w:w="70" w:type="dxa"/>
              <w:left w:w="100" w:type="dxa"/>
              <w:bottom w:w="70" w:type="dxa"/>
              <w:right w:w="100" w:type="dxa"/>
            </w:tcMar>
          </w:tcPr>
          <w:p w14:paraId="12728E56" w14:textId="77777777" w:rsidR="00F67131" w:rsidRDefault="00000000">
            <w:pPr>
              <w:spacing w:before="40" w:after="40" w:line="240" w:lineRule="auto"/>
              <w:jc w:val="both"/>
            </w:pPr>
            <w:r>
              <w:rPr>
                <w:rFonts w:ascii="Times New Roman" w:hAnsi="Times New Roman"/>
                <w:color w:val="262626"/>
                <w:sz w:val="18"/>
              </w:rPr>
              <w:t>37.876</w:t>
            </w:r>
          </w:p>
        </w:tc>
        <w:tc>
          <w:tcPr>
            <w:tcW w:w="1008" w:type="dxa"/>
            <w:tcMar>
              <w:top w:w="70" w:type="dxa"/>
              <w:left w:w="100" w:type="dxa"/>
              <w:bottom w:w="70" w:type="dxa"/>
              <w:right w:w="100" w:type="dxa"/>
            </w:tcMar>
          </w:tcPr>
          <w:p w14:paraId="4FCB3A21" w14:textId="77777777" w:rsidR="00F67131" w:rsidRDefault="00000000">
            <w:pPr>
              <w:spacing w:before="40" w:after="40" w:line="240" w:lineRule="auto"/>
              <w:jc w:val="both"/>
            </w:pPr>
            <w:r>
              <w:rPr>
                <w:rFonts w:ascii="Times New Roman" w:hAnsi="Times New Roman"/>
                <w:color w:val="262626"/>
                <w:sz w:val="18"/>
              </w:rPr>
              <w:t>0</w:t>
            </w:r>
          </w:p>
        </w:tc>
        <w:tc>
          <w:tcPr>
            <w:tcW w:w="1008" w:type="dxa"/>
            <w:tcMar>
              <w:top w:w="70" w:type="dxa"/>
              <w:left w:w="100" w:type="dxa"/>
              <w:bottom w:w="70" w:type="dxa"/>
              <w:right w:w="100" w:type="dxa"/>
            </w:tcMar>
          </w:tcPr>
          <w:p w14:paraId="4281E95E" w14:textId="77777777" w:rsidR="00F67131" w:rsidRDefault="00000000">
            <w:pPr>
              <w:spacing w:before="40" w:after="40" w:line="240" w:lineRule="auto"/>
              <w:jc w:val="both"/>
            </w:pPr>
            <w:r>
              <w:rPr>
                <w:rFonts w:ascii="Times New Roman" w:hAnsi="Times New Roman"/>
                <w:color w:val="262626"/>
                <w:sz w:val="18"/>
              </w:rPr>
              <w:t>n.a.</w:t>
            </w:r>
          </w:p>
        </w:tc>
      </w:tr>
      <w:tr w:rsidR="00F67131" w14:paraId="5ED8F04B" w14:textId="77777777">
        <w:trPr>
          <w:cantSplit/>
          <w:jc w:val="center"/>
        </w:trPr>
        <w:tc>
          <w:tcPr>
            <w:tcW w:w="3456" w:type="dxa"/>
            <w:tcMar>
              <w:top w:w="70" w:type="dxa"/>
              <w:left w:w="100" w:type="dxa"/>
              <w:bottom w:w="70" w:type="dxa"/>
              <w:right w:w="100" w:type="dxa"/>
            </w:tcMar>
          </w:tcPr>
          <w:p w14:paraId="6A18EF7D" w14:textId="77777777" w:rsidR="00F67131" w:rsidRDefault="00000000">
            <w:pPr>
              <w:spacing w:before="40" w:after="40" w:line="240" w:lineRule="auto"/>
              <w:jc w:val="both"/>
            </w:pPr>
            <w:r>
              <w:rPr>
                <w:rFonts w:ascii="Times New Roman" w:hAnsi="Times New Roman"/>
                <w:color w:val="262626"/>
                <w:sz w:val="18"/>
              </w:rPr>
              <w:t>Agribank: NPL điều chỉnh tại các năm có số công bố (%)</w:t>
            </w:r>
          </w:p>
        </w:tc>
        <w:tc>
          <w:tcPr>
            <w:tcW w:w="1008" w:type="dxa"/>
            <w:tcMar>
              <w:top w:w="70" w:type="dxa"/>
              <w:left w:w="100" w:type="dxa"/>
              <w:bottom w:w="70" w:type="dxa"/>
              <w:right w:w="100" w:type="dxa"/>
            </w:tcMar>
          </w:tcPr>
          <w:p w14:paraId="59A86FF7" w14:textId="77777777" w:rsidR="00F67131" w:rsidRDefault="00000000">
            <w:pPr>
              <w:spacing w:before="40" w:after="40" w:line="240" w:lineRule="auto"/>
              <w:jc w:val="both"/>
            </w:pPr>
            <w:r>
              <w:rPr>
                <w:rFonts w:ascii="Times New Roman" w:hAnsi="Times New Roman"/>
                <w:color w:val="262626"/>
                <w:sz w:val="18"/>
              </w:rPr>
              <w:t>n.a.</w:t>
            </w:r>
          </w:p>
        </w:tc>
        <w:tc>
          <w:tcPr>
            <w:tcW w:w="1008" w:type="dxa"/>
            <w:tcMar>
              <w:top w:w="70" w:type="dxa"/>
              <w:left w:w="100" w:type="dxa"/>
              <w:bottom w:w="70" w:type="dxa"/>
              <w:right w:w="100" w:type="dxa"/>
            </w:tcMar>
          </w:tcPr>
          <w:p w14:paraId="2DDC439A" w14:textId="77777777" w:rsidR="00F67131" w:rsidRDefault="00000000">
            <w:pPr>
              <w:spacing w:before="40" w:after="40" w:line="240" w:lineRule="auto"/>
              <w:jc w:val="both"/>
            </w:pPr>
            <w:r>
              <w:rPr>
                <w:rFonts w:ascii="Times New Roman" w:hAnsi="Times New Roman"/>
                <w:color w:val="262626"/>
                <w:sz w:val="18"/>
              </w:rPr>
              <w:t>n.a.</w:t>
            </w:r>
          </w:p>
        </w:tc>
        <w:tc>
          <w:tcPr>
            <w:tcW w:w="1008" w:type="dxa"/>
            <w:tcMar>
              <w:top w:w="70" w:type="dxa"/>
              <w:left w:w="100" w:type="dxa"/>
              <w:bottom w:w="70" w:type="dxa"/>
              <w:right w:w="100" w:type="dxa"/>
            </w:tcMar>
          </w:tcPr>
          <w:p w14:paraId="761A41DC" w14:textId="77777777" w:rsidR="00F67131" w:rsidRDefault="00000000">
            <w:pPr>
              <w:spacing w:before="40" w:after="40" w:line="240" w:lineRule="auto"/>
              <w:jc w:val="both"/>
            </w:pPr>
            <w:r>
              <w:rPr>
                <w:rFonts w:ascii="Times New Roman" w:hAnsi="Times New Roman"/>
                <w:color w:val="262626"/>
                <w:sz w:val="18"/>
              </w:rPr>
              <w:t>1,80%</w:t>
            </w:r>
          </w:p>
        </w:tc>
        <w:tc>
          <w:tcPr>
            <w:tcW w:w="1008" w:type="dxa"/>
            <w:tcMar>
              <w:top w:w="70" w:type="dxa"/>
              <w:left w:w="100" w:type="dxa"/>
              <w:bottom w:w="70" w:type="dxa"/>
              <w:right w:w="100" w:type="dxa"/>
            </w:tcMar>
          </w:tcPr>
          <w:p w14:paraId="685D89BC" w14:textId="77777777" w:rsidR="00F67131" w:rsidRDefault="00000000">
            <w:pPr>
              <w:spacing w:before="40" w:after="40" w:line="240" w:lineRule="auto"/>
              <w:jc w:val="both"/>
            </w:pPr>
            <w:r>
              <w:rPr>
                <w:rFonts w:ascii="Times New Roman" w:hAnsi="Times New Roman"/>
                <w:color w:val="262626"/>
                <w:sz w:val="18"/>
              </w:rPr>
              <w:t>4,29%</w:t>
            </w:r>
          </w:p>
        </w:tc>
        <w:tc>
          <w:tcPr>
            <w:tcW w:w="1008" w:type="dxa"/>
            <w:tcMar>
              <w:top w:w="70" w:type="dxa"/>
              <w:left w:w="100" w:type="dxa"/>
              <w:bottom w:w="70" w:type="dxa"/>
              <w:right w:w="100" w:type="dxa"/>
            </w:tcMar>
          </w:tcPr>
          <w:p w14:paraId="6779D207" w14:textId="77777777" w:rsidR="00F67131" w:rsidRDefault="00000000">
            <w:pPr>
              <w:spacing w:before="40" w:after="40" w:line="240" w:lineRule="auto"/>
              <w:jc w:val="both"/>
            </w:pPr>
            <w:r>
              <w:rPr>
                <w:rFonts w:ascii="Times New Roman" w:hAnsi="Times New Roman"/>
                <w:color w:val="262626"/>
                <w:sz w:val="18"/>
              </w:rPr>
              <w:t>1,68%</w:t>
            </w:r>
          </w:p>
        </w:tc>
        <w:tc>
          <w:tcPr>
            <w:tcW w:w="1008" w:type="dxa"/>
            <w:tcMar>
              <w:top w:w="70" w:type="dxa"/>
              <w:left w:w="100" w:type="dxa"/>
              <w:bottom w:w="70" w:type="dxa"/>
              <w:right w:w="100" w:type="dxa"/>
            </w:tcMar>
          </w:tcPr>
          <w:p w14:paraId="477B437D" w14:textId="77777777" w:rsidR="00F67131" w:rsidRDefault="00000000">
            <w:pPr>
              <w:spacing w:before="40" w:after="40" w:line="240" w:lineRule="auto"/>
              <w:jc w:val="both"/>
            </w:pPr>
            <w:r>
              <w:rPr>
                <w:rFonts w:ascii="Times New Roman" w:hAnsi="Times New Roman"/>
                <w:color w:val="262626"/>
                <w:sz w:val="18"/>
              </w:rPr>
              <w:t>n.a.</w:t>
            </w:r>
          </w:p>
        </w:tc>
      </w:tr>
      <w:tr w:rsidR="00F67131" w14:paraId="21A5D1C2" w14:textId="77777777">
        <w:trPr>
          <w:cantSplit/>
          <w:jc w:val="center"/>
        </w:trPr>
        <w:tc>
          <w:tcPr>
            <w:tcW w:w="3456" w:type="dxa"/>
            <w:tcMar>
              <w:top w:w="70" w:type="dxa"/>
              <w:left w:w="100" w:type="dxa"/>
              <w:bottom w:w="70" w:type="dxa"/>
              <w:right w:w="100" w:type="dxa"/>
            </w:tcMar>
          </w:tcPr>
          <w:p w14:paraId="43875DF0" w14:textId="77777777" w:rsidR="00F67131" w:rsidRDefault="00000000">
            <w:pPr>
              <w:spacing w:before="40" w:after="40" w:line="240" w:lineRule="auto"/>
              <w:jc w:val="both"/>
            </w:pPr>
            <w:r>
              <w:rPr>
                <w:rFonts w:ascii="Times New Roman" w:hAnsi="Times New Roman"/>
                <w:color w:val="262626"/>
                <w:sz w:val="18"/>
              </w:rPr>
              <w:t>MB: Nợ nhóm 2 Hợp nhất (TM 10.1/9.1 BCTC)</w:t>
            </w:r>
          </w:p>
        </w:tc>
        <w:tc>
          <w:tcPr>
            <w:tcW w:w="1008" w:type="dxa"/>
            <w:tcMar>
              <w:top w:w="70" w:type="dxa"/>
              <w:left w:w="100" w:type="dxa"/>
              <w:bottom w:w="70" w:type="dxa"/>
              <w:right w:w="100" w:type="dxa"/>
            </w:tcMar>
          </w:tcPr>
          <w:p w14:paraId="3B2BA138" w14:textId="77777777" w:rsidR="00F67131" w:rsidRDefault="00000000">
            <w:pPr>
              <w:spacing w:before="40" w:after="40" w:line="240" w:lineRule="auto"/>
              <w:jc w:val="both"/>
            </w:pPr>
            <w:r>
              <w:rPr>
                <w:rFonts w:ascii="Times New Roman" w:hAnsi="Times New Roman"/>
                <w:color w:val="262626"/>
                <w:sz w:val="18"/>
              </w:rPr>
              <w:t>2.422</w:t>
            </w:r>
          </w:p>
        </w:tc>
        <w:tc>
          <w:tcPr>
            <w:tcW w:w="1008" w:type="dxa"/>
            <w:tcMar>
              <w:top w:w="70" w:type="dxa"/>
              <w:left w:w="100" w:type="dxa"/>
              <w:bottom w:w="70" w:type="dxa"/>
              <w:right w:w="100" w:type="dxa"/>
            </w:tcMar>
          </w:tcPr>
          <w:p w14:paraId="13D4C3CD" w14:textId="77777777" w:rsidR="00F67131" w:rsidRDefault="00000000">
            <w:pPr>
              <w:spacing w:before="40" w:after="40" w:line="240" w:lineRule="auto"/>
              <w:jc w:val="both"/>
            </w:pPr>
            <w:r>
              <w:rPr>
                <w:rFonts w:ascii="Times New Roman" w:hAnsi="Times New Roman"/>
                <w:color w:val="262626"/>
                <w:sz w:val="18"/>
              </w:rPr>
              <w:t>3.913</w:t>
            </w:r>
          </w:p>
        </w:tc>
        <w:tc>
          <w:tcPr>
            <w:tcW w:w="1008" w:type="dxa"/>
            <w:tcMar>
              <w:top w:w="70" w:type="dxa"/>
              <w:left w:w="100" w:type="dxa"/>
              <w:bottom w:w="70" w:type="dxa"/>
              <w:right w:w="100" w:type="dxa"/>
            </w:tcMar>
          </w:tcPr>
          <w:p w14:paraId="64685CDF" w14:textId="77777777" w:rsidR="00F67131" w:rsidRDefault="00000000">
            <w:pPr>
              <w:spacing w:before="40" w:after="40" w:line="240" w:lineRule="auto"/>
              <w:jc w:val="both"/>
            </w:pPr>
            <w:r>
              <w:rPr>
                <w:rFonts w:ascii="Times New Roman" w:hAnsi="Times New Roman"/>
                <w:color w:val="262626"/>
                <w:sz w:val="18"/>
              </w:rPr>
              <w:t>7.809</w:t>
            </w:r>
          </w:p>
        </w:tc>
        <w:tc>
          <w:tcPr>
            <w:tcW w:w="1008" w:type="dxa"/>
            <w:tcMar>
              <w:top w:w="70" w:type="dxa"/>
              <w:left w:w="100" w:type="dxa"/>
              <w:bottom w:w="70" w:type="dxa"/>
              <w:right w:w="100" w:type="dxa"/>
            </w:tcMar>
          </w:tcPr>
          <w:p w14:paraId="12BFC935" w14:textId="77777777" w:rsidR="00F67131" w:rsidRDefault="00000000">
            <w:pPr>
              <w:spacing w:before="40" w:after="40" w:line="240" w:lineRule="auto"/>
              <w:jc w:val="both"/>
            </w:pPr>
            <w:r>
              <w:rPr>
                <w:rFonts w:ascii="Times New Roman" w:hAnsi="Times New Roman"/>
                <w:color w:val="262626"/>
                <w:sz w:val="18"/>
              </w:rPr>
              <w:t>13.918</w:t>
            </w:r>
          </w:p>
        </w:tc>
        <w:tc>
          <w:tcPr>
            <w:tcW w:w="1008" w:type="dxa"/>
            <w:tcMar>
              <w:top w:w="70" w:type="dxa"/>
              <w:left w:w="100" w:type="dxa"/>
              <w:bottom w:w="70" w:type="dxa"/>
              <w:right w:w="100" w:type="dxa"/>
            </w:tcMar>
          </w:tcPr>
          <w:p w14:paraId="6296A2D6" w14:textId="77777777" w:rsidR="00F67131" w:rsidRDefault="00000000">
            <w:pPr>
              <w:spacing w:before="40" w:after="40" w:line="240" w:lineRule="auto"/>
              <w:jc w:val="both"/>
            </w:pPr>
            <w:r>
              <w:rPr>
                <w:rFonts w:ascii="Times New Roman" w:hAnsi="Times New Roman"/>
                <w:color w:val="262626"/>
                <w:sz w:val="18"/>
              </w:rPr>
              <w:t>12.197</w:t>
            </w:r>
          </w:p>
        </w:tc>
        <w:tc>
          <w:tcPr>
            <w:tcW w:w="1008" w:type="dxa"/>
            <w:tcMar>
              <w:top w:w="70" w:type="dxa"/>
              <w:left w:w="100" w:type="dxa"/>
              <w:bottom w:w="70" w:type="dxa"/>
              <w:right w:w="100" w:type="dxa"/>
            </w:tcMar>
          </w:tcPr>
          <w:p w14:paraId="47F1C881" w14:textId="77777777" w:rsidR="00F67131" w:rsidRDefault="00000000">
            <w:pPr>
              <w:spacing w:before="40" w:after="40" w:line="240" w:lineRule="auto"/>
              <w:jc w:val="both"/>
            </w:pPr>
            <w:r>
              <w:rPr>
                <w:rFonts w:ascii="Times New Roman" w:hAnsi="Times New Roman"/>
                <w:color w:val="262626"/>
                <w:sz w:val="18"/>
              </w:rPr>
              <w:t>10.210</w:t>
            </w:r>
          </w:p>
        </w:tc>
      </w:tr>
      <w:tr w:rsidR="00F67131" w14:paraId="7C26873E" w14:textId="77777777">
        <w:trPr>
          <w:cantSplit/>
          <w:jc w:val="center"/>
        </w:trPr>
        <w:tc>
          <w:tcPr>
            <w:tcW w:w="3456" w:type="dxa"/>
            <w:tcMar>
              <w:top w:w="70" w:type="dxa"/>
              <w:left w:w="100" w:type="dxa"/>
              <w:bottom w:w="70" w:type="dxa"/>
              <w:right w:w="100" w:type="dxa"/>
            </w:tcMar>
          </w:tcPr>
          <w:p w14:paraId="716CD198" w14:textId="77777777" w:rsidR="00F67131" w:rsidRDefault="00000000">
            <w:pPr>
              <w:spacing w:before="40" w:after="40" w:line="240" w:lineRule="auto"/>
              <w:jc w:val="both"/>
            </w:pPr>
            <w:r>
              <w:rPr>
                <w:rFonts w:ascii="Times New Roman" w:hAnsi="Times New Roman"/>
                <w:color w:val="262626"/>
                <w:sz w:val="18"/>
              </w:rPr>
              <w:t>MB: Tỷ lệ nợ nhóm 2 / Dư nợ Hợp nhất (%)</w:t>
            </w:r>
          </w:p>
        </w:tc>
        <w:tc>
          <w:tcPr>
            <w:tcW w:w="1008" w:type="dxa"/>
            <w:tcMar>
              <w:top w:w="70" w:type="dxa"/>
              <w:left w:w="100" w:type="dxa"/>
              <w:bottom w:w="70" w:type="dxa"/>
              <w:right w:w="100" w:type="dxa"/>
            </w:tcMar>
          </w:tcPr>
          <w:p w14:paraId="76B1B76A" w14:textId="77777777" w:rsidR="00F67131" w:rsidRDefault="00000000">
            <w:pPr>
              <w:spacing w:before="40" w:after="40" w:line="240" w:lineRule="auto"/>
              <w:jc w:val="both"/>
            </w:pPr>
            <w:r>
              <w:rPr>
                <w:rFonts w:ascii="Times New Roman" w:hAnsi="Times New Roman"/>
                <w:color w:val="262626"/>
                <w:sz w:val="18"/>
              </w:rPr>
              <w:t>0,81%</w:t>
            </w:r>
          </w:p>
        </w:tc>
        <w:tc>
          <w:tcPr>
            <w:tcW w:w="1008" w:type="dxa"/>
            <w:tcMar>
              <w:top w:w="70" w:type="dxa"/>
              <w:left w:w="100" w:type="dxa"/>
              <w:bottom w:w="70" w:type="dxa"/>
              <w:right w:w="100" w:type="dxa"/>
            </w:tcMar>
          </w:tcPr>
          <w:p w14:paraId="1AD65FD0" w14:textId="77777777" w:rsidR="00F67131" w:rsidRDefault="00000000">
            <w:pPr>
              <w:spacing w:before="40" w:after="40" w:line="240" w:lineRule="auto"/>
              <w:jc w:val="both"/>
            </w:pPr>
            <w:r>
              <w:rPr>
                <w:rFonts w:ascii="Times New Roman" w:hAnsi="Times New Roman"/>
                <w:color w:val="262626"/>
                <w:sz w:val="18"/>
              </w:rPr>
              <w:t>1,08%</w:t>
            </w:r>
          </w:p>
        </w:tc>
        <w:tc>
          <w:tcPr>
            <w:tcW w:w="1008" w:type="dxa"/>
            <w:tcMar>
              <w:top w:w="70" w:type="dxa"/>
              <w:left w:w="100" w:type="dxa"/>
              <w:bottom w:w="70" w:type="dxa"/>
              <w:right w:w="100" w:type="dxa"/>
            </w:tcMar>
          </w:tcPr>
          <w:p w14:paraId="2D265D3F" w14:textId="77777777" w:rsidR="00F67131" w:rsidRDefault="00000000">
            <w:pPr>
              <w:spacing w:before="40" w:after="40" w:line="240" w:lineRule="auto"/>
              <w:jc w:val="both"/>
            </w:pPr>
            <w:r>
              <w:rPr>
                <w:rFonts w:ascii="Times New Roman" w:hAnsi="Times New Roman"/>
                <w:color w:val="262626"/>
                <w:sz w:val="18"/>
              </w:rPr>
              <w:t>1,70%</w:t>
            </w:r>
          </w:p>
        </w:tc>
        <w:tc>
          <w:tcPr>
            <w:tcW w:w="1008" w:type="dxa"/>
            <w:tcMar>
              <w:top w:w="70" w:type="dxa"/>
              <w:left w:w="100" w:type="dxa"/>
              <w:bottom w:w="70" w:type="dxa"/>
              <w:right w:w="100" w:type="dxa"/>
            </w:tcMar>
          </w:tcPr>
          <w:p w14:paraId="33D3F395" w14:textId="77777777" w:rsidR="00F67131" w:rsidRDefault="00000000">
            <w:pPr>
              <w:spacing w:before="40" w:after="40" w:line="240" w:lineRule="auto"/>
              <w:jc w:val="both"/>
            </w:pPr>
            <w:r>
              <w:rPr>
                <w:rFonts w:ascii="Times New Roman" w:hAnsi="Times New Roman"/>
                <w:color w:val="262626"/>
                <w:sz w:val="18"/>
              </w:rPr>
              <w:t>2,28%</w:t>
            </w:r>
          </w:p>
        </w:tc>
        <w:tc>
          <w:tcPr>
            <w:tcW w:w="1008" w:type="dxa"/>
            <w:tcMar>
              <w:top w:w="70" w:type="dxa"/>
              <w:left w:w="100" w:type="dxa"/>
              <w:bottom w:w="70" w:type="dxa"/>
              <w:right w:w="100" w:type="dxa"/>
            </w:tcMar>
          </w:tcPr>
          <w:p w14:paraId="65346FB9" w14:textId="77777777" w:rsidR="00F67131" w:rsidRDefault="00000000">
            <w:pPr>
              <w:spacing w:before="40" w:after="40" w:line="240" w:lineRule="auto"/>
              <w:jc w:val="both"/>
            </w:pPr>
            <w:r>
              <w:rPr>
                <w:rFonts w:ascii="Times New Roman" w:hAnsi="Times New Roman"/>
                <w:color w:val="262626"/>
                <w:sz w:val="18"/>
              </w:rPr>
              <w:t>1,57%</w:t>
            </w:r>
          </w:p>
        </w:tc>
        <w:tc>
          <w:tcPr>
            <w:tcW w:w="1008" w:type="dxa"/>
            <w:tcMar>
              <w:top w:w="70" w:type="dxa"/>
              <w:left w:w="100" w:type="dxa"/>
              <w:bottom w:w="70" w:type="dxa"/>
              <w:right w:w="100" w:type="dxa"/>
            </w:tcMar>
          </w:tcPr>
          <w:p w14:paraId="27AEE8D2" w14:textId="77777777" w:rsidR="00F67131" w:rsidRDefault="00000000">
            <w:pPr>
              <w:spacing w:before="40" w:after="40" w:line="240" w:lineRule="auto"/>
              <w:jc w:val="both"/>
            </w:pPr>
            <w:r>
              <w:rPr>
                <w:rFonts w:ascii="Times New Roman" w:hAnsi="Times New Roman"/>
                <w:color w:val="262626"/>
                <w:sz w:val="18"/>
              </w:rPr>
              <w:t>0,94%</w:t>
            </w:r>
          </w:p>
        </w:tc>
      </w:tr>
      <w:tr w:rsidR="00F67131" w14:paraId="6BF4196A" w14:textId="77777777">
        <w:trPr>
          <w:cantSplit/>
          <w:jc w:val="center"/>
        </w:trPr>
        <w:tc>
          <w:tcPr>
            <w:tcW w:w="3456" w:type="dxa"/>
            <w:tcMar>
              <w:top w:w="70" w:type="dxa"/>
              <w:left w:w="100" w:type="dxa"/>
              <w:bottom w:w="70" w:type="dxa"/>
              <w:right w:w="100" w:type="dxa"/>
            </w:tcMar>
          </w:tcPr>
          <w:p w14:paraId="6D1F563F" w14:textId="77777777" w:rsidR="00F67131" w:rsidRDefault="00000000">
            <w:pPr>
              <w:spacing w:before="40" w:after="40" w:line="240" w:lineRule="auto"/>
              <w:jc w:val="both"/>
            </w:pPr>
            <w:r>
              <w:rPr>
                <w:rFonts w:ascii="Times New Roman" w:hAnsi="Times New Roman"/>
                <w:color w:val="262626"/>
                <w:sz w:val="18"/>
              </w:rPr>
              <w:t>MB: Tỷ lệ Nợ có vấn đề (Nhóm 2 + Nhóm 3–5) / Dư nợ HN</w:t>
            </w:r>
          </w:p>
        </w:tc>
        <w:tc>
          <w:tcPr>
            <w:tcW w:w="1008" w:type="dxa"/>
            <w:tcMar>
              <w:top w:w="70" w:type="dxa"/>
              <w:left w:w="100" w:type="dxa"/>
              <w:bottom w:w="70" w:type="dxa"/>
              <w:right w:w="100" w:type="dxa"/>
            </w:tcMar>
          </w:tcPr>
          <w:p w14:paraId="663CB17C" w14:textId="77777777" w:rsidR="00F67131" w:rsidRDefault="00000000">
            <w:pPr>
              <w:spacing w:before="40" w:after="40" w:line="240" w:lineRule="auto"/>
              <w:jc w:val="both"/>
            </w:pPr>
            <w:r>
              <w:rPr>
                <w:rFonts w:ascii="Times New Roman" w:hAnsi="Times New Roman"/>
                <w:color w:val="262626"/>
                <w:sz w:val="18"/>
              </w:rPr>
              <w:t>1,90%</w:t>
            </w:r>
          </w:p>
        </w:tc>
        <w:tc>
          <w:tcPr>
            <w:tcW w:w="1008" w:type="dxa"/>
            <w:tcMar>
              <w:top w:w="70" w:type="dxa"/>
              <w:left w:w="100" w:type="dxa"/>
              <w:bottom w:w="70" w:type="dxa"/>
              <w:right w:w="100" w:type="dxa"/>
            </w:tcMar>
          </w:tcPr>
          <w:p w14:paraId="4171D2F7" w14:textId="77777777" w:rsidR="00F67131" w:rsidRDefault="00000000">
            <w:pPr>
              <w:spacing w:before="40" w:after="40" w:line="240" w:lineRule="auto"/>
              <w:jc w:val="both"/>
            </w:pPr>
            <w:r>
              <w:rPr>
                <w:rFonts w:ascii="Times New Roman" w:hAnsi="Times New Roman"/>
                <w:color w:val="262626"/>
                <w:sz w:val="18"/>
              </w:rPr>
              <w:t>1,98%</w:t>
            </w:r>
          </w:p>
        </w:tc>
        <w:tc>
          <w:tcPr>
            <w:tcW w:w="1008" w:type="dxa"/>
            <w:tcMar>
              <w:top w:w="70" w:type="dxa"/>
              <w:left w:w="100" w:type="dxa"/>
              <w:bottom w:w="70" w:type="dxa"/>
              <w:right w:w="100" w:type="dxa"/>
            </w:tcMar>
          </w:tcPr>
          <w:p w14:paraId="46B71D4E" w14:textId="77777777" w:rsidR="00F67131" w:rsidRDefault="00000000">
            <w:pPr>
              <w:spacing w:before="40" w:after="40" w:line="240" w:lineRule="auto"/>
              <w:jc w:val="both"/>
            </w:pPr>
            <w:r>
              <w:rPr>
                <w:rFonts w:ascii="Times New Roman" w:hAnsi="Times New Roman"/>
                <w:color w:val="262626"/>
                <w:sz w:val="18"/>
              </w:rPr>
              <w:t>2,79%</w:t>
            </w:r>
          </w:p>
        </w:tc>
        <w:tc>
          <w:tcPr>
            <w:tcW w:w="1008" w:type="dxa"/>
            <w:tcMar>
              <w:top w:w="70" w:type="dxa"/>
              <w:left w:w="100" w:type="dxa"/>
              <w:bottom w:w="70" w:type="dxa"/>
              <w:right w:w="100" w:type="dxa"/>
            </w:tcMar>
          </w:tcPr>
          <w:p w14:paraId="79EC0F6D" w14:textId="77777777" w:rsidR="00F67131" w:rsidRDefault="00000000">
            <w:pPr>
              <w:spacing w:before="40" w:after="40" w:line="240" w:lineRule="auto"/>
              <w:jc w:val="both"/>
            </w:pPr>
            <w:r>
              <w:rPr>
                <w:rFonts w:ascii="Times New Roman" w:hAnsi="Times New Roman"/>
                <w:color w:val="262626"/>
                <w:sz w:val="18"/>
              </w:rPr>
              <w:t>3,88%</w:t>
            </w:r>
          </w:p>
        </w:tc>
        <w:tc>
          <w:tcPr>
            <w:tcW w:w="1008" w:type="dxa"/>
            <w:tcMar>
              <w:top w:w="70" w:type="dxa"/>
              <w:left w:w="100" w:type="dxa"/>
              <w:bottom w:w="70" w:type="dxa"/>
              <w:right w:w="100" w:type="dxa"/>
            </w:tcMar>
          </w:tcPr>
          <w:p w14:paraId="7018BD7C" w14:textId="77777777" w:rsidR="00F67131" w:rsidRDefault="00000000">
            <w:pPr>
              <w:spacing w:before="40" w:after="40" w:line="240" w:lineRule="auto"/>
              <w:jc w:val="both"/>
            </w:pPr>
            <w:r>
              <w:rPr>
                <w:rFonts w:ascii="Times New Roman" w:hAnsi="Times New Roman"/>
                <w:color w:val="262626"/>
                <w:sz w:val="18"/>
              </w:rPr>
              <w:t>3,19%</w:t>
            </w:r>
          </w:p>
        </w:tc>
        <w:tc>
          <w:tcPr>
            <w:tcW w:w="1008" w:type="dxa"/>
            <w:tcMar>
              <w:top w:w="70" w:type="dxa"/>
              <w:left w:w="100" w:type="dxa"/>
              <w:bottom w:w="70" w:type="dxa"/>
              <w:right w:w="100" w:type="dxa"/>
            </w:tcMar>
          </w:tcPr>
          <w:p w14:paraId="002A25AD" w14:textId="77777777" w:rsidR="00F67131" w:rsidRDefault="00000000">
            <w:pPr>
              <w:spacing w:before="40" w:after="40" w:line="240" w:lineRule="auto"/>
              <w:jc w:val="both"/>
            </w:pPr>
            <w:r>
              <w:rPr>
                <w:rFonts w:ascii="Times New Roman" w:hAnsi="Times New Roman"/>
                <w:color w:val="262626"/>
                <w:sz w:val="18"/>
              </w:rPr>
              <w:t>2,24%</w:t>
            </w:r>
          </w:p>
        </w:tc>
      </w:tr>
      <w:tr w:rsidR="00F67131" w14:paraId="6AC3C171" w14:textId="77777777">
        <w:trPr>
          <w:cantSplit/>
          <w:jc w:val="center"/>
        </w:trPr>
        <w:tc>
          <w:tcPr>
            <w:tcW w:w="3456" w:type="dxa"/>
            <w:tcMar>
              <w:top w:w="70" w:type="dxa"/>
              <w:left w:w="100" w:type="dxa"/>
              <w:bottom w:w="70" w:type="dxa"/>
              <w:right w:w="100" w:type="dxa"/>
            </w:tcMar>
          </w:tcPr>
          <w:p w14:paraId="0E7FE0DD" w14:textId="77777777" w:rsidR="00F67131" w:rsidRDefault="00000000">
            <w:pPr>
              <w:spacing w:before="40" w:after="40" w:line="240" w:lineRule="auto"/>
              <w:jc w:val="both"/>
            </w:pPr>
            <w:r>
              <w:rPr>
                <w:rFonts w:ascii="Times New Roman" w:hAnsi="Times New Roman"/>
                <w:color w:val="262626"/>
                <w:sz w:val="18"/>
              </w:rPr>
              <w:t>MB: Dư nợ cơ cấu công bố (tỷ) &amp; NPL điều chỉnh (%)</w:t>
            </w:r>
          </w:p>
        </w:tc>
        <w:tc>
          <w:tcPr>
            <w:tcW w:w="1008" w:type="dxa"/>
            <w:tcMar>
              <w:top w:w="70" w:type="dxa"/>
              <w:left w:w="100" w:type="dxa"/>
              <w:bottom w:w="70" w:type="dxa"/>
              <w:right w:w="100" w:type="dxa"/>
            </w:tcMar>
          </w:tcPr>
          <w:p w14:paraId="5AE2289E" w14:textId="77777777" w:rsidR="00F67131" w:rsidRDefault="00000000">
            <w:pPr>
              <w:spacing w:before="40" w:after="40" w:line="240" w:lineRule="auto"/>
              <w:jc w:val="both"/>
            </w:pPr>
            <w:r>
              <w:rPr>
                <w:rFonts w:ascii="Times New Roman" w:hAnsi="Times New Roman"/>
                <w:color w:val="262626"/>
                <w:sz w:val="18"/>
              </w:rPr>
              <w:t>n.a.</w:t>
            </w:r>
          </w:p>
        </w:tc>
        <w:tc>
          <w:tcPr>
            <w:tcW w:w="1008" w:type="dxa"/>
            <w:tcMar>
              <w:top w:w="70" w:type="dxa"/>
              <w:left w:w="100" w:type="dxa"/>
              <w:bottom w:w="70" w:type="dxa"/>
              <w:right w:w="100" w:type="dxa"/>
            </w:tcMar>
          </w:tcPr>
          <w:p w14:paraId="313D274A" w14:textId="77777777" w:rsidR="00F67131" w:rsidRDefault="00000000">
            <w:pPr>
              <w:spacing w:before="40" w:after="40" w:line="240" w:lineRule="auto"/>
              <w:jc w:val="both"/>
            </w:pPr>
            <w:r>
              <w:rPr>
                <w:rFonts w:ascii="Times New Roman" w:hAnsi="Times New Roman"/>
                <w:color w:val="262626"/>
                <w:sz w:val="18"/>
              </w:rPr>
              <w:t>612 (1,07%)</w:t>
            </w:r>
          </w:p>
        </w:tc>
        <w:tc>
          <w:tcPr>
            <w:tcW w:w="1008" w:type="dxa"/>
            <w:tcMar>
              <w:top w:w="70" w:type="dxa"/>
              <w:left w:w="100" w:type="dxa"/>
              <w:bottom w:w="70" w:type="dxa"/>
              <w:right w:w="100" w:type="dxa"/>
            </w:tcMar>
          </w:tcPr>
          <w:p w14:paraId="12191F52" w14:textId="77777777" w:rsidR="00F67131" w:rsidRDefault="00000000">
            <w:pPr>
              <w:spacing w:before="40" w:after="40" w:line="240" w:lineRule="auto"/>
              <w:jc w:val="both"/>
            </w:pPr>
            <w:r>
              <w:rPr>
                <w:rFonts w:ascii="Times New Roman" w:hAnsi="Times New Roman"/>
                <w:color w:val="262626"/>
                <w:sz w:val="18"/>
              </w:rPr>
              <w:t>0 (1,09%)</w:t>
            </w:r>
          </w:p>
        </w:tc>
        <w:tc>
          <w:tcPr>
            <w:tcW w:w="1008" w:type="dxa"/>
            <w:tcMar>
              <w:top w:w="70" w:type="dxa"/>
              <w:left w:w="100" w:type="dxa"/>
              <w:bottom w:w="70" w:type="dxa"/>
              <w:right w:w="100" w:type="dxa"/>
            </w:tcMar>
          </w:tcPr>
          <w:p w14:paraId="68D353AB" w14:textId="77777777" w:rsidR="00F67131" w:rsidRDefault="00000000">
            <w:pPr>
              <w:spacing w:before="40" w:after="40" w:line="240" w:lineRule="auto"/>
              <w:jc w:val="both"/>
            </w:pPr>
            <w:r>
              <w:rPr>
                <w:rFonts w:ascii="Times New Roman" w:hAnsi="Times New Roman"/>
                <w:color w:val="262626"/>
                <w:sz w:val="18"/>
              </w:rPr>
              <w:t>n.a.</w:t>
            </w:r>
          </w:p>
        </w:tc>
        <w:tc>
          <w:tcPr>
            <w:tcW w:w="1008" w:type="dxa"/>
            <w:tcMar>
              <w:top w:w="70" w:type="dxa"/>
              <w:left w:w="100" w:type="dxa"/>
              <w:bottom w:w="70" w:type="dxa"/>
              <w:right w:w="100" w:type="dxa"/>
            </w:tcMar>
          </w:tcPr>
          <w:p w14:paraId="0E3DC0E2" w14:textId="77777777" w:rsidR="00F67131" w:rsidRDefault="00000000">
            <w:pPr>
              <w:spacing w:before="40" w:after="40" w:line="240" w:lineRule="auto"/>
              <w:jc w:val="both"/>
            </w:pPr>
            <w:r>
              <w:rPr>
                <w:rFonts w:ascii="Times New Roman" w:hAnsi="Times New Roman"/>
                <w:color w:val="262626"/>
                <w:sz w:val="18"/>
              </w:rPr>
              <w:t>0 (1,62%)</w:t>
            </w:r>
          </w:p>
        </w:tc>
        <w:tc>
          <w:tcPr>
            <w:tcW w:w="1008" w:type="dxa"/>
            <w:tcMar>
              <w:top w:w="70" w:type="dxa"/>
              <w:left w:w="100" w:type="dxa"/>
              <w:bottom w:w="70" w:type="dxa"/>
              <w:right w:w="100" w:type="dxa"/>
            </w:tcMar>
          </w:tcPr>
          <w:p w14:paraId="721D57F2" w14:textId="77777777" w:rsidR="00F67131" w:rsidRDefault="00000000">
            <w:pPr>
              <w:spacing w:before="40" w:after="40" w:line="240" w:lineRule="auto"/>
              <w:jc w:val="both"/>
            </w:pPr>
            <w:r>
              <w:rPr>
                <w:rFonts w:ascii="Times New Roman" w:hAnsi="Times New Roman"/>
                <w:color w:val="262626"/>
                <w:sz w:val="18"/>
              </w:rPr>
              <w:t>0 (1,29%)</w:t>
            </w:r>
          </w:p>
        </w:tc>
      </w:tr>
    </w:tbl>
    <w:p w14:paraId="72E106DB" w14:textId="77777777" w:rsidR="00F67131" w:rsidRDefault="00000000">
      <w:pPr>
        <w:spacing w:after="80" w:line="300" w:lineRule="auto"/>
        <w:jc w:val="both"/>
      </w:pPr>
      <w:r>
        <w:rPr>
          <w:rFonts w:ascii="Times New Roman" w:hAnsi="Times New Roman"/>
          <w:b/>
          <w:i/>
          <w:sz w:val="21"/>
        </w:rPr>
        <w:t xml:space="preserve">Nguồn: </w:t>
      </w:r>
      <w:r>
        <w:rPr>
          <w:rFonts w:ascii="Times New Roman" w:hAnsi="Times New Roman"/>
          <w:i/>
          <w:sz w:val="21"/>
        </w:rPr>
        <w:t>Trích xuất từ Thuyết minh phân tích chất lượng nợ cho vay (TM 9/10 Agribank; TM 10.1/9.1 MB) và Báo cáo thường niên 2021 (tr.41 MB), 2023 (tr.39 Agribank). Các năm không thuyết minh số dư nợ cơ cấu tuyệt đối trên BCTC được ghi nhận là 'n.a.'.</w:t>
      </w:r>
    </w:p>
    <w:p w14:paraId="3DD0F499" w14:textId="77777777" w:rsidR="00F67131" w:rsidRDefault="00000000">
      <w:pPr>
        <w:spacing w:after="80" w:line="300" w:lineRule="auto"/>
        <w:jc w:val="both"/>
      </w:pPr>
      <w:r>
        <w:rPr>
          <w:rFonts w:ascii="Times New Roman" w:hAnsi="Times New Roman"/>
          <w:b/>
        </w:rPr>
        <w:t xml:space="preserve">So sánh Nợ nhóm 2, Tỷ lệ nợ có vấn đề (Nhóm 2–5) và Nợ cơ cấu có kiểm chứng: </w:t>
      </w:r>
      <w:r>
        <w:rPr>
          <w:rFonts w:ascii="Times New Roman" w:hAnsi="Times New Roman"/>
        </w:rPr>
        <w:t xml:space="preserve">Nợ nhóm 2 (nợ cần chú ý) là chỉ báo cảnh báo sớm quan trọng về sự suy giảm dòng tiền trả nợ của khách hàng. Khi đặt cả hai ngân hàng lên cùng một thước đo chuẩn hóa là Tỷ lệ Nợ có vấn đề (tổng nợ nhóm 2 và nợ xấu nhóm 3–5 chia cho dư nợ cho vay hợp nhất – tương ứng dòng 16 và dòng 28 trên sheet Chi_tieu), bức tranh hội tụ rủi ro trong giai đoạn khủng hoảng 2022–2023 hiện lên rất rõ nét: tại Agribank, nợ nhóm 2 đạt đỉnh tuyệt đối 35.280 tỷ đồng năm 2022 (2,44% dư nợ; tỷ lệ cao nhất của giai đoạn là 2,48% năm 2020) và Tỷ lệ nợ có vấn đề duy trì quanh mức 4,25% (2020 và 2022), trước khi giảm dần về 3,93% (2023), 3,38% (2024) và 2,37% (2025). Ngược lại, tại MB, tỷ lệ nợ nhóm 2 hợp nhất tăng vọt từ 0,81% (2020) lên đỉnh 2,28% năm 2023 (13.918 tỷ đồng, cao hơn mức 2,08% của Agribank), đẩy Tỷ lệ nợ có vấn đề của MB từ 1,90% (2020) lên tới 3,88% năm 2023 – tiệm cận sát mức 3,93% của Agribank – trước khi hạ về 3,19% (2024) và 2,24% (2025). Đối với dư nợ cơ cấu lại thời hạn trả nợ và giữ nguyên nhóm nợ, để đảm bảo tính nghiêm ngặt học thuật, nghiên cứu chỉ đưa vào tính toán định lượng các con số tuyệt đối được công bố chính thức tại Báo cáo thường niên và BCTC kiểm toán: </w:t>
      </w:r>
      <w:r>
        <w:rPr>
          <w:rFonts w:ascii="Times New Roman" w:hAnsi="Times New Roman"/>
        </w:rPr>
        <w:lastRenderedPageBreak/>
        <w:t>(i) Tại Agribank, Báo cáo thường niên 2023 (trang 39) xác nhận dư nợ cơ cấu theo Thông tư 02/2023/TT-NHNN đến 31/12/2023 là 37.876 tỷ đồng (với 4.249 khách hàng), qua đó đẩy tỷ lệ NPL điều chỉnh cận trên của Agribank năm 2023 từ 1,85% lên 4,29%; đến cuối năm 2024, Thông tư 02 hết hiệu lực và Agribank đã trích đủ 100% dự phòng theo quy định, trong khi số dư cơ cấu theo Thông tư 01/03/14 (giai đoạn 2020–2021) và Thông tư 53/2024 (bão Yagi năm 2025) không được thuyết minh số tuyệt đối trên BCTC nên được ký hiệu là 'n.a.'; (ii) Tại MB, Báo cáo thường niên 2021 (trang 41) công bố số dư nợ cơ cấu Covid cuối năm 2021 còn 612 tỷ đồng (đã trích đủ 100% dự phòng), tương ứng NPL điều chỉnh năm 2021 là 1,07%. Một đặc điểm cấu trúc cốt lõi của Agribank là nợ nhóm 5 (nợ có khả năng mất vốn) luôn chiếm từ 67,0% đến 79,0% tổng nợ xấu (năm 2025: 20.220 / 25.610 tỷ đồng, tương đương 79,0% theo Thuyết minh 9 BCTC hợp nhất 2025). Nguyên nhân là tài sản bảo đảm của Agribank chủ yếu là đất nông nghiệp và đất ở nông thôn có tính thanh khoản thứ cấp thấp, thủ tục khởi kiện và thi hành án kéo dài nhiều năm, đặc biệt trong giai đoạn khoảng trống pháp lý từ khi Nghị quyết 42 hết hiệu lực (31/12/2023) đến trước khi Luật số 96/2025/QH15 có hiệu lực (15/10/2025).</w:t>
      </w:r>
    </w:p>
    <w:p>
      <w:pPr>
        <w:pStyle w:val="Heading2"/>
        <w:keepNext/>
        <w:spacing w:before="240" w:after="80"/>
        <w:outlineLvl w:val="1"/>
      </w:pPr>
      <w:r>
        <w:rPr>
          <w:rFonts w:ascii="Times New Roman" w:hAnsi="Times New Roman"/>
          <w:b/>
          <w:i w:val="0"/>
          <w:color w:val="0F4C81"/>
          <w:sz w:val="24"/>
        </w:rPr>
        <w:t>2.5. Đo lường hiệu quả tài chính điều chỉnh theo rủi ro (RORAC)</w:t>
      </w:r>
    </w:p>
    <w:p>
      <w:pPr>
        <w:keepNext/>
        <w:pageBreakBefore w:val="0"/>
        <w:spacing w:before="200" w:after="80" w:line="276" w:lineRule="auto"/>
        <w:jc w:val="left"/>
      </w:pPr>
      <w:r>
        <w:rPr>
          <w:rFonts w:ascii="Times New Roman" w:hAnsi="Times New Roman"/>
          <w:b/>
          <w:i w:val="0"/>
          <w:color w:val="002060"/>
          <w:sz w:val="22"/>
        </w:rPr>
        <w:t>Bảng 5. Tỷ suất lợi nhuận trên vốn rủi ro ước tính (RORAC proxy) giai đoạn 2020–2025</w:t>
      </w:r>
    </w:p>
    <w:tbl>
      <w:tblPr>
        <w:tblW w:w="0" w:type="auto"/>
        <w:jc w:val="center"/>
        <w:tblBorders>
          <w:top w:val="single" w:sz="6" w:space="0" w:color="1B365D"/>
          <w:bottom w:val="single" w:sz="6" w:space="0" w:color="1B365D"/>
          <w:insideH w:val="single" w:sz="4" w:space="0" w:color="E0E0E0"/>
        </w:tblBorders>
        <w:tblLook w:val="04A0" w:firstRow="1" w:lastRow="0" w:firstColumn="1" w:lastColumn="0" w:noHBand="0" w:noVBand="1"/>
      </w:tblPr>
      <w:tblGrid>
        <w:gridCol w:w="3308"/>
        <w:gridCol w:w="989"/>
        <w:gridCol w:w="995"/>
        <w:gridCol w:w="995"/>
        <w:gridCol w:w="995"/>
        <w:gridCol w:w="995"/>
        <w:gridCol w:w="995"/>
      </w:tblGrid>
      <w:tr w:rsidR="00F67131" w14:paraId="585FED38" w14:textId="77777777">
        <w:trPr>
          <w:cantSplit/>
          <w:tblHeader/>
          <w:jc w:val="center"/>
        </w:trPr>
        <w:tc>
          <w:tcPr>
            <w:tcW w:w="3456" w:type="dxa"/>
            <w:shd w:val="clear" w:color="auto" w:fill="1B365D"/>
            <w:tcMar>
              <w:top w:w="70" w:type="dxa"/>
              <w:left w:w="100" w:type="dxa"/>
              <w:bottom w:w="70" w:type="dxa"/>
              <w:right w:w="100" w:type="dxa"/>
            </w:tcMar>
          </w:tcPr>
          <w:p w14:paraId="35EDB7FB" w14:textId="77777777" w:rsidR="00F67131" w:rsidRDefault="00000000">
            <w:pPr>
              <w:spacing w:before="40" w:after="40" w:line="240" w:lineRule="auto"/>
              <w:jc w:val="both"/>
            </w:pPr>
            <w:r>
              <w:rPr>
                <w:rFonts w:ascii="Times New Roman" w:hAnsi="Times New Roman"/>
                <w:b/>
                <w:color w:val="FFFFFF"/>
                <w:sz w:val="19"/>
              </w:rPr>
              <w:t>Chỉ tiêu RORAC proxy (Tỷ đồng, %)</w:t>
            </w:r>
          </w:p>
        </w:tc>
        <w:tc>
          <w:tcPr>
            <w:tcW w:w="1008" w:type="dxa"/>
            <w:shd w:val="clear" w:color="auto" w:fill="1B365D"/>
            <w:tcMar>
              <w:top w:w="70" w:type="dxa"/>
              <w:left w:w="100" w:type="dxa"/>
              <w:bottom w:w="70" w:type="dxa"/>
              <w:right w:w="100" w:type="dxa"/>
            </w:tcMar>
          </w:tcPr>
          <w:p w14:paraId="7BB7D852" w14:textId="77777777" w:rsidR="00F67131" w:rsidRDefault="00000000">
            <w:pPr>
              <w:spacing w:before="40" w:after="40" w:line="240" w:lineRule="auto"/>
              <w:jc w:val="both"/>
            </w:pPr>
            <w:r>
              <w:rPr>
                <w:rFonts w:ascii="Times New Roman" w:hAnsi="Times New Roman"/>
                <w:b/>
                <w:color w:val="FFFFFF"/>
                <w:sz w:val="19"/>
              </w:rPr>
              <w:t>2020</w:t>
            </w:r>
          </w:p>
        </w:tc>
        <w:tc>
          <w:tcPr>
            <w:tcW w:w="1008" w:type="dxa"/>
            <w:shd w:val="clear" w:color="auto" w:fill="1B365D"/>
            <w:tcMar>
              <w:top w:w="70" w:type="dxa"/>
              <w:left w:w="100" w:type="dxa"/>
              <w:bottom w:w="70" w:type="dxa"/>
              <w:right w:w="100" w:type="dxa"/>
            </w:tcMar>
          </w:tcPr>
          <w:p w14:paraId="56F2AE36" w14:textId="77777777" w:rsidR="00F67131" w:rsidRDefault="00000000">
            <w:pPr>
              <w:spacing w:before="40" w:after="40" w:line="240" w:lineRule="auto"/>
              <w:jc w:val="both"/>
            </w:pPr>
            <w:r>
              <w:rPr>
                <w:rFonts w:ascii="Times New Roman" w:hAnsi="Times New Roman"/>
                <w:b/>
                <w:color w:val="FFFFFF"/>
                <w:sz w:val="19"/>
              </w:rPr>
              <w:t>2021</w:t>
            </w:r>
          </w:p>
        </w:tc>
        <w:tc>
          <w:tcPr>
            <w:tcW w:w="1008" w:type="dxa"/>
            <w:shd w:val="clear" w:color="auto" w:fill="1B365D"/>
            <w:tcMar>
              <w:top w:w="70" w:type="dxa"/>
              <w:left w:w="100" w:type="dxa"/>
              <w:bottom w:w="70" w:type="dxa"/>
              <w:right w:w="100" w:type="dxa"/>
            </w:tcMar>
          </w:tcPr>
          <w:p w14:paraId="3712212A" w14:textId="77777777" w:rsidR="00F67131" w:rsidRDefault="00000000">
            <w:pPr>
              <w:spacing w:before="40" w:after="40" w:line="240" w:lineRule="auto"/>
              <w:jc w:val="both"/>
            </w:pPr>
            <w:r>
              <w:rPr>
                <w:rFonts w:ascii="Times New Roman" w:hAnsi="Times New Roman"/>
                <w:b/>
                <w:color w:val="FFFFFF"/>
                <w:sz w:val="19"/>
              </w:rPr>
              <w:t>2022</w:t>
            </w:r>
          </w:p>
        </w:tc>
        <w:tc>
          <w:tcPr>
            <w:tcW w:w="1008" w:type="dxa"/>
            <w:shd w:val="clear" w:color="auto" w:fill="1B365D"/>
            <w:tcMar>
              <w:top w:w="70" w:type="dxa"/>
              <w:left w:w="100" w:type="dxa"/>
              <w:bottom w:w="70" w:type="dxa"/>
              <w:right w:w="100" w:type="dxa"/>
            </w:tcMar>
          </w:tcPr>
          <w:p w14:paraId="4D8F100A" w14:textId="77777777" w:rsidR="00F67131" w:rsidRDefault="00000000">
            <w:pPr>
              <w:spacing w:before="40" w:after="40" w:line="240" w:lineRule="auto"/>
              <w:jc w:val="both"/>
            </w:pPr>
            <w:r>
              <w:rPr>
                <w:rFonts w:ascii="Times New Roman" w:hAnsi="Times New Roman"/>
                <w:b/>
                <w:color w:val="FFFFFF"/>
                <w:sz w:val="19"/>
              </w:rPr>
              <w:t>2023</w:t>
            </w:r>
          </w:p>
        </w:tc>
        <w:tc>
          <w:tcPr>
            <w:tcW w:w="1008" w:type="dxa"/>
            <w:shd w:val="clear" w:color="auto" w:fill="1B365D"/>
            <w:tcMar>
              <w:top w:w="70" w:type="dxa"/>
              <w:left w:w="100" w:type="dxa"/>
              <w:bottom w:w="70" w:type="dxa"/>
              <w:right w:w="100" w:type="dxa"/>
            </w:tcMar>
          </w:tcPr>
          <w:p w14:paraId="046729ED" w14:textId="77777777" w:rsidR="00F67131" w:rsidRDefault="00000000">
            <w:pPr>
              <w:spacing w:before="40" w:after="40" w:line="240" w:lineRule="auto"/>
              <w:jc w:val="both"/>
            </w:pPr>
            <w:r>
              <w:rPr>
                <w:rFonts w:ascii="Times New Roman" w:hAnsi="Times New Roman"/>
                <w:b/>
                <w:color w:val="FFFFFF"/>
                <w:sz w:val="19"/>
              </w:rPr>
              <w:t>2024</w:t>
            </w:r>
          </w:p>
        </w:tc>
        <w:tc>
          <w:tcPr>
            <w:tcW w:w="1008" w:type="dxa"/>
            <w:shd w:val="clear" w:color="auto" w:fill="1B365D"/>
            <w:tcMar>
              <w:top w:w="70" w:type="dxa"/>
              <w:left w:w="100" w:type="dxa"/>
              <w:bottom w:w="70" w:type="dxa"/>
              <w:right w:w="100" w:type="dxa"/>
            </w:tcMar>
          </w:tcPr>
          <w:p w14:paraId="04C017DB" w14:textId="77777777" w:rsidR="00F67131" w:rsidRDefault="00000000">
            <w:pPr>
              <w:spacing w:before="40" w:after="40" w:line="240" w:lineRule="auto"/>
              <w:jc w:val="both"/>
            </w:pPr>
            <w:r>
              <w:rPr>
                <w:rFonts w:ascii="Times New Roman" w:hAnsi="Times New Roman"/>
                <w:b/>
                <w:color w:val="FFFFFF"/>
                <w:sz w:val="19"/>
              </w:rPr>
              <w:t>2025</w:t>
            </w:r>
          </w:p>
        </w:tc>
      </w:tr>
      <w:tr w:rsidR="00F67131" w14:paraId="69C38168" w14:textId="77777777">
        <w:trPr>
          <w:cantSplit/>
          <w:jc w:val="center"/>
        </w:trPr>
        <w:tc>
          <w:tcPr>
            <w:tcW w:w="3456" w:type="dxa"/>
            <w:tcMar>
              <w:top w:w="70" w:type="dxa"/>
              <w:left w:w="100" w:type="dxa"/>
              <w:bottom w:w="70" w:type="dxa"/>
              <w:right w:w="100" w:type="dxa"/>
            </w:tcMar>
          </w:tcPr>
          <w:p w14:paraId="731C742D" w14:textId="77777777" w:rsidR="00F67131" w:rsidRDefault="00000000">
            <w:pPr>
              <w:spacing w:before="40" w:after="40" w:line="240" w:lineRule="auto"/>
              <w:jc w:val="both"/>
            </w:pPr>
            <w:r>
              <w:rPr>
                <w:rFonts w:ascii="Times New Roman" w:hAnsi="Times New Roman"/>
                <w:color w:val="262626"/>
                <w:sz w:val="18"/>
              </w:rPr>
              <w:t>Agribank: Vốn tối thiểu ước tính (8% × dư nợ cho vay)</w:t>
            </w:r>
          </w:p>
        </w:tc>
        <w:tc>
          <w:tcPr>
            <w:tcW w:w="1008" w:type="dxa"/>
            <w:tcMar>
              <w:top w:w="70" w:type="dxa"/>
              <w:left w:w="100" w:type="dxa"/>
              <w:bottom w:w="70" w:type="dxa"/>
              <w:right w:w="100" w:type="dxa"/>
            </w:tcMar>
          </w:tcPr>
          <w:p w14:paraId="25A1E5B3" w14:textId="77777777" w:rsidR="00F67131" w:rsidRDefault="00000000">
            <w:pPr>
              <w:spacing w:before="40" w:after="40" w:line="240" w:lineRule="auto"/>
              <w:jc w:val="both"/>
            </w:pPr>
            <w:r>
              <w:rPr>
                <w:rFonts w:ascii="Times New Roman" w:hAnsi="Times New Roman"/>
                <w:color w:val="262626"/>
                <w:sz w:val="18"/>
              </w:rPr>
              <w:t>97.117</w:t>
            </w:r>
          </w:p>
        </w:tc>
        <w:tc>
          <w:tcPr>
            <w:tcW w:w="1008" w:type="dxa"/>
            <w:tcMar>
              <w:top w:w="70" w:type="dxa"/>
              <w:left w:w="100" w:type="dxa"/>
              <w:bottom w:w="70" w:type="dxa"/>
              <w:right w:w="100" w:type="dxa"/>
            </w:tcMar>
          </w:tcPr>
          <w:p w14:paraId="4EF5C78A" w14:textId="77777777" w:rsidR="00F67131" w:rsidRDefault="00000000">
            <w:pPr>
              <w:spacing w:before="40" w:after="40" w:line="240" w:lineRule="auto"/>
              <w:jc w:val="both"/>
            </w:pPr>
            <w:r>
              <w:rPr>
                <w:rFonts w:ascii="Times New Roman" w:hAnsi="Times New Roman"/>
                <w:color w:val="262626"/>
                <w:sz w:val="18"/>
              </w:rPr>
              <w:t>105.316</w:t>
            </w:r>
          </w:p>
        </w:tc>
        <w:tc>
          <w:tcPr>
            <w:tcW w:w="1008" w:type="dxa"/>
            <w:tcMar>
              <w:top w:w="70" w:type="dxa"/>
              <w:left w:w="100" w:type="dxa"/>
              <w:bottom w:w="70" w:type="dxa"/>
              <w:right w:w="100" w:type="dxa"/>
            </w:tcMar>
          </w:tcPr>
          <w:p w14:paraId="45F4C5DC" w14:textId="77777777" w:rsidR="00F67131" w:rsidRDefault="00000000">
            <w:pPr>
              <w:spacing w:before="40" w:after="40" w:line="240" w:lineRule="auto"/>
              <w:jc w:val="both"/>
            </w:pPr>
            <w:r>
              <w:rPr>
                <w:rFonts w:ascii="Times New Roman" w:hAnsi="Times New Roman"/>
                <w:color w:val="262626"/>
                <w:sz w:val="18"/>
              </w:rPr>
              <w:t>115.584</w:t>
            </w:r>
          </w:p>
        </w:tc>
        <w:tc>
          <w:tcPr>
            <w:tcW w:w="1008" w:type="dxa"/>
            <w:tcMar>
              <w:top w:w="70" w:type="dxa"/>
              <w:left w:w="100" w:type="dxa"/>
              <w:bottom w:w="70" w:type="dxa"/>
              <w:right w:w="100" w:type="dxa"/>
            </w:tcMar>
          </w:tcPr>
          <w:p w14:paraId="5A5762C2" w14:textId="77777777" w:rsidR="00F67131" w:rsidRDefault="00000000">
            <w:pPr>
              <w:spacing w:before="40" w:after="40" w:line="240" w:lineRule="auto"/>
              <w:jc w:val="both"/>
            </w:pPr>
            <w:r>
              <w:rPr>
                <w:rFonts w:ascii="Times New Roman" w:hAnsi="Times New Roman"/>
                <w:color w:val="262626"/>
                <w:sz w:val="18"/>
              </w:rPr>
              <w:t>124.173</w:t>
            </w:r>
          </w:p>
        </w:tc>
        <w:tc>
          <w:tcPr>
            <w:tcW w:w="1008" w:type="dxa"/>
            <w:tcMar>
              <w:top w:w="70" w:type="dxa"/>
              <w:left w:w="100" w:type="dxa"/>
              <w:bottom w:w="70" w:type="dxa"/>
              <w:right w:w="100" w:type="dxa"/>
            </w:tcMar>
          </w:tcPr>
          <w:p w14:paraId="6574A482" w14:textId="77777777" w:rsidR="00F67131" w:rsidRDefault="00000000">
            <w:pPr>
              <w:spacing w:before="40" w:after="40" w:line="240" w:lineRule="auto"/>
              <w:jc w:val="both"/>
            </w:pPr>
            <w:r>
              <w:rPr>
                <w:rFonts w:ascii="Times New Roman" w:hAnsi="Times New Roman"/>
                <w:color w:val="262626"/>
                <w:sz w:val="18"/>
              </w:rPr>
              <w:t>137.871</w:t>
            </w:r>
          </w:p>
        </w:tc>
        <w:tc>
          <w:tcPr>
            <w:tcW w:w="1008" w:type="dxa"/>
            <w:tcMar>
              <w:top w:w="70" w:type="dxa"/>
              <w:left w:w="100" w:type="dxa"/>
              <w:bottom w:w="70" w:type="dxa"/>
              <w:right w:w="100" w:type="dxa"/>
            </w:tcMar>
          </w:tcPr>
          <w:p w14:paraId="46D80EFB" w14:textId="77777777" w:rsidR="00F67131" w:rsidRDefault="00000000">
            <w:pPr>
              <w:spacing w:before="40" w:after="40" w:line="240" w:lineRule="auto"/>
              <w:jc w:val="both"/>
            </w:pPr>
            <w:r>
              <w:rPr>
                <w:rFonts w:ascii="Times New Roman" w:hAnsi="Times New Roman"/>
                <w:color w:val="262626"/>
                <w:sz w:val="18"/>
              </w:rPr>
              <w:t>158.110</w:t>
            </w:r>
          </w:p>
        </w:tc>
      </w:tr>
      <w:tr w:rsidR="00F67131" w14:paraId="71E02246" w14:textId="77777777">
        <w:trPr>
          <w:cantSplit/>
          <w:jc w:val="center"/>
        </w:trPr>
        <w:tc>
          <w:tcPr>
            <w:tcW w:w="3456" w:type="dxa"/>
            <w:tcMar>
              <w:top w:w="70" w:type="dxa"/>
              <w:left w:w="100" w:type="dxa"/>
              <w:bottom w:w="70" w:type="dxa"/>
              <w:right w:w="100" w:type="dxa"/>
            </w:tcMar>
          </w:tcPr>
          <w:p w14:paraId="0C4864E7" w14:textId="77777777" w:rsidR="00F67131" w:rsidRDefault="00000000">
            <w:pPr>
              <w:spacing w:before="40" w:after="40" w:line="240" w:lineRule="auto"/>
              <w:jc w:val="both"/>
            </w:pPr>
            <w:r>
              <w:rPr>
                <w:rFonts w:ascii="Times New Roman" w:hAnsi="Times New Roman"/>
                <w:color w:val="262626"/>
                <w:sz w:val="18"/>
              </w:rPr>
              <w:t>Agribank: Lợi nhuận sau thuế hợp nhất</w:t>
            </w:r>
          </w:p>
        </w:tc>
        <w:tc>
          <w:tcPr>
            <w:tcW w:w="1008" w:type="dxa"/>
            <w:tcMar>
              <w:top w:w="70" w:type="dxa"/>
              <w:left w:w="100" w:type="dxa"/>
              <w:bottom w:w="70" w:type="dxa"/>
              <w:right w:w="100" w:type="dxa"/>
            </w:tcMar>
          </w:tcPr>
          <w:p w14:paraId="50539788" w14:textId="77777777" w:rsidR="00F67131" w:rsidRDefault="00000000">
            <w:pPr>
              <w:spacing w:before="40" w:after="40" w:line="240" w:lineRule="auto"/>
              <w:jc w:val="both"/>
            </w:pPr>
            <w:r>
              <w:rPr>
                <w:rFonts w:ascii="Times New Roman" w:hAnsi="Times New Roman"/>
                <w:color w:val="262626"/>
                <w:sz w:val="18"/>
              </w:rPr>
              <w:t>10.517</w:t>
            </w:r>
          </w:p>
        </w:tc>
        <w:tc>
          <w:tcPr>
            <w:tcW w:w="1008" w:type="dxa"/>
            <w:tcMar>
              <w:top w:w="70" w:type="dxa"/>
              <w:left w:w="100" w:type="dxa"/>
              <w:bottom w:w="70" w:type="dxa"/>
              <w:right w:w="100" w:type="dxa"/>
            </w:tcMar>
          </w:tcPr>
          <w:p w14:paraId="31E91D4A" w14:textId="77777777" w:rsidR="00F67131" w:rsidRDefault="00000000">
            <w:pPr>
              <w:spacing w:before="40" w:after="40" w:line="240" w:lineRule="auto"/>
              <w:jc w:val="both"/>
            </w:pPr>
            <w:r>
              <w:rPr>
                <w:rFonts w:ascii="Times New Roman" w:hAnsi="Times New Roman"/>
                <w:color w:val="262626"/>
                <w:sz w:val="18"/>
              </w:rPr>
              <w:t>12.261</w:t>
            </w:r>
          </w:p>
        </w:tc>
        <w:tc>
          <w:tcPr>
            <w:tcW w:w="1008" w:type="dxa"/>
            <w:tcMar>
              <w:top w:w="70" w:type="dxa"/>
              <w:left w:w="100" w:type="dxa"/>
              <w:bottom w:w="70" w:type="dxa"/>
              <w:right w:w="100" w:type="dxa"/>
            </w:tcMar>
          </w:tcPr>
          <w:p w14:paraId="57157467" w14:textId="77777777" w:rsidR="00F67131" w:rsidRDefault="00000000">
            <w:pPr>
              <w:spacing w:before="40" w:after="40" w:line="240" w:lineRule="auto"/>
              <w:jc w:val="both"/>
            </w:pPr>
            <w:r>
              <w:rPr>
                <w:rFonts w:ascii="Times New Roman" w:hAnsi="Times New Roman"/>
                <w:color w:val="262626"/>
                <w:sz w:val="18"/>
              </w:rPr>
              <w:t>18.043</w:t>
            </w:r>
          </w:p>
        </w:tc>
        <w:tc>
          <w:tcPr>
            <w:tcW w:w="1008" w:type="dxa"/>
            <w:tcMar>
              <w:top w:w="70" w:type="dxa"/>
              <w:left w:w="100" w:type="dxa"/>
              <w:bottom w:w="70" w:type="dxa"/>
              <w:right w:w="100" w:type="dxa"/>
            </w:tcMar>
          </w:tcPr>
          <w:p w14:paraId="6D1F690F" w14:textId="77777777" w:rsidR="00F67131" w:rsidRDefault="00000000">
            <w:pPr>
              <w:spacing w:before="40" w:after="40" w:line="240" w:lineRule="auto"/>
              <w:jc w:val="both"/>
            </w:pPr>
            <w:r>
              <w:rPr>
                <w:rFonts w:ascii="Times New Roman" w:hAnsi="Times New Roman"/>
                <w:color w:val="262626"/>
                <w:sz w:val="18"/>
              </w:rPr>
              <w:t>20.696</w:t>
            </w:r>
          </w:p>
        </w:tc>
        <w:tc>
          <w:tcPr>
            <w:tcW w:w="1008" w:type="dxa"/>
            <w:tcMar>
              <w:top w:w="70" w:type="dxa"/>
              <w:left w:w="100" w:type="dxa"/>
              <w:bottom w:w="70" w:type="dxa"/>
              <w:right w:w="100" w:type="dxa"/>
            </w:tcMar>
          </w:tcPr>
          <w:p w14:paraId="690E55E3" w14:textId="77777777" w:rsidR="00F67131" w:rsidRDefault="00000000">
            <w:pPr>
              <w:spacing w:before="40" w:after="40" w:line="240" w:lineRule="auto"/>
              <w:jc w:val="both"/>
            </w:pPr>
            <w:r>
              <w:rPr>
                <w:rFonts w:ascii="Times New Roman" w:hAnsi="Times New Roman"/>
                <w:color w:val="262626"/>
                <w:sz w:val="18"/>
              </w:rPr>
              <w:t>22.067</w:t>
            </w:r>
          </w:p>
        </w:tc>
        <w:tc>
          <w:tcPr>
            <w:tcW w:w="1008" w:type="dxa"/>
            <w:tcMar>
              <w:top w:w="70" w:type="dxa"/>
              <w:left w:w="100" w:type="dxa"/>
              <w:bottom w:w="70" w:type="dxa"/>
              <w:right w:w="100" w:type="dxa"/>
            </w:tcMar>
          </w:tcPr>
          <w:p w14:paraId="6601E5F7" w14:textId="77777777" w:rsidR="00F67131" w:rsidRDefault="00000000">
            <w:pPr>
              <w:spacing w:before="40" w:after="40" w:line="240" w:lineRule="auto"/>
              <w:jc w:val="both"/>
            </w:pPr>
            <w:r>
              <w:rPr>
                <w:rFonts w:ascii="Times New Roman" w:hAnsi="Times New Roman"/>
                <w:color w:val="262626"/>
                <w:sz w:val="18"/>
              </w:rPr>
              <w:t>24.955</w:t>
            </w:r>
          </w:p>
        </w:tc>
      </w:tr>
      <w:tr w:rsidR="00F67131" w14:paraId="5985F33A" w14:textId="77777777">
        <w:trPr>
          <w:cantSplit/>
          <w:jc w:val="center"/>
        </w:trPr>
        <w:tc>
          <w:tcPr>
            <w:tcW w:w="3456" w:type="dxa"/>
            <w:tcMar>
              <w:top w:w="70" w:type="dxa"/>
              <w:left w:w="100" w:type="dxa"/>
              <w:bottom w:w="70" w:type="dxa"/>
              <w:right w:w="100" w:type="dxa"/>
            </w:tcMar>
          </w:tcPr>
          <w:p w14:paraId="3E8FC6B3" w14:textId="77777777" w:rsidR="00F67131" w:rsidRDefault="00000000">
            <w:pPr>
              <w:spacing w:before="40" w:after="40" w:line="240" w:lineRule="auto"/>
              <w:jc w:val="both"/>
            </w:pPr>
            <w:r>
              <w:rPr>
                <w:rFonts w:ascii="Times New Roman" w:hAnsi="Times New Roman"/>
                <w:b/>
                <w:color w:val="262626"/>
                <w:sz w:val="18"/>
              </w:rPr>
              <w:t>Agribank: RORAC proxy (%)</w:t>
            </w:r>
          </w:p>
        </w:tc>
        <w:tc>
          <w:tcPr>
            <w:tcW w:w="1008" w:type="dxa"/>
            <w:tcMar>
              <w:top w:w="70" w:type="dxa"/>
              <w:left w:w="100" w:type="dxa"/>
              <w:bottom w:w="70" w:type="dxa"/>
              <w:right w:w="100" w:type="dxa"/>
            </w:tcMar>
          </w:tcPr>
          <w:p w14:paraId="2CC690D4" w14:textId="77777777" w:rsidR="00F67131" w:rsidRDefault="00000000">
            <w:pPr>
              <w:spacing w:before="40" w:after="40" w:line="240" w:lineRule="auto"/>
              <w:jc w:val="both"/>
            </w:pPr>
            <w:r>
              <w:rPr>
                <w:rFonts w:ascii="Times New Roman" w:hAnsi="Times New Roman"/>
                <w:color w:val="262626"/>
                <w:sz w:val="18"/>
              </w:rPr>
              <w:t>10,8%</w:t>
            </w:r>
          </w:p>
        </w:tc>
        <w:tc>
          <w:tcPr>
            <w:tcW w:w="1008" w:type="dxa"/>
            <w:tcMar>
              <w:top w:w="70" w:type="dxa"/>
              <w:left w:w="100" w:type="dxa"/>
              <w:bottom w:w="70" w:type="dxa"/>
              <w:right w:w="100" w:type="dxa"/>
            </w:tcMar>
          </w:tcPr>
          <w:p w14:paraId="58AED9A6" w14:textId="77777777" w:rsidR="00F67131" w:rsidRDefault="00000000">
            <w:pPr>
              <w:spacing w:before="40" w:after="40" w:line="240" w:lineRule="auto"/>
              <w:jc w:val="both"/>
            </w:pPr>
            <w:r>
              <w:rPr>
                <w:rFonts w:ascii="Times New Roman" w:hAnsi="Times New Roman"/>
                <w:color w:val="262626"/>
                <w:sz w:val="18"/>
              </w:rPr>
              <w:t>11,6%</w:t>
            </w:r>
          </w:p>
        </w:tc>
        <w:tc>
          <w:tcPr>
            <w:tcW w:w="1008" w:type="dxa"/>
            <w:tcMar>
              <w:top w:w="70" w:type="dxa"/>
              <w:left w:w="100" w:type="dxa"/>
              <w:bottom w:w="70" w:type="dxa"/>
              <w:right w:w="100" w:type="dxa"/>
            </w:tcMar>
          </w:tcPr>
          <w:p w14:paraId="46E09DD4" w14:textId="77777777" w:rsidR="00F67131" w:rsidRDefault="00000000">
            <w:pPr>
              <w:spacing w:before="40" w:after="40" w:line="240" w:lineRule="auto"/>
              <w:jc w:val="both"/>
            </w:pPr>
            <w:r>
              <w:rPr>
                <w:rFonts w:ascii="Times New Roman" w:hAnsi="Times New Roman"/>
                <w:color w:val="262626"/>
                <w:sz w:val="18"/>
              </w:rPr>
              <w:t>15,6%</w:t>
            </w:r>
          </w:p>
        </w:tc>
        <w:tc>
          <w:tcPr>
            <w:tcW w:w="1008" w:type="dxa"/>
            <w:tcMar>
              <w:top w:w="70" w:type="dxa"/>
              <w:left w:w="100" w:type="dxa"/>
              <w:bottom w:w="70" w:type="dxa"/>
              <w:right w:w="100" w:type="dxa"/>
            </w:tcMar>
          </w:tcPr>
          <w:p w14:paraId="3213B6C4" w14:textId="77777777" w:rsidR="00F67131" w:rsidRDefault="00000000">
            <w:pPr>
              <w:spacing w:before="40" w:after="40" w:line="240" w:lineRule="auto"/>
              <w:jc w:val="both"/>
            </w:pPr>
            <w:r>
              <w:rPr>
                <w:rFonts w:ascii="Times New Roman" w:hAnsi="Times New Roman"/>
                <w:color w:val="262626"/>
                <w:sz w:val="18"/>
              </w:rPr>
              <w:t>16,7%</w:t>
            </w:r>
          </w:p>
        </w:tc>
        <w:tc>
          <w:tcPr>
            <w:tcW w:w="1008" w:type="dxa"/>
            <w:tcMar>
              <w:top w:w="70" w:type="dxa"/>
              <w:left w:w="100" w:type="dxa"/>
              <w:bottom w:w="70" w:type="dxa"/>
              <w:right w:w="100" w:type="dxa"/>
            </w:tcMar>
          </w:tcPr>
          <w:p w14:paraId="3957547F" w14:textId="77777777" w:rsidR="00F67131" w:rsidRDefault="00000000">
            <w:pPr>
              <w:spacing w:before="40" w:after="40" w:line="240" w:lineRule="auto"/>
              <w:jc w:val="both"/>
            </w:pPr>
            <w:r>
              <w:rPr>
                <w:rFonts w:ascii="Times New Roman" w:hAnsi="Times New Roman"/>
                <w:color w:val="262626"/>
                <w:sz w:val="18"/>
              </w:rPr>
              <w:t>16,0%</w:t>
            </w:r>
          </w:p>
        </w:tc>
        <w:tc>
          <w:tcPr>
            <w:tcW w:w="1008" w:type="dxa"/>
            <w:tcMar>
              <w:top w:w="70" w:type="dxa"/>
              <w:left w:w="100" w:type="dxa"/>
              <w:bottom w:w="70" w:type="dxa"/>
              <w:right w:w="100" w:type="dxa"/>
            </w:tcMar>
          </w:tcPr>
          <w:p w14:paraId="66515710" w14:textId="77777777" w:rsidR="00F67131" w:rsidRDefault="00000000">
            <w:pPr>
              <w:spacing w:before="40" w:after="40" w:line="240" w:lineRule="auto"/>
              <w:jc w:val="both"/>
            </w:pPr>
            <w:r>
              <w:rPr>
                <w:rFonts w:ascii="Times New Roman" w:hAnsi="Times New Roman"/>
                <w:color w:val="262626"/>
                <w:sz w:val="18"/>
              </w:rPr>
              <w:t>15,8%</w:t>
            </w:r>
          </w:p>
        </w:tc>
      </w:tr>
      <w:tr w:rsidR="00F67131" w14:paraId="194683D4" w14:textId="77777777">
        <w:trPr>
          <w:cantSplit/>
          <w:jc w:val="center"/>
        </w:trPr>
        <w:tc>
          <w:tcPr>
            <w:tcW w:w="3456" w:type="dxa"/>
            <w:tcMar>
              <w:top w:w="70" w:type="dxa"/>
              <w:left w:w="100" w:type="dxa"/>
              <w:bottom w:w="70" w:type="dxa"/>
              <w:right w:w="100" w:type="dxa"/>
            </w:tcMar>
          </w:tcPr>
          <w:p w14:paraId="02D0DFED" w14:textId="77777777" w:rsidR="00F67131" w:rsidRDefault="00000000">
            <w:pPr>
              <w:spacing w:before="40" w:after="40" w:line="240" w:lineRule="auto"/>
              <w:jc w:val="both"/>
            </w:pPr>
            <w:r>
              <w:rPr>
                <w:rFonts w:ascii="Times New Roman" w:hAnsi="Times New Roman"/>
                <w:color w:val="262626"/>
                <w:sz w:val="18"/>
              </w:rPr>
              <w:t>MB: Vốn tối thiểu ước tính (8% × dư nợ cho vay)</w:t>
            </w:r>
          </w:p>
        </w:tc>
        <w:tc>
          <w:tcPr>
            <w:tcW w:w="1008" w:type="dxa"/>
            <w:tcMar>
              <w:top w:w="70" w:type="dxa"/>
              <w:left w:w="100" w:type="dxa"/>
              <w:bottom w:w="70" w:type="dxa"/>
              <w:right w:w="100" w:type="dxa"/>
            </w:tcMar>
          </w:tcPr>
          <w:p w14:paraId="222B3122" w14:textId="77777777" w:rsidR="00F67131" w:rsidRDefault="00000000">
            <w:pPr>
              <w:spacing w:before="40" w:after="40" w:line="240" w:lineRule="auto"/>
              <w:jc w:val="both"/>
            </w:pPr>
            <w:r>
              <w:rPr>
                <w:rFonts w:ascii="Times New Roman" w:hAnsi="Times New Roman"/>
                <w:color w:val="262626"/>
                <w:sz w:val="18"/>
              </w:rPr>
              <w:t>23.864</w:t>
            </w:r>
          </w:p>
        </w:tc>
        <w:tc>
          <w:tcPr>
            <w:tcW w:w="1008" w:type="dxa"/>
            <w:tcMar>
              <w:top w:w="70" w:type="dxa"/>
              <w:left w:w="100" w:type="dxa"/>
              <w:bottom w:w="70" w:type="dxa"/>
              <w:right w:w="100" w:type="dxa"/>
            </w:tcMar>
          </w:tcPr>
          <w:p w14:paraId="6E08BB5E" w14:textId="77777777" w:rsidR="00F67131" w:rsidRDefault="00000000">
            <w:pPr>
              <w:spacing w:before="40" w:after="40" w:line="240" w:lineRule="auto"/>
              <w:jc w:val="both"/>
            </w:pPr>
            <w:r>
              <w:rPr>
                <w:rFonts w:ascii="Times New Roman" w:hAnsi="Times New Roman"/>
                <w:color w:val="262626"/>
                <w:sz w:val="18"/>
              </w:rPr>
              <w:t>29.084</w:t>
            </w:r>
          </w:p>
        </w:tc>
        <w:tc>
          <w:tcPr>
            <w:tcW w:w="1008" w:type="dxa"/>
            <w:tcMar>
              <w:top w:w="70" w:type="dxa"/>
              <w:left w:w="100" w:type="dxa"/>
              <w:bottom w:w="70" w:type="dxa"/>
              <w:right w:w="100" w:type="dxa"/>
            </w:tcMar>
          </w:tcPr>
          <w:p w14:paraId="60090A12" w14:textId="77777777" w:rsidR="00F67131" w:rsidRDefault="00000000">
            <w:pPr>
              <w:spacing w:before="40" w:after="40" w:line="240" w:lineRule="auto"/>
              <w:jc w:val="both"/>
            </w:pPr>
            <w:r>
              <w:rPr>
                <w:rFonts w:ascii="Times New Roman" w:hAnsi="Times New Roman"/>
                <w:color w:val="262626"/>
                <w:sz w:val="18"/>
              </w:rPr>
              <w:t>36.846</w:t>
            </w:r>
          </w:p>
        </w:tc>
        <w:tc>
          <w:tcPr>
            <w:tcW w:w="1008" w:type="dxa"/>
            <w:tcMar>
              <w:top w:w="70" w:type="dxa"/>
              <w:left w:w="100" w:type="dxa"/>
              <w:bottom w:w="70" w:type="dxa"/>
              <w:right w:w="100" w:type="dxa"/>
            </w:tcMar>
          </w:tcPr>
          <w:p w14:paraId="55D4375E" w14:textId="77777777" w:rsidR="00F67131" w:rsidRDefault="00000000">
            <w:pPr>
              <w:spacing w:before="40" w:after="40" w:line="240" w:lineRule="auto"/>
              <w:jc w:val="both"/>
            </w:pPr>
            <w:r>
              <w:rPr>
                <w:rFonts w:ascii="Times New Roman" w:hAnsi="Times New Roman"/>
                <w:color w:val="262626"/>
                <w:sz w:val="18"/>
              </w:rPr>
              <w:t>48.884</w:t>
            </w:r>
          </w:p>
        </w:tc>
        <w:tc>
          <w:tcPr>
            <w:tcW w:w="1008" w:type="dxa"/>
            <w:tcMar>
              <w:top w:w="70" w:type="dxa"/>
              <w:left w:w="100" w:type="dxa"/>
              <w:bottom w:w="70" w:type="dxa"/>
              <w:right w:w="100" w:type="dxa"/>
            </w:tcMar>
          </w:tcPr>
          <w:p w14:paraId="495D0164" w14:textId="77777777" w:rsidR="00F67131" w:rsidRDefault="00000000">
            <w:pPr>
              <w:spacing w:before="40" w:after="40" w:line="240" w:lineRule="auto"/>
              <w:jc w:val="both"/>
            </w:pPr>
            <w:r>
              <w:rPr>
                <w:rFonts w:ascii="Times New Roman" w:hAnsi="Times New Roman"/>
                <w:color w:val="262626"/>
                <w:sz w:val="18"/>
              </w:rPr>
              <w:t>62.133</w:t>
            </w:r>
          </w:p>
        </w:tc>
        <w:tc>
          <w:tcPr>
            <w:tcW w:w="1008" w:type="dxa"/>
            <w:tcMar>
              <w:top w:w="70" w:type="dxa"/>
              <w:left w:w="100" w:type="dxa"/>
              <w:bottom w:w="70" w:type="dxa"/>
              <w:right w:w="100" w:type="dxa"/>
            </w:tcMar>
          </w:tcPr>
          <w:p w14:paraId="100B36EB" w14:textId="77777777" w:rsidR="00F67131" w:rsidRDefault="00000000">
            <w:pPr>
              <w:spacing w:before="40" w:after="40" w:line="240" w:lineRule="auto"/>
              <w:jc w:val="both"/>
            </w:pPr>
            <w:r>
              <w:rPr>
                <w:rFonts w:ascii="Times New Roman" w:hAnsi="Times New Roman"/>
                <w:color w:val="262626"/>
                <w:sz w:val="18"/>
              </w:rPr>
              <w:t>86.722</w:t>
            </w:r>
          </w:p>
        </w:tc>
      </w:tr>
      <w:tr w:rsidR="00F67131" w14:paraId="50FEC871" w14:textId="77777777">
        <w:trPr>
          <w:cantSplit/>
          <w:jc w:val="center"/>
        </w:trPr>
        <w:tc>
          <w:tcPr>
            <w:tcW w:w="3456" w:type="dxa"/>
            <w:tcMar>
              <w:top w:w="70" w:type="dxa"/>
              <w:left w:w="100" w:type="dxa"/>
              <w:bottom w:w="70" w:type="dxa"/>
              <w:right w:w="100" w:type="dxa"/>
            </w:tcMar>
          </w:tcPr>
          <w:p w14:paraId="413C272B" w14:textId="77777777" w:rsidR="00F67131" w:rsidRDefault="00000000">
            <w:pPr>
              <w:spacing w:before="40" w:after="40" w:line="240" w:lineRule="auto"/>
              <w:jc w:val="both"/>
            </w:pPr>
            <w:r>
              <w:rPr>
                <w:rFonts w:ascii="Times New Roman" w:hAnsi="Times New Roman"/>
                <w:color w:val="262626"/>
                <w:sz w:val="18"/>
              </w:rPr>
              <w:t>MB: Lợi nhuận sau thuế hợp nhất</w:t>
            </w:r>
          </w:p>
        </w:tc>
        <w:tc>
          <w:tcPr>
            <w:tcW w:w="1008" w:type="dxa"/>
            <w:tcMar>
              <w:top w:w="70" w:type="dxa"/>
              <w:left w:w="100" w:type="dxa"/>
              <w:bottom w:w="70" w:type="dxa"/>
              <w:right w:w="100" w:type="dxa"/>
            </w:tcMar>
          </w:tcPr>
          <w:p w14:paraId="3BB77D94" w14:textId="77777777" w:rsidR="00F67131" w:rsidRDefault="00000000">
            <w:pPr>
              <w:spacing w:before="40" w:after="40" w:line="240" w:lineRule="auto"/>
              <w:jc w:val="both"/>
            </w:pPr>
            <w:r>
              <w:rPr>
                <w:rFonts w:ascii="Times New Roman" w:hAnsi="Times New Roman"/>
                <w:color w:val="262626"/>
                <w:sz w:val="18"/>
              </w:rPr>
              <w:t>8.606</w:t>
            </w:r>
          </w:p>
        </w:tc>
        <w:tc>
          <w:tcPr>
            <w:tcW w:w="1008" w:type="dxa"/>
            <w:tcMar>
              <w:top w:w="70" w:type="dxa"/>
              <w:left w:w="100" w:type="dxa"/>
              <w:bottom w:w="70" w:type="dxa"/>
              <w:right w:w="100" w:type="dxa"/>
            </w:tcMar>
          </w:tcPr>
          <w:p w14:paraId="09597242" w14:textId="77777777" w:rsidR="00F67131" w:rsidRDefault="00000000">
            <w:pPr>
              <w:spacing w:before="40" w:after="40" w:line="240" w:lineRule="auto"/>
              <w:jc w:val="both"/>
            </w:pPr>
            <w:r>
              <w:rPr>
                <w:rFonts w:ascii="Times New Roman" w:hAnsi="Times New Roman"/>
                <w:color w:val="262626"/>
                <w:sz w:val="18"/>
              </w:rPr>
              <w:t>13.221</w:t>
            </w:r>
          </w:p>
        </w:tc>
        <w:tc>
          <w:tcPr>
            <w:tcW w:w="1008" w:type="dxa"/>
            <w:tcMar>
              <w:top w:w="70" w:type="dxa"/>
              <w:left w:w="100" w:type="dxa"/>
              <w:bottom w:w="70" w:type="dxa"/>
              <w:right w:w="100" w:type="dxa"/>
            </w:tcMar>
          </w:tcPr>
          <w:p w14:paraId="4780F923" w14:textId="77777777" w:rsidR="00F67131" w:rsidRDefault="00000000">
            <w:pPr>
              <w:spacing w:before="40" w:after="40" w:line="240" w:lineRule="auto"/>
              <w:jc w:val="both"/>
            </w:pPr>
            <w:r>
              <w:rPr>
                <w:rFonts w:ascii="Times New Roman" w:hAnsi="Times New Roman"/>
                <w:color w:val="262626"/>
                <w:sz w:val="18"/>
              </w:rPr>
              <w:t>18.155</w:t>
            </w:r>
          </w:p>
        </w:tc>
        <w:tc>
          <w:tcPr>
            <w:tcW w:w="1008" w:type="dxa"/>
            <w:tcMar>
              <w:top w:w="70" w:type="dxa"/>
              <w:left w:w="100" w:type="dxa"/>
              <w:bottom w:w="70" w:type="dxa"/>
              <w:right w:w="100" w:type="dxa"/>
            </w:tcMar>
          </w:tcPr>
          <w:p w14:paraId="39E27F2B" w14:textId="77777777" w:rsidR="00F67131" w:rsidRDefault="00000000">
            <w:pPr>
              <w:spacing w:before="40" w:after="40" w:line="240" w:lineRule="auto"/>
              <w:jc w:val="both"/>
            </w:pPr>
            <w:r>
              <w:rPr>
                <w:rFonts w:ascii="Times New Roman" w:hAnsi="Times New Roman"/>
                <w:color w:val="262626"/>
                <w:sz w:val="18"/>
              </w:rPr>
              <w:t>21.054</w:t>
            </w:r>
          </w:p>
        </w:tc>
        <w:tc>
          <w:tcPr>
            <w:tcW w:w="1008" w:type="dxa"/>
            <w:tcMar>
              <w:top w:w="70" w:type="dxa"/>
              <w:left w:w="100" w:type="dxa"/>
              <w:bottom w:w="70" w:type="dxa"/>
              <w:right w:w="100" w:type="dxa"/>
            </w:tcMar>
          </w:tcPr>
          <w:p w14:paraId="41356B17" w14:textId="77777777" w:rsidR="00F67131" w:rsidRDefault="00000000">
            <w:pPr>
              <w:spacing w:before="40" w:after="40" w:line="240" w:lineRule="auto"/>
              <w:jc w:val="both"/>
            </w:pPr>
            <w:r>
              <w:rPr>
                <w:rFonts w:ascii="Times New Roman" w:hAnsi="Times New Roman"/>
                <w:color w:val="262626"/>
                <w:sz w:val="18"/>
              </w:rPr>
              <w:t>22.951</w:t>
            </w:r>
          </w:p>
        </w:tc>
        <w:tc>
          <w:tcPr>
            <w:tcW w:w="1008" w:type="dxa"/>
            <w:tcMar>
              <w:top w:w="70" w:type="dxa"/>
              <w:left w:w="100" w:type="dxa"/>
              <w:bottom w:w="70" w:type="dxa"/>
              <w:right w:w="100" w:type="dxa"/>
            </w:tcMar>
          </w:tcPr>
          <w:p w14:paraId="395A1C5C" w14:textId="77777777" w:rsidR="00F67131" w:rsidRDefault="00000000">
            <w:pPr>
              <w:spacing w:before="40" w:after="40" w:line="240" w:lineRule="auto"/>
              <w:jc w:val="both"/>
            </w:pPr>
            <w:r>
              <w:rPr>
                <w:rFonts w:ascii="Times New Roman" w:hAnsi="Times New Roman"/>
                <w:color w:val="262626"/>
                <w:sz w:val="18"/>
              </w:rPr>
              <w:t>27.383</w:t>
            </w:r>
          </w:p>
        </w:tc>
      </w:tr>
      <w:tr w:rsidR="00F67131" w14:paraId="5F70F608" w14:textId="77777777">
        <w:trPr>
          <w:cantSplit/>
          <w:jc w:val="center"/>
        </w:trPr>
        <w:tc>
          <w:tcPr>
            <w:tcW w:w="3456" w:type="dxa"/>
            <w:tcMar>
              <w:top w:w="70" w:type="dxa"/>
              <w:left w:w="100" w:type="dxa"/>
              <w:bottom w:w="70" w:type="dxa"/>
              <w:right w:w="100" w:type="dxa"/>
            </w:tcMar>
          </w:tcPr>
          <w:p w14:paraId="595C7AC7" w14:textId="77777777" w:rsidR="00F67131" w:rsidRDefault="00000000">
            <w:pPr>
              <w:spacing w:before="40" w:after="40" w:line="240" w:lineRule="auto"/>
              <w:jc w:val="both"/>
            </w:pPr>
            <w:r>
              <w:rPr>
                <w:rFonts w:ascii="Times New Roman" w:hAnsi="Times New Roman"/>
                <w:b/>
                <w:color w:val="262626"/>
                <w:sz w:val="18"/>
              </w:rPr>
              <w:t>MB: RORAC proxy (%)</w:t>
            </w:r>
          </w:p>
        </w:tc>
        <w:tc>
          <w:tcPr>
            <w:tcW w:w="1008" w:type="dxa"/>
            <w:tcMar>
              <w:top w:w="70" w:type="dxa"/>
              <w:left w:w="100" w:type="dxa"/>
              <w:bottom w:w="70" w:type="dxa"/>
              <w:right w:w="100" w:type="dxa"/>
            </w:tcMar>
          </w:tcPr>
          <w:p w14:paraId="4BDF1B6E" w14:textId="77777777" w:rsidR="00F67131" w:rsidRDefault="00000000">
            <w:pPr>
              <w:spacing w:before="40" w:after="40" w:line="240" w:lineRule="auto"/>
              <w:jc w:val="both"/>
            </w:pPr>
            <w:r>
              <w:rPr>
                <w:rFonts w:ascii="Times New Roman" w:hAnsi="Times New Roman"/>
                <w:color w:val="262626"/>
                <w:sz w:val="18"/>
              </w:rPr>
              <w:t>36,1%</w:t>
            </w:r>
          </w:p>
        </w:tc>
        <w:tc>
          <w:tcPr>
            <w:tcW w:w="1008" w:type="dxa"/>
            <w:tcMar>
              <w:top w:w="70" w:type="dxa"/>
              <w:left w:w="100" w:type="dxa"/>
              <w:bottom w:w="70" w:type="dxa"/>
              <w:right w:w="100" w:type="dxa"/>
            </w:tcMar>
          </w:tcPr>
          <w:p w14:paraId="492C1D75" w14:textId="77777777" w:rsidR="00F67131" w:rsidRDefault="00000000">
            <w:pPr>
              <w:spacing w:before="40" w:after="40" w:line="240" w:lineRule="auto"/>
              <w:jc w:val="both"/>
            </w:pPr>
            <w:r>
              <w:rPr>
                <w:rFonts w:ascii="Times New Roman" w:hAnsi="Times New Roman"/>
                <w:color w:val="262626"/>
                <w:sz w:val="18"/>
              </w:rPr>
              <w:t>45,5%</w:t>
            </w:r>
          </w:p>
        </w:tc>
        <w:tc>
          <w:tcPr>
            <w:tcW w:w="1008" w:type="dxa"/>
            <w:tcMar>
              <w:top w:w="70" w:type="dxa"/>
              <w:left w:w="100" w:type="dxa"/>
              <w:bottom w:w="70" w:type="dxa"/>
              <w:right w:w="100" w:type="dxa"/>
            </w:tcMar>
          </w:tcPr>
          <w:p w14:paraId="3C72EAD2" w14:textId="77777777" w:rsidR="00F67131" w:rsidRDefault="00000000">
            <w:pPr>
              <w:spacing w:before="40" w:after="40" w:line="240" w:lineRule="auto"/>
              <w:jc w:val="both"/>
            </w:pPr>
            <w:r>
              <w:rPr>
                <w:rFonts w:ascii="Times New Roman" w:hAnsi="Times New Roman"/>
                <w:color w:val="262626"/>
                <w:sz w:val="18"/>
              </w:rPr>
              <w:t>49,3%</w:t>
            </w:r>
          </w:p>
        </w:tc>
        <w:tc>
          <w:tcPr>
            <w:tcW w:w="1008" w:type="dxa"/>
            <w:tcMar>
              <w:top w:w="70" w:type="dxa"/>
              <w:left w:w="100" w:type="dxa"/>
              <w:bottom w:w="70" w:type="dxa"/>
              <w:right w:w="100" w:type="dxa"/>
            </w:tcMar>
          </w:tcPr>
          <w:p w14:paraId="1FA7418C" w14:textId="77777777" w:rsidR="00F67131" w:rsidRDefault="00000000">
            <w:pPr>
              <w:spacing w:before="40" w:after="40" w:line="240" w:lineRule="auto"/>
              <w:jc w:val="both"/>
            </w:pPr>
            <w:r>
              <w:rPr>
                <w:rFonts w:ascii="Times New Roman" w:hAnsi="Times New Roman"/>
                <w:color w:val="262626"/>
                <w:sz w:val="18"/>
              </w:rPr>
              <w:t>43,1%</w:t>
            </w:r>
          </w:p>
        </w:tc>
        <w:tc>
          <w:tcPr>
            <w:tcW w:w="1008" w:type="dxa"/>
            <w:tcMar>
              <w:top w:w="70" w:type="dxa"/>
              <w:left w:w="100" w:type="dxa"/>
              <w:bottom w:w="70" w:type="dxa"/>
              <w:right w:w="100" w:type="dxa"/>
            </w:tcMar>
          </w:tcPr>
          <w:p w14:paraId="6E8A67BB" w14:textId="77777777" w:rsidR="00F67131" w:rsidRDefault="00000000">
            <w:pPr>
              <w:spacing w:before="40" w:after="40" w:line="240" w:lineRule="auto"/>
              <w:jc w:val="both"/>
            </w:pPr>
            <w:r>
              <w:rPr>
                <w:rFonts w:ascii="Times New Roman" w:hAnsi="Times New Roman"/>
                <w:color w:val="262626"/>
                <w:sz w:val="18"/>
              </w:rPr>
              <w:t>36,9%</w:t>
            </w:r>
          </w:p>
        </w:tc>
        <w:tc>
          <w:tcPr>
            <w:tcW w:w="1008" w:type="dxa"/>
            <w:tcMar>
              <w:top w:w="70" w:type="dxa"/>
              <w:left w:w="100" w:type="dxa"/>
              <w:bottom w:w="70" w:type="dxa"/>
              <w:right w:w="100" w:type="dxa"/>
            </w:tcMar>
          </w:tcPr>
          <w:p w14:paraId="4EBA62E6" w14:textId="77777777" w:rsidR="00F67131" w:rsidRDefault="00000000">
            <w:pPr>
              <w:spacing w:before="40" w:after="40" w:line="240" w:lineRule="auto"/>
              <w:jc w:val="both"/>
            </w:pPr>
            <w:r>
              <w:rPr>
                <w:rFonts w:ascii="Times New Roman" w:hAnsi="Times New Roman"/>
                <w:color w:val="262626"/>
                <w:sz w:val="18"/>
              </w:rPr>
              <w:t>31,6%</w:t>
            </w:r>
          </w:p>
        </w:tc>
      </w:tr>
      <w:tr w:rsidR="00F67131" w14:paraId="529CCE70" w14:textId="77777777">
        <w:trPr>
          <w:cantSplit/>
          <w:jc w:val="center"/>
        </w:trPr>
        <w:tc>
          <w:tcPr>
            <w:tcW w:w="3456" w:type="dxa"/>
            <w:tcMar>
              <w:top w:w="70" w:type="dxa"/>
              <w:left w:w="100" w:type="dxa"/>
              <w:bottom w:w="70" w:type="dxa"/>
              <w:right w:w="100" w:type="dxa"/>
            </w:tcMar>
          </w:tcPr>
          <w:p w14:paraId="0B9B8101" w14:textId="77777777" w:rsidR="00F67131" w:rsidRDefault="00000000">
            <w:pPr>
              <w:spacing w:before="40" w:after="40" w:line="240" w:lineRule="auto"/>
              <w:jc w:val="both"/>
            </w:pPr>
            <w:r>
              <w:rPr>
                <w:rFonts w:ascii="Times New Roman" w:hAnsi="Times New Roman"/>
                <w:b/>
                <w:color w:val="262626"/>
                <w:sz w:val="18"/>
              </w:rPr>
              <w:t>Chênh lệch (MB − Agribank, điểm %)</w:t>
            </w:r>
          </w:p>
        </w:tc>
        <w:tc>
          <w:tcPr>
            <w:tcW w:w="1008" w:type="dxa"/>
            <w:tcMar>
              <w:top w:w="70" w:type="dxa"/>
              <w:left w:w="100" w:type="dxa"/>
              <w:bottom w:w="70" w:type="dxa"/>
              <w:right w:w="100" w:type="dxa"/>
            </w:tcMar>
          </w:tcPr>
          <w:p w14:paraId="67B0ACA6" w14:textId="77777777" w:rsidR="00F67131" w:rsidRDefault="00000000">
            <w:pPr>
              <w:spacing w:before="40" w:after="40" w:line="240" w:lineRule="auto"/>
              <w:jc w:val="both"/>
            </w:pPr>
            <w:r>
              <w:rPr>
                <w:rFonts w:ascii="Times New Roman" w:hAnsi="Times New Roman"/>
                <w:color w:val="262626"/>
                <w:sz w:val="18"/>
              </w:rPr>
              <w:t>+25,2</w:t>
            </w:r>
          </w:p>
        </w:tc>
        <w:tc>
          <w:tcPr>
            <w:tcW w:w="1008" w:type="dxa"/>
            <w:tcMar>
              <w:top w:w="70" w:type="dxa"/>
              <w:left w:w="100" w:type="dxa"/>
              <w:bottom w:w="70" w:type="dxa"/>
              <w:right w:w="100" w:type="dxa"/>
            </w:tcMar>
          </w:tcPr>
          <w:p w14:paraId="7FDC395D" w14:textId="77777777" w:rsidR="00F67131" w:rsidRDefault="00000000">
            <w:pPr>
              <w:spacing w:before="40" w:after="40" w:line="240" w:lineRule="auto"/>
              <w:jc w:val="both"/>
            </w:pPr>
            <w:r>
              <w:rPr>
                <w:rFonts w:ascii="Times New Roman" w:hAnsi="Times New Roman"/>
                <w:color w:val="262626"/>
                <w:sz w:val="18"/>
              </w:rPr>
              <w:t>+33,8</w:t>
            </w:r>
          </w:p>
        </w:tc>
        <w:tc>
          <w:tcPr>
            <w:tcW w:w="1008" w:type="dxa"/>
            <w:tcMar>
              <w:top w:w="70" w:type="dxa"/>
              <w:left w:w="100" w:type="dxa"/>
              <w:bottom w:w="70" w:type="dxa"/>
              <w:right w:w="100" w:type="dxa"/>
            </w:tcMar>
          </w:tcPr>
          <w:p w14:paraId="3E91958D" w14:textId="77777777" w:rsidR="00F67131" w:rsidRDefault="00000000">
            <w:pPr>
              <w:spacing w:before="40" w:after="40" w:line="240" w:lineRule="auto"/>
              <w:jc w:val="both"/>
            </w:pPr>
            <w:r>
              <w:rPr>
                <w:rFonts w:ascii="Times New Roman" w:hAnsi="Times New Roman"/>
                <w:color w:val="262626"/>
                <w:sz w:val="18"/>
              </w:rPr>
              <w:t>+33,7</w:t>
            </w:r>
          </w:p>
        </w:tc>
        <w:tc>
          <w:tcPr>
            <w:tcW w:w="1008" w:type="dxa"/>
            <w:tcMar>
              <w:top w:w="70" w:type="dxa"/>
              <w:left w:w="100" w:type="dxa"/>
              <w:bottom w:w="70" w:type="dxa"/>
              <w:right w:w="100" w:type="dxa"/>
            </w:tcMar>
          </w:tcPr>
          <w:p w14:paraId="72232A4C" w14:textId="77777777" w:rsidR="00F67131" w:rsidRDefault="00000000">
            <w:pPr>
              <w:spacing w:before="40" w:after="40" w:line="240" w:lineRule="auto"/>
              <w:jc w:val="both"/>
            </w:pPr>
            <w:r>
              <w:rPr>
                <w:rFonts w:ascii="Times New Roman" w:hAnsi="Times New Roman"/>
                <w:color w:val="262626"/>
                <w:sz w:val="18"/>
              </w:rPr>
              <w:t>+26,4</w:t>
            </w:r>
          </w:p>
        </w:tc>
        <w:tc>
          <w:tcPr>
            <w:tcW w:w="1008" w:type="dxa"/>
            <w:tcMar>
              <w:top w:w="70" w:type="dxa"/>
              <w:left w:w="100" w:type="dxa"/>
              <w:bottom w:w="70" w:type="dxa"/>
              <w:right w:w="100" w:type="dxa"/>
            </w:tcMar>
          </w:tcPr>
          <w:p w14:paraId="4A1A8AEA" w14:textId="77777777" w:rsidR="00F67131" w:rsidRDefault="00000000">
            <w:pPr>
              <w:spacing w:before="40" w:after="40" w:line="240" w:lineRule="auto"/>
              <w:jc w:val="both"/>
            </w:pPr>
            <w:r>
              <w:rPr>
                <w:rFonts w:ascii="Times New Roman" w:hAnsi="Times New Roman"/>
                <w:color w:val="262626"/>
                <w:sz w:val="18"/>
              </w:rPr>
              <w:t>+20,9</w:t>
            </w:r>
          </w:p>
        </w:tc>
        <w:tc>
          <w:tcPr>
            <w:tcW w:w="1008" w:type="dxa"/>
            <w:tcMar>
              <w:top w:w="70" w:type="dxa"/>
              <w:left w:w="100" w:type="dxa"/>
              <w:bottom w:w="70" w:type="dxa"/>
              <w:right w:w="100" w:type="dxa"/>
            </w:tcMar>
          </w:tcPr>
          <w:p w14:paraId="774FFCA9" w14:textId="77777777" w:rsidR="00F67131" w:rsidRDefault="00000000">
            <w:pPr>
              <w:spacing w:before="40" w:after="40" w:line="240" w:lineRule="auto"/>
              <w:jc w:val="both"/>
            </w:pPr>
            <w:r>
              <w:rPr>
                <w:rFonts w:ascii="Times New Roman" w:hAnsi="Times New Roman"/>
                <w:color w:val="262626"/>
                <w:sz w:val="18"/>
              </w:rPr>
              <w:t>+15,8</w:t>
            </w:r>
          </w:p>
        </w:tc>
      </w:tr>
    </w:tbl>
    <w:p w14:paraId="64A88004" w14:textId="77777777" w:rsidR="00F67131" w:rsidRDefault="00000000">
      <w:pPr>
        <w:spacing w:after="80" w:line="300" w:lineRule="auto"/>
        <w:jc w:val="both"/>
      </w:pPr>
      <w:r>
        <w:rPr>
          <w:rFonts w:ascii="Times New Roman" w:hAnsi="Times New Roman"/>
          <w:b/>
          <w:i/>
          <w:sz w:val="21"/>
        </w:rPr>
        <w:t xml:space="preserve">Nguồn: </w:t>
      </w:r>
      <w:r>
        <w:rPr>
          <w:rFonts w:ascii="Times New Roman" w:hAnsi="Times New Roman"/>
          <w:i/>
          <w:sz w:val="21"/>
        </w:rPr>
        <w:t>Tính toán của nhóm nghiên cứu từ Báo cáo KQKD hợp nhất và Bảng CĐKT hợp nhất kiểm toán 2020–2025 của Agribank và MB trên cùng cơ sở mẫu số vốn tối thiểu ước tính = 8% × Dư nợ cho vay hợp nhất (sheet Chi_tieu, dòng 48–56).</w:t>
      </w:r>
    </w:p>
    <w:p w14:paraId="2F4417C9" w14:textId="77777777" w:rsidR="00F67131" w:rsidRDefault="00000000">
      <w:pPr>
        <w:spacing w:after="80" w:line="300" w:lineRule="auto"/>
        <w:jc w:val="both"/>
      </w:pPr>
      <w:r>
        <w:rPr>
          <w:rFonts w:ascii="Times New Roman" w:hAnsi="Times New Roman"/>
          <w:b/>
        </w:rPr>
        <w:t xml:space="preserve">Đánh giá tỷ suất lợi nhuận trên vốn rủi ro (RORAC proxy): </w:t>
      </w:r>
      <w:r>
        <w:rPr>
          <w:rFonts w:ascii="Times New Roman" w:hAnsi="Times New Roman"/>
        </w:rPr>
        <w:t>Do không có số liệu tài sản có rủi ro (RWA) công bố đầy đủ cho cả hai ngân hàng, nghiên cứu dùng vốn tối thiểu ước tính bằng 8% dư nợ cho vay (giả định trọng số rủi ro 100%) và lợi nhuận sau thuế hợp nhất. Lợi nhuận sau thuế đã trừ chi phí dự phòng nên không trừ thêm tổn thất kỳ vọng để tránh tính trùng. Theo cách đo này, MB đạt 31,6%–49,3% (cao nhất năm 2022), Agribank đạt 10,8%–16,7%. Chênh lệch thu hẹp từ 33,8 điểm % (2021) còn 15,8 điểm % (2025), chủ yếu do dư nợ MB tăng nhanh hơn lợi nhuận. Đây là chỉ tiêu xấp xỉ: trọng số rủi ro thực tế của cho vay nông hộ có tài sản bảo đảm khác với cho vay tiêu dùng tín chấp, nên mức chênh thực có thể khác.</w:t>
      </w:r>
    </w:p>
    <w:p>
      <w:pPr>
        <w:pStyle w:val="Heading2"/>
        <w:keepNext/>
        <w:spacing w:before="240" w:after="80"/>
        <w:outlineLvl w:val="1"/>
      </w:pPr>
      <w:r>
        <w:rPr>
          <w:rFonts w:ascii="Times New Roman" w:hAnsi="Times New Roman"/>
          <w:b/>
          <w:i w:val="0"/>
          <w:color w:val="0F4C81"/>
          <w:sz w:val="24"/>
        </w:rPr>
        <w:t>2.6. Cơ cấu danh mục, mức độ tập trung ngành và an toàn vốn (CAR)</w:t>
      </w:r>
    </w:p>
    <w:p>
      <w:pPr>
        <w:keepNext/>
        <w:pageBreakBefore w:val="0"/>
        <w:spacing w:before="200" w:after="80" w:line="276" w:lineRule="auto"/>
        <w:jc w:val="left"/>
      </w:pPr>
      <w:r>
        <w:rPr>
          <w:rFonts w:ascii="Times New Roman" w:hAnsi="Times New Roman"/>
          <w:b/>
          <w:i w:val="0"/>
          <w:color w:val="002060"/>
          <w:sz w:val="22"/>
        </w:rPr>
        <w:t>Bảng 6. Cơ cấu danh mục rủi ro tập trung và Hệ số an toàn vốn (CAR) giai đoạn 2020–2025</w:t>
      </w:r>
    </w:p>
    <w:tbl>
      <w:tblPr>
        <w:tblW w:w="0" w:type="auto"/>
        <w:jc w:val="center"/>
        <w:tblBorders>
          <w:top w:val="single" w:sz="6" w:space="0" w:color="1B365D"/>
          <w:bottom w:val="single" w:sz="6" w:space="0" w:color="1B365D"/>
          <w:insideH w:val="single" w:sz="4" w:space="0" w:color="E0E0E0"/>
        </w:tblBorders>
        <w:tblLook w:val="04A0" w:firstRow="1" w:lastRow="0" w:firstColumn="1" w:lastColumn="0" w:noHBand="0" w:noVBand="1"/>
      </w:tblPr>
      <w:tblGrid>
        <w:gridCol w:w="3320"/>
        <w:gridCol w:w="992"/>
        <w:gridCol w:w="992"/>
        <w:gridCol w:w="992"/>
        <w:gridCol w:w="992"/>
        <w:gridCol w:w="992"/>
        <w:gridCol w:w="992"/>
      </w:tblGrid>
      <w:tr w:rsidR="00F67131" w14:paraId="63A897AA" w14:textId="77777777">
        <w:trPr>
          <w:cantSplit/>
          <w:tblHeader/>
          <w:jc w:val="center"/>
        </w:trPr>
        <w:tc>
          <w:tcPr>
            <w:tcW w:w="3456" w:type="dxa"/>
            <w:shd w:val="clear" w:color="auto" w:fill="1B365D"/>
            <w:tcMar>
              <w:top w:w="70" w:type="dxa"/>
              <w:left w:w="100" w:type="dxa"/>
              <w:bottom w:w="70" w:type="dxa"/>
              <w:right w:w="100" w:type="dxa"/>
            </w:tcMar>
          </w:tcPr>
          <w:p w14:paraId="299126D0" w14:textId="77777777" w:rsidR="00F67131" w:rsidRDefault="00000000">
            <w:pPr>
              <w:spacing w:before="40" w:after="40" w:line="240" w:lineRule="auto"/>
              <w:jc w:val="both"/>
            </w:pPr>
            <w:r>
              <w:rPr>
                <w:rFonts w:ascii="Times New Roman" w:hAnsi="Times New Roman"/>
                <w:b/>
                <w:color w:val="FFFFFF"/>
                <w:sz w:val="19"/>
              </w:rPr>
              <w:t>Chỉ tiêu tập trung &amp; Vốn</w:t>
            </w:r>
          </w:p>
        </w:tc>
        <w:tc>
          <w:tcPr>
            <w:tcW w:w="1008" w:type="dxa"/>
            <w:shd w:val="clear" w:color="auto" w:fill="1B365D"/>
            <w:tcMar>
              <w:top w:w="70" w:type="dxa"/>
              <w:left w:w="100" w:type="dxa"/>
              <w:bottom w:w="70" w:type="dxa"/>
              <w:right w:w="100" w:type="dxa"/>
            </w:tcMar>
          </w:tcPr>
          <w:p w14:paraId="408AD0A1" w14:textId="77777777" w:rsidR="00F67131" w:rsidRDefault="00000000">
            <w:pPr>
              <w:spacing w:before="40" w:after="40" w:line="240" w:lineRule="auto"/>
              <w:jc w:val="both"/>
            </w:pPr>
            <w:r>
              <w:rPr>
                <w:rFonts w:ascii="Times New Roman" w:hAnsi="Times New Roman"/>
                <w:b/>
                <w:color w:val="FFFFFF"/>
                <w:sz w:val="19"/>
              </w:rPr>
              <w:t>2020</w:t>
            </w:r>
          </w:p>
        </w:tc>
        <w:tc>
          <w:tcPr>
            <w:tcW w:w="1008" w:type="dxa"/>
            <w:shd w:val="clear" w:color="auto" w:fill="1B365D"/>
            <w:tcMar>
              <w:top w:w="70" w:type="dxa"/>
              <w:left w:w="100" w:type="dxa"/>
              <w:bottom w:w="70" w:type="dxa"/>
              <w:right w:w="100" w:type="dxa"/>
            </w:tcMar>
          </w:tcPr>
          <w:p w14:paraId="28728CE0" w14:textId="77777777" w:rsidR="00F67131" w:rsidRDefault="00000000">
            <w:pPr>
              <w:spacing w:before="40" w:after="40" w:line="240" w:lineRule="auto"/>
              <w:jc w:val="both"/>
            </w:pPr>
            <w:r>
              <w:rPr>
                <w:rFonts w:ascii="Times New Roman" w:hAnsi="Times New Roman"/>
                <w:b/>
                <w:color w:val="FFFFFF"/>
                <w:sz w:val="19"/>
              </w:rPr>
              <w:t>2021</w:t>
            </w:r>
          </w:p>
        </w:tc>
        <w:tc>
          <w:tcPr>
            <w:tcW w:w="1008" w:type="dxa"/>
            <w:shd w:val="clear" w:color="auto" w:fill="1B365D"/>
            <w:tcMar>
              <w:top w:w="70" w:type="dxa"/>
              <w:left w:w="100" w:type="dxa"/>
              <w:bottom w:w="70" w:type="dxa"/>
              <w:right w:w="100" w:type="dxa"/>
            </w:tcMar>
          </w:tcPr>
          <w:p w14:paraId="4D9345CA" w14:textId="77777777" w:rsidR="00F67131" w:rsidRDefault="00000000">
            <w:pPr>
              <w:spacing w:before="40" w:after="40" w:line="240" w:lineRule="auto"/>
              <w:jc w:val="both"/>
            </w:pPr>
            <w:r>
              <w:rPr>
                <w:rFonts w:ascii="Times New Roman" w:hAnsi="Times New Roman"/>
                <w:b/>
                <w:color w:val="FFFFFF"/>
                <w:sz w:val="19"/>
              </w:rPr>
              <w:t>2022</w:t>
            </w:r>
          </w:p>
        </w:tc>
        <w:tc>
          <w:tcPr>
            <w:tcW w:w="1008" w:type="dxa"/>
            <w:shd w:val="clear" w:color="auto" w:fill="1B365D"/>
            <w:tcMar>
              <w:top w:w="70" w:type="dxa"/>
              <w:left w:w="100" w:type="dxa"/>
              <w:bottom w:w="70" w:type="dxa"/>
              <w:right w:w="100" w:type="dxa"/>
            </w:tcMar>
          </w:tcPr>
          <w:p w14:paraId="25E93D1D" w14:textId="77777777" w:rsidR="00F67131" w:rsidRDefault="00000000">
            <w:pPr>
              <w:spacing w:before="40" w:after="40" w:line="240" w:lineRule="auto"/>
              <w:jc w:val="both"/>
            </w:pPr>
            <w:r>
              <w:rPr>
                <w:rFonts w:ascii="Times New Roman" w:hAnsi="Times New Roman"/>
                <w:b/>
                <w:color w:val="FFFFFF"/>
                <w:sz w:val="19"/>
              </w:rPr>
              <w:t>2023</w:t>
            </w:r>
          </w:p>
        </w:tc>
        <w:tc>
          <w:tcPr>
            <w:tcW w:w="1008" w:type="dxa"/>
            <w:shd w:val="clear" w:color="auto" w:fill="1B365D"/>
            <w:tcMar>
              <w:top w:w="70" w:type="dxa"/>
              <w:left w:w="100" w:type="dxa"/>
              <w:bottom w:w="70" w:type="dxa"/>
              <w:right w:w="100" w:type="dxa"/>
            </w:tcMar>
          </w:tcPr>
          <w:p w14:paraId="7FDA3622" w14:textId="77777777" w:rsidR="00F67131" w:rsidRDefault="00000000">
            <w:pPr>
              <w:spacing w:before="40" w:after="40" w:line="240" w:lineRule="auto"/>
              <w:jc w:val="both"/>
            </w:pPr>
            <w:r>
              <w:rPr>
                <w:rFonts w:ascii="Times New Roman" w:hAnsi="Times New Roman"/>
                <w:b/>
                <w:color w:val="FFFFFF"/>
                <w:sz w:val="19"/>
              </w:rPr>
              <w:t>2024</w:t>
            </w:r>
          </w:p>
        </w:tc>
        <w:tc>
          <w:tcPr>
            <w:tcW w:w="1008" w:type="dxa"/>
            <w:shd w:val="clear" w:color="auto" w:fill="1B365D"/>
            <w:tcMar>
              <w:top w:w="70" w:type="dxa"/>
              <w:left w:w="100" w:type="dxa"/>
              <w:bottom w:w="70" w:type="dxa"/>
              <w:right w:w="100" w:type="dxa"/>
            </w:tcMar>
          </w:tcPr>
          <w:p w14:paraId="715BA3D2" w14:textId="77777777" w:rsidR="00F67131" w:rsidRDefault="00000000">
            <w:pPr>
              <w:spacing w:before="40" w:after="40" w:line="240" w:lineRule="auto"/>
              <w:jc w:val="both"/>
            </w:pPr>
            <w:r>
              <w:rPr>
                <w:rFonts w:ascii="Times New Roman" w:hAnsi="Times New Roman"/>
                <w:b/>
                <w:color w:val="FFFFFF"/>
                <w:sz w:val="19"/>
              </w:rPr>
              <w:t>2025</w:t>
            </w:r>
          </w:p>
        </w:tc>
      </w:tr>
      <w:tr w:rsidR="00F67131" w14:paraId="42444C5C" w14:textId="77777777">
        <w:trPr>
          <w:cantSplit/>
          <w:jc w:val="center"/>
        </w:trPr>
        <w:tc>
          <w:tcPr>
            <w:tcW w:w="3456" w:type="dxa"/>
            <w:tcMar>
              <w:top w:w="70" w:type="dxa"/>
              <w:left w:w="100" w:type="dxa"/>
              <w:bottom w:w="70" w:type="dxa"/>
              <w:right w:w="100" w:type="dxa"/>
            </w:tcMar>
          </w:tcPr>
          <w:p w14:paraId="55CF2FA5" w14:textId="77777777" w:rsidR="00F67131" w:rsidRDefault="00000000">
            <w:pPr>
              <w:spacing w:before="40" w:after="40" w:line="240" w:lineRule="auto"/>
              <w:jc w:val="both"/>
            </w:pPr>
            <w:r>
              <w:rPr>
                <w:rFonts w:ascii="Times New Roman" w:hAnsi="Times New Roman"/>
                <w:color w:val="262626"/>
                <w:sz w:val="18"/>
              </w:rPr>
              <w:t>Agribank: Tỷ trọng dư nợ nông nghiệp – nông thôn (BCTN)</w:t>
            </w:r>
          </w:p>
        </w:tc>
        <w:tc>
          <w:tcPr>
            <w:tcW w:w="1008" w:type="dxa"/>
            <w:tcMar>
              <w:top w:w="70" w:type="dxa"/>
              <w:left w:w="100" w:type="dxa"/>
              <w:bottom w:w="70" w:type="dxa"/>
              <w:right w:w="100" w:type="dxa"/>
            </w:tcMar>
          </w:tcPr>
          <w:p w14:paraId="0863B372" w14:textId="77777777" w:rsidR="00F67131" w:rsidRDefault="00000000">
            <w:pPr>
              <w:spacing w:before="40" w:after="40" w:line="240" w:lineRule="auto"/>
              <w:jc w:val="both"/>
            </w:pPr>
            <w:r>
              <w:rPr>
                <w:rFonts w:ascii="Times New Roman" w:hAnsi="Times New Roman"/>
                <w:color w:val="262626"/>
                <w:sz w:val="18"/>
              </w:rPr>
              <w:t>~70%</w:t>
            </w:r>
          </w:p>
        </w:tc>
        <w:tc>
          <w:tcPr>
            <w:tcW w:w="1008" w:type="dxa"/>
            <w:tcMar>
              <w:top w:w="70" w:type="dxa"/>
              <w:left w:w="100" w:type="dxa"/>
              <w:bottom w:w="70" w:type="dxa"/>
              <w:right w:w="100" w:type="dxa"/>
            </w:tcMar>
          </w:tcPr>
          <w:p w14:paraId="73E7E278" w14:textId="77777777" w:rsidR="00F67131" w:rsidRDefault="00000000">
            <w:pPr>
              <w:spacing w:before="40" w:after="40" w:line="240" w:lineRule="auto"/>
              <w:jc w:val="both"/>
            </w:pPr>
            <w:r>
              <w:rPr>
                <w:rFonts w:ascii="Times New Roman" w:hAnsi="Times New Roman"/>
                <w:color w:val="262626"/>
                <w:sz w:val="18"/>
              </w:rPr>
              <w:t>65–70%</w:t>
            </w:r>
          </w:p>
        </w:tc>
        <w:tc>
          <w:tcPr>
            <w:tcW w:w="1008" w:type="dxa"/>
            <w:tcMar>
              <w:top w:w="70" w:type="dxa"/>
              <w:left w:w="100" w:type="dxa"/>
              <w:bottom w:w="70" w:type="dxa"/>
              <w:right w:w="100" w:type="dxa"/>
            </w:tcMar>
          </w:tcPr>
          <w:p w14:paraId="21E80F6E" w14:textId="77777777" w:rsidR="00F67131" w:rsidRDefault="00000000">
            <w:pPr>
              <w:spacing w:before="40" w:after="40" w:line="240" w:lineRule="auto"/>
              <w:jc w:val="both"/>
            </w:pPr>
            <w:r>
              <w:rPr>
                <w:rFonts w:ascii="Times New Roman" w:hAnsi="Times New Roman"/>
                <w:color w:val="262626"/>
                <w:sz w:val="18"/>
              </w:rPr>
              <w:t>&gt;65%</w:t>
            </w:r>
          </w:p>
        </w:tc>
        <w:tc>
          <w:tcPr>
            <w:tcW w:w="1008" w:type="dxa"/>
            <w:tcMar>
              <w:top w:w="70" w:type="dxa"/>
              <w:left w:w="100" w:type="dxa"/>
              <w:bottom w:w="70" w:type="dxa"/>
              <w:right w:w="100" w:type="dxa"/>
            </w:tcMar>
          </w:tcPr>
          <w:p w14:paraId="5EA4AFEC" w14:textId="77777777" w:rsidR="00F67131" w:rsidRDefault="00000000">
            <w:pPr>
              <w:spacing w:before="40" w:after="40" w:line="240" w:lineRule="auto"/>
              <w:jc w:val="both"/>
            </w:pPr>
            <w:r>
              <w:rPr>
                <w:rFonts w:ascii="Times New Roman" w:hAnsi="Times New Roman"/>
                <w:color w:val="262626"/>
                <w:sz w:val="18"/>
              </w:rPr>
              <w:t>62,7%</w:t>
            </w:r>
          </w:p>
        </w:tc>
        <w:tc>
          <w:tcPr>
            <w:tcW w:w="1008" w:type="dxa"/>
            <w:tcMar>
              <w:top w:w="70" w:type="dxa"/>
              <w:left w:w="100" w:type="dxa"/>
              <w:bottom w:w="70" w:type="dxa"/>
              <w:right w:w="100" w:type="dxa"/>
            </w:tcMar>
          </w:tcPr>
          <w:p w14:paraId="6EFDDD14" w14:textId="77777777" w:rsidR="00F67131" w:rsidRDefault="00000000">
            <w:pPr>
              <w:spacing w:before="40" w:after="40" w:line="240" w:lineRule="auto"/>
              <w:jc w:val="both"/>
            </w:pPr>
            <w:r>
              <w:rPr>
                <w:rFonts w:ascii="Times New Roman" w:hAnsi="Times New Roman"/>
                <w:color w:val="262626"/>
                <w:sz w:val="18"/>
              </w:rPr>
              <w:t>61,7%</w:t>
            </w:r>
          </w:p>
        </w:tc>
        <w:tc>
          <w:tcPr>
            <w:tcW w:w="1008" w:type="dxa"/>
            <w:tcMar>
              <w:top w:w="70" w:type="dxa"/>
              <w:left w:w="100" w:type="dxa"/>
              <w:bottom w:w="70" w:type="dxa"/>
              <w:right w:w="100" w:type="dxa"/>
            </w:tcMar>
          </w:tcPr>
          <w:p w14:paraId="1C173B22" w14:textId="77777777" w:rsidR="00F67131" w:rsidRDefault="00000000">
            <w:pPr>
              <w:spacing w:before="40" w:after="40" w:line="240" w:lineRule="auto"/>
              <w:jc w:val="both"/>
            </w:pPr>
            <w:r>
              <w:rPr>
                <w:rFonts w:ascii="Times New Roman" w:hAnsi="Times New Roman"/>
                <w:color w:val="262626"/>
                <w:sz w:val="18"/>
              </w:rPr>
              <w:t>64,1%</w:t>
            </w:r>
          </w:p>
        </w:tc>
      </w:tr>
      <w:tr w:rsidR="00F67131" w14:paraId="1134B073" w14:textId="77777777">
        <w:trPr>
          <w:cantSplit/>
          <w:jc w:val="center"/>
        </w:trPr>
        <w:tc>
          <w:tcPr>
            <w:tcW w:w="3456" w:type="dxa"/>
            <w:tcMar>
              <w:top w:w="70" w:type="dxa"/>
              <w:left w:w="100" w:type="dxa"/>
              <w:bottom w:w="70" w:type="dxa"/>
              <w:right w:w="100" w:type="dxa"/>
            </w:tcMar>
          </w:tcPr>
          <w:p w14:paraId="51324A6D" w14:textId="77777777" w:rsidR="00F67131" w:rsidRDefault="00000000">
            <w:pPr>
              <w:spacing w:before="40" w:after="40" w:line="240" w:lineRule="auto"/>
              <w:jc w:val="both"/>
            </w:pPr>
            <w:r>
              <w:rPr>
                <w:rFonts w:ascii="Times New Roman" w:hAnsi="Times New Roman"/>
                <w:b/>
                <w:color w:val="262626"/>
                <w:sz w:val="18"/>
              </w:rPr>
              <w:t>Agribank: CAR công bố (2020–2022: TT 22/2019; từ 2023: TT 41)</w:t>
            </w:r>
          </w:p>
        </w:tc>
        <w:tc>
          <w:tcPr>
            <w:tcW w:w="1008" w:type="dxa"/>
            <w:tcMar>
              <w:top w:w="70" w:type="dxa"/>
              <w:left w:w="100" w:type="dxa"/>
              <w:bottom w:w="70" w:type="dxa"/>
              <w:right w:w="100" w:type="dxa"/>
            </w:tcMar>
          </w:tcPr>
          <w:p w14:paraId="115E0BBF" w14:textId="77777777" w:rsidR="00F67131" w:rsidRDefault="00000000">
            <w:pPr>
              <w:spacing w:before="40" w:after="40" w:line="240" w:lineRule="auto"/>
              <w:jc w:val="both"/>
            </w:pPr>
            <w:r>
              <w:rPr>
                <w:rFonts w:ascii="Times New Roman" w:hAnsi="Times New Roman"/>
                <w:color w:val="262626"/>
                <w:sz w:val="18"/>
              </w:rPr>
              <w:t>10,58%</w:t>
            </w:r>
          </w:p>
        </w:tc>
        <w:tc>
          <w:tcPr>
            <w:tcW w:w="1008" w:type="dxa"/>
            <w:tcMar>
              <w:top w:w="70" w:type="dxa"/>
              <w:left w:w="100" w:type="dxa"/>
              <w:bottom w:w="70" w:type="dxa"/>
              <w:right w:w="100" w:type="dxa"/>
            </w:tcMar>
          </w:tcPr>
          <w:p w14:paraId="5FF55130" w14:textId="77777777" w:rsidR="00F67131" w:rsidRDefault="00000000">
            <w:pPr>
              <w:spacing w:before="40" w:after="40" w:line="240" w:lineRule="auto"/>
              <w:jc w:val="both"/>
            </w:pPr>
            <w:r>
              <w:rPr>
                <w:rFonts w:ascii="Times New Roman" w:hAnsi="Times New Roman"/>
                <w:color w:val="262626"/>
                <w:sz w:val="18"/>
              </w:rPr>
              <w:t>10,50%</w:t>
            </w:r>
          </w:p>
        </w:tc>
        <w:tc>
          <w:tcPr>
            <w:tcW w:w="1008" w:type="dxa"/>
            <w:tcMar>
              <w:top w:w="70" w:type="dxa"/>
              <w:left w:w="100" w:type="dxa"/>
              <w:bottom w:w="70" w:type="dxa"/>
              <w:right w:w="100" w:type="dxa"/>
            </w:tcMar>
          </w:tcPr>
          <w:p w14:paraId="61387E1F" w14:textId="77777777" w:rsidR="00F67131" w:rsidRDefault="00000000">
            <w:pPr>
              <w:spacing w:before="40" w:after="40" w:line="240" w:lineRule="auto"/>
              <w:jc w:val="both"/>
            </w:pPr>
            <w:r>
              <w:rPr>
                <w:rFonts w:ascii="Times New Roman" w:hAnsi="Times New Roman"/>
                <w:color w:val="262626"/>
                <w:sz w:val="18"/>
              </w:rPr>
              <w:t>10,80%</w:t>
            </w:r>
          </w:p>
        </w:tc>
        <w:tc>
          <w:tcPr>
            <w:tcW w:w="1008" w:type="dxa"/>
            <w:tcMar>
              <w:top w:w="70" w:type="dxa"/>
              <w:left w:w="100" w:type="dxa"/>
              <w:bottom w:w="70" w:type="dxa"/>
              <w:right w:w="100" w:type="dxa"/>
            </w:tcMar>
          </w:tcPr>
          <w:p w14:paraId="4F4B4360" w14:textId="77777777" w:rsidR="00F67131" w:rsidRDefault="00000000">
            <w:pPr>
              <w:spacing w:before="40" w:after="40" w:line="240" w:lineRule="auto"/>
              <w:jc w:val="both"/>
            </w:pPr>
            <w:r>
              <w:rPr>
                <w:rFonts w:ascii="Times New Roman" w:hAnsi="Times New Roman"/>
                <w:color w:val="262626"/>
                <w:sz w:val="18"/>
              </w:rPr>
              <w:t>9,20%</w:t>
            </w:r>
          </w:p>
        </w:tc>
        <w:tc>
          <w:tcPr>
            <w:tcW w:w="1008" w:type="dxa"/>
            <w:tcMar>
              <w:top w:w="70" w:type="dxa"/>
              <w:left w:w="100" w:type="dxa"/>
              <w:bottom w:w="70" w:type="dxa"/>
              <w:right w:w="100" w:type="dxa"/>
            </w:tcMar>
          </w:tcPr>
          <w:p w14:paraId="1564AB18" w14:textId="77777777" w:rsidR="00F67131" w:rsidRDefault="00000000">
            <w:pPr>
              <w:spacing w:before="40" w:after="40" w:line="240" w:lineRule="auto"/>
              <w:jc w:val="both"/>
            </w:pPr>
            <w:r>
              <w:rPr>
                <w:rFonts w:ascii="Times New Roman" w:hAnsi="Times New Roman"/>
                <w:color w:val="262626"/>
                <w:sz w:val="18"/>
              </w:rPr>
              <w:t>11,36%</w:t>
            </w:r>
          </w:p>
        </w:tc>
        <w:tc>
          <w:tcPr>
            <w:tcW w:w="1008" w:type="dxa"/>
            <w:tcMar>
              <w:top w:w="70" w:type="dxa"/>
              <w:left w:w="100" w:type="dxa"/>
              <w:bottom w:w="70" w:type="dxa"/>
              <w:right w:w="100" w:type="dxa"/>
            </w:tcMar>
          </w:tcPr>
          <w:p w14:paraId="52047CCD" w14:textId="77777777" w:rsidR="00F67131" w:rsidRDefault="00000000">
            <w:pPr>
              <w:spacing w:before="40" w:after="40" w:line="240" w:lineRule="auto"/>
              <w:jc w:val="both"/>
            </w:pPr>
            <w:r>
              <w:rPr>
                <w:rFonts w:ascii="Times New Roman" w:hAnsi="Times New Roman"/>
                <w:color w:val="262626"/>
                <w:sz w:val="18"/>
              </w:rPr>
              <w:t>10,22%</w:t>
            </w:r>
          </w:p>
        </w:tc>
      </w:tr>
      <w:tr w:rsidR="00F67131" w14:paraId="67570FF6" w14:textId="77777777">
        <w:trPr>
          <w:cantSplit/>
          <w:jc w:val="center"/>
        </w:trPr>
        <w:tc>
          <w:tcPr>
            <w:tcW w:w="3456" w:type="dxa"/>
            <w:tcMar>
              <w:top w:w="70" w:type="dxa"/>
              <w:left w:w="100" w:type="dxa"/>
              <w:bottom w:w="70" w:type="dxa"/>
              <w:right w:w="100" w:type="dxa"/>
            </w:tcMar>
          </w:tcPr>
          <w:p w14:paraId="2D61D570" w14:textId="77777777" w:rsidR="00F67131" w:rsidRDefault="00000000">
            <w:pPr>
              <w:spacing w:before="40" w:after="40" w:line="240" w:lineRule="auto"/>
              <w:jc w:val="both"/>
            </w:pPr>
            <w:r>
              <w:rPr>
                <w:rFonts w:ascii="Times New Roman" w:hAnsi="Times New Roman"/>
                <w:color w:val="262626"/>
                <w:sz w:val="18"/>
              </w:rPr>
              <w:t>MB: Dư nợ cho vay BĐS &amp; Xây dựng / Dư nợ (TM 10.4)</w:t>
            </w:r>
          </w:p>
        </w:tc>
        <w:tc>
          <w:tcPr>
            <w:tcW w:w="1008" w:type="dxa"/>
            <w:tcMar>
              <w:top w:w="70" w:type="dxa"/>
              <w:left w:w="100" w:type="dxa"/>
              <w:bottom w:w="70" w:type="dxa"/>
              <w:right w:w="100" w:type="dxa"/>
            </w:tcMar>
          </w:tcPr>
          <w:p w14:paraId="1D46033B" w14:textId="77777777" w:rsidR="00F67131" w:rsidRDefault="00000000">
            <w:pPr>
              <w:spacing w:before="40" w:after="40" w:line="240" w:lineRule="auto"/>
              <w:jc w:val="both"/>
            </w:pPr>
            <w:r>
              <w:rPr>
                <w:rFonts w:ascii="Times New Roman" w:hAnsi="Times New Roman"/>
                <w:color w:val="262626"/>
                <w:sz w:val="18"/>
              </w:rPr>
              <w:t>9,2%</w:t>
            </w:r>
          </w:p>
        </w:tc>
        <w:tc>
          <w:tcPr>
            <w:tcW w:w="1008" w:type="dxa"/>
            <w:tcMar>
              <w:top w:w="70" w:type="dxa"/>
              <w:left w:w="100" w:type="dxa"/>
              <w:bottom w:w="70" w:type="dxa"/>
              <w:right w:w="100" w:type="dxa"/>
            </w:tcMar>
          </w:tcPr>
          <w:p w14:paraId="21F6A43C" w14:textId="77777777" w:rsidR="00F67131" w:rsidRDefault="00000000">
            <w:pPr>
              <w:spacing w:before="40" w:after="40" w:line="240" w:lineRule="auto"/>
              <w:jc w:val="both"/>
            </w:pPr>
            <w:r>
              <w:rPr>
                <w:rFonts w:ascii="Times New Roman" w:hAnsi="Times New Roman"/>
                <w:color w:val="262626"/>
                <w:sz w:val="18"/>
              </w:rPr>
              <w:t>9,7%</w:t>
            </w:r>
          </w:p>
        </w:tc>
        <w:tc>
          <w:tcPr>
            <w:tcW w:w="1008" w:type="dxa"/>
            <w:tcMar>
              <w:top w:w="70" w:type="dxa"/>
              <w:left w:w="100" w:type="dxa"/>
              <w:bottom w:w="70" w:type="dxa"/>
              <w:right w:w="100" w:type="dxa"/>
            </w:tcMar>
          </w:tcPr>
          <w:p w14:paraId="0E075550" w14:textId="77777777" w:rsidR="00F67131" w:rsidRDefault="00000000">
            <w:pPr>
              <w:spacing w:before="40" w:after="40" w:line="240" w:lineRule="auto"/>
              <w:jc w:val="both"/>
            </w:pPr>
            <w:r>
              <w:rPr>
                <w:rFonts w:ascii="Times New Roman" w:hAnsi="Times New Roman"/>
                <w:color w:val="262626"/>
                <w:sz w:val="18"/>
              </w:rPr>
              <w:t>10,4%</w:t>
            </w:r>
          </w:p>
        </w:tc>
        <w:tc>
          <w:tcPr>
            <w:tcW w:w="1008" w:type="dxa"/>
            <w:tcMar>
              <w:top w:w="70" w:type="dxa"/>
              <w:left w:w="100" w:type="dxa"/>
              <w:bottom w:w="70" w:type="dxa"/>
              <w:right w:w="100" w:type="dxa"/>
            </w:tcMar>
          </w:tcPr>
          <w:p w14:paraId="4A60846D" w14:textId="77777777" w:rsidR="00F67131" w:rsidRDefault="00000000">
            <w:pPr>
              <w:spacing w:before="40" w:after="40" w:line="240" w:lineRule="auto"/>
              <w:jc w:val="both"/>
            </w:pPr>
            <w:r>
              <w:rPr>
                <w:rFonts w:ascii="Times New Roman" w:hAnsi="Times New Roman"/>
                <w:color w:val="262626"/>
                <w:sz w:val="18"/>
              </w:rPr>
              <w:t>11,8%</w:t>
            </w:r>
          </w:p>
        </w:tc>
        <w:tc>
          <w:tcPr>
            <w:tcW w:w="1008" w:type="dxa"/>
            <w:tcMar>
              <w:top w:w="70" w:type="dxa"/>
              <w:left w:w="100" w:type="dxa"/>
              <w:bottom w:w="70" w:type="dxa"/>
              <w:right w:w="100" w:type="dxa"/>
            </w:tcMar>
          </w:tcPr>
          <w:p w14:paraId="73C5236F" w14:textId="77777777" w:rsidR="00F67131" w:rsidRDefault="00000000">
            <w:pPr>
              <w:spacing w:before="40" w:after="40" w:line="240" w:lineRule="auto"/>
              <w:jc w:val="both"/>
            </w:pPr>
            <w:r>
              <w:rPr>
                <w:rFonts w:ascii="Times New Roman" w:hAnsi="Times New Roman"/>
                <w:color w:val="262626"/>
                <w:sz w:val="18"/>
              </w:rPr>
              <w:t>12,4%</w:t>
            </w:r>
          </w:p>
        </w:tc>
        <w:tc>
          <w:tcPr>
            <w:tcW w:w="1008" w:type="dxa"/>
            <w:tcMar>
              <w:top w:w="70" w:type="dxa"/>
              <w:left w:w="100" w:type="dxa"/>
              <w:bottom w:w="70" w:type="dxa"/>
              <w:right w:w="100" w:type="dxa"/>
            </w:tcMar>
          </w:tcPr>
          <w:p w14:paraId="6CED515B" w14:textId="77777777" w:rsidR="00F67131" w:rsidRDefault="00000000">
            <w:pPr>
              <w:spacing w:before="40" w:after="40" w:line="240" w:lineRule="auto"/>
              <w:jc w:val="both"/>
            </w:pPr>
            <w:r>
              <w:rPr>
                <w:rFonts w:ascii="Times New Roman" w:hAnsi="Times New Roman"/>
                <w:color w:val="262626"/>
                <w:sz w:val="18"/>
              </w:rPr>
              <w:t>15,4%</w:t>
            </w:r>
          </w:p>
        </w:tc>
      </w:tr>
      <w:tr w:rsidR="00F67131" w14:paraId="160F5389" w14:textId="77777777">
        <w:trPr>
          <w:cantSplit/>
          <w:jc w:val="center"/>
        </w:trPr>
        <w:tc>
          <w:tcPr>
            <w:tcW w:w="3456" w:type="dxa"/>
            <w:tcMar>
              <w:top w:w="70" w:type="dxa"/>
              <w:left w:w="100" w:type="dxa"/>
              <w:bottom w:w="70" w:type="dxa"/>
              <w:right w:w="100" w:type="dxa"/>
            </w:tcMar>
          </w:tcPr>
          <w:p w14:paraId="120C2C9B" w14:textId="77777777" w:rsidR="00F67131" w:rsidRDefault="00000000">
            <w:pPr>
              <w:spacing w:before="40" w:after="40" w:line="240" w:lineRule="auto"/>
              <w:jc w:val="both"/>
            </w:pPr>
            <w:r>
              <w:rPr>
                <w:rFonts w:ascii="Times New Roman" w:hAnsi="Times New Roman"/>
                <w:color w:val="262626"/>
                <w:sz w:val="18"/>
              </w:rPr>
              <w:t>MB: Dư nợ TPDN do TCKT phát hành (TM 12/13, tỷ)</w:t>
            </w:r>
          </w:p>
        </w:tc>
        <w:tc>
          <w:tcPr>
            <w:tcW w:w="1008" w:type="dxa"/>
            <w:tcMar>
              <w:top w:w="70" w:type="dxa"/>
              <w:left w:w="100" w:type="dxa"/>
              <w:bottom w:w="70" w:type="dxa"/>
              <w:right w:w="100" w:type="dxa"/>
            </w:tcMar>
          </w:tcPr>
          <w:p w14:paraId="781800C9" w14:textId="77777777" w:rsidR="00F67131" w:rsidRDefault="00000000">
            <w:pPr>
              <w:spacing w:before="40" w:after="40" w:line="240" w:lineRule="auto"/>
              <w:jc w:val="both"/>
            </w:pPr>
            <w:r>
              <w:rPr>
                <w:rFonts w:ascii="Times New Roman" w:hAnsi="Times New Roman"/>
                <w:color w:val="262626"/>
                <w:sz w:val="18"/>
              </w:rPr>
              <w:t>27.416</w:t>
            </w:r>
          </w:p>
        </w:tc>
        <w:tc>
          <w:tcPr>
            <w:tcW w:w="1008" w:type="dxa"/>
            <w:tcMar>
              <w:top w:w="70" w:type="dxa"/>
              <w:left w:w="100" w:type="dxa"/>
              <w:bottom w:w="70" w:type="dxa"/>
              <w:right w:w="100" w:type="dxa"/>
            </w:tcMar>
          </w:tcPr>
          <w:p w14:paraId="4BE30DFD" w14:textId="77777777" w:rsidR="00F67131" w:rsidRDefault="00000000">
            <w:pPr>
              <w:spacing w:before="40" w:after="40" w:line="240" w:lineRule="auto"/>
              <w:jc w:val="both"/>
            </w:pPr>
            <w:r>
              <w:rPr>
                <w:rFonts w:ascii="Times New Roman" w:hAnsi="Times New Roman"/>
                <w:color w:val="262626"/>
                <w:sz w:val="18"/>
              </w:rPr>
              <w:t>42.369</w:t>
            </w:r>
          </w:p>
        </w:tc>
        <w:tc>
          <w:tcPr>
            <w:tcW w:w="1008" w:type="dxa"/>
            <w:tcMar>
              <w:top w:w="70" w:type="dxa"/>
              <w:left w:w="100" w:type="dxa"/>
              <w:bottom w:w="70" w:type="dxa"/>
              <w:right w:w="100" w:type="dxa"/>
            </w:tcMar>
          </w:tcPr>
          <w:p w14:paraId="609C7D32" w14:textId="77777777" w:rsidR="00F67131" w:rsidRDefault="00000000">
            <w:pPr>
              <w:spacing w:before="40" w:after="40" w:line="240" w:lineRule="auto"/>
              <w:jc w:val="both"/>
            </w:pPr>
            <w:r>
              <w:rPr>
                <w:rFonts w:ascii="Times New Roman" w:hAnsi="Times New Roman"/>
                <w:color w:val="262626"/>
                <w:sz w:val="18"/>
              </w:rPr>
              <w:t>46.870</w:t>
            </w:r>
          </w:p>
        </w:tc>
        <w:tc>
          <w:tcPr>
            <w:tcW w:w="1008" w:type="dxa"/>
            <w:tcMar>
              <w:top w:w="70" w:type="dxa"/>
              <w:left w:w="100" w:type="dxa"/>
              <w:bottom w:w="70" w:type="dxa"/>
              <w:right w:w="100" w:type="dxa"/>
            </w:tcMar>
          </w:tcPr>
          <w:p w14:paraId="6E7BE2A5" w14:textId="77777777" w:rsidR="00F67131" w:rsidRDefault="00000000">
            <w:pPr>
              <w:spacing w:before="40" w:after="40" w:line="240" w:lineRule="auto"/>
              <w:jc w:val="both"/>
            </w:pPr>
            <w:r>
              <w:rPr>
                <w:rFonts w:ascii="Times New Roman" w:hAnsi="Times New Roman"/>
                <w:color w:val="262626"/>
                <w:sz w:val="18"/>
              </w:rPr>
              <w:t>38.448</w:t>
            </w:r>
          </w:p>
        </w:tc>
        <w:tc>
          <w:tcPr>
            <w:tcW w:w="1008" w:type="dxa"/>
            <w:tcMar>
              <w:top w:w="70" w:type="dxa"/>
              <w:left w:w="100" w:type="dxa"/>
              <w:bottom w:w="70" w:type="dxa"/>
              <w:right w:w="100" w:type="dxa"/>
            </w:tcMar>
          </w:tcPr>
          <w:p w14:paraId="21B2BAF8" w14:textId="77777777" w:rsidR="00F67131" w:rsidRDefault="00000000">
            <w:pPr>
              <w:spacing w:before="40" w:after="40" w:line="240" w:lineRule="auto"/>
              <w:jc w:val="both"/>
            </w:pPr>
            <w:r>
              <w:rPr>
                <w:rFonts w:ascii="Times New Roman" w:hAnsi="Times New Roman"/>
                <w:color w:val="262626"/>
                <w:sz w:val="18"/>
              </w:rPr>
              <w:t>33.443</w:t>
            </w:r>
          </w:p>
        </w:tc>
        <w:tc>
          <w:tcPr>
            <w:tcW w:w="1008" w:type="dxa"/>
            <w:tcMar>
              <w:top w:w="70" w:type="dxa"/>
              <w:left w:w="100" w:type="dxa"/>
              <w:bottom w:w="70" w:type="dxa"/>
              <w:right w:w="100" w:type="dxa"/>
            </w:tcMar>
          </w:tcPr>
          <w:p w14:paraId="60BB8CA4" w14:textId="77777777" w:rsidR="00F67131" w:rsidRDefault="00000000">
            <w:pPr>
              <w:spacing w:before="40" w:after="40" w:line="240" w:lineRule="auto"/>
              <w:jc w:val="both"/>
            </w:pPr>
            <w:r>
              <w:rPr>
                <w:rFonts w:ascii="Times New Roman" w:hAnsi="Times New Roman"/>
                <w:color w:val="262626"/>
                <w:sz w:val="18"/>
              </w:rPr>
              <w:t>23.410</w:t>
            </w:r>
          </w:p>
        </w:tc>
      </w:tr>
      <w:tr w:rsidR="00F67131" w14:paraId="11B78F13" w14:textId="77777777">
        <w:trPr>
          <w:cantSplit/>
          <w:jc w:val="center"/>
        </w:trPr>
        <w:tc>
          <w:tcPr>
            <w:tcW w:w="3456" w:type="dxa"/>
            <w:tcMar>
              <w:top w:w="70" w:type="dxa"/>
              <w:left w:w="100" w:type="dxa"/>
              <w:bottom w:w="70" w:type="dxa"/>
              <w:right w:w="100" w:type="dxa"/>
            </w:tcMar>
          </w:tcPr>
          <w:p w14:paraId="65046E15" w14:textId="77777777" w:rsidR="00F67131" w:rsidRDefault="00000000">
            <w:pPr>
              <w:spacing w:before="40" w:after="40" w:line="240" w:lineRule="auto"/>
              <w:jc w:val="both"/>
            </w:pPr>
            <w:r>
              <w:rPr>
                <w:rFonts w:ascii="Times New Roman" w:hAnsi="Times New Roman"/>
                <w:b/>
                <w:color w:val="262626"/>
                <w:sz w:val="18"/>
              </w:rPr>
              <w:t>MB: CAR hợp nhất theo Thông tư 41 (BCTN)</w:t>
            </w:r>
          </w:p>
        </w:tc>
        <w:tc>
          <w:tcPr>
            <w:tcW w:w="1008" w:type="dxa"/>
            <w:tcMar>
              <w:top w:w="70" w:type="dxa"/>
              <w:left w:w="100" w:type="dxa"/>
              <w:bottom w:w="70" w:type="dxa"/>
              <w:right w:w="100" w:type="dxa"/>
            </w:tcMar>
          </w:tcPr>
          <w:p w14:paraId="7600081F" w14:textId="77777777" w:rsidR="00F67131" w:rsidRDefault="00000000">
            <w:pPr>
              <w:spacing w:before="40" w:after="40" w:line="240" w:lineRule="auto"/>
              <w:jc w:val="both"/>
            </w:pPr>
            <w:r>
              <w:rPr>
                <w:rFonts w:ascii="Times New Roman" w:hAnsi="Times New Roman"/>
                <w:color w:val="262626"/>
                <w:sz w:val="18"/>
              </w:rPr>
              <w:t>10,42%</w:t>
            </w:r>
          </w:p>
        </w:tc>
        <w:tc>
          <w:tcPr>
            <w:tcW w:w="1008" w:type="dxa"/>
            <w:tcMar>
              <w:top w:w="70" w:type="dxa"/>
              <w:left w:w="100" w:type="dxa"/>
              <w:bottom w:w="70" w:type="dxa"/>
              <w:right w:w="100" w:type="dxa"/>
            </w:tcMar>
          </w:tcPr>
          <w:p w14:paraId="7A448E0F" w14:textId="77777777" w:rsidR="00F67131" w:rsidRDefault="00000000">
            <w:pPr>
              <w:spacing w:before="40" w:after="40" w:line="240" w:lineRule="auto"/>
              <w:jc w:val="both"/>
            </w:pPr>
            <w:r>
              <w:rPr>
                <w:rFonts w:ascii="Times New Roman" w:hAnsi="Times New Roman"/>
                <w:color w:val="262626"/>
                <w:sz w:val="18"/>
              </w:rPr>
              <w:t>11,28%</w:t>
            </w:r>
          </w:p>
        </w:tc>
        <w:tc>
          <w:tcPr>
            <w:tcW w:w="1008" w:type="dxa"/>
            <w:tcMar>
              <w:top w:w="70" w:type="dxa"/>
              <w:left w:w="100" w:type="dxa"/>
              <w:bottom w:w="70" w:type="dxa"/>
              <w:right w:w="100" w:type="dxa"/>
            </w:tcMar>
          </w:tcPr>
          <w:p w14:paraId="330ADEF2" w14:textId="77777777" w:rsidR="00F67131" w:rsidRDefault="00000000">
            <w:pPr>
              <w:spacing w:before="40" w:after="40" w:line="240" w:lineRule="auto"/>
              <w:jc w:val="both"/>
            </w:pPr>
            <w:r>
              <w:rPr>
                <w:rFonts w:ascii="Times New Roman" w:hAnsi="Times New Roman"/>
                <w:color w:val="262626"/>
                <w:sz w:val="18"/>
              </w:rPr>
              <w:t>11,53%</w:t>
            </w:r>
          </w:p>
        </w:tc>
        <w:tc>
          <w:tcPr>
            <w:tcW w:w="1008" w:type="dxa"/>
            <w:tcMar>
              <w:top w:w="70" w:type="dxa"/>
              <w:left w:w="100" w:type="dxa"/>
              <w:bottom w:w="70" w:type="dxa"/>
              <w:right w:w="100" w:type="dxa"/>
            </w:tcMar>
          </w:tcPr>
          <w:p w14:paraId="4317A961" w14:textId="77777777" w:rsidR="00F67131" w:rsidRDefault="00000000">
            <w:pPr>
              <w:spacing w:before="40" w:after="40" w:line="240" w:lineRule="auto"/>
              <w:jc w:val="both"/>
            </w:pPr>
            <w:r>
              <w:rPr>
                <w:rFonts w:ascii="Times New Roman" w:hAnsi="Times New Roman"/>
                <w:color w:val="262626"/>
                <w:sz w:val="18"/>
              </w:rPr>
              <w:t>10,75%</w:t>
            </w:r>
          </w:p>
        </w:tc>
        <w:tc>
          <w:tcPr>
            <w:tcW w:w="1008" w:type="dxa"/>
            <w:tcMar>
              <w:top w:w="70" w:type="dxa"/>
              <w:left w:w="100" w:type="dxa"/>
              <w:bottom w:w="70" w:type="dxa"/>
              <w:right w:w="100" w:type="dxa"/>
            </w:tcMar>
          </w:tcPr>
          <w:p w14:paraId="7DC9C24E" w14:textId="77777777" w:rsidR="00F67131" w:rsidRDefault="00000000">
            <w:pPr>
              <w:spacing w:before="40" w:after="40" w:line="240" w:lineRule="auto"/>
              <w:jc w:val="both"/>
            </w:pPr>
            <w:r>
              <w:rPr>
                <w:rFonts w:ascii="Times New Roman" w:hAnsi="Times New Roman"/>
                <w:color w:val="262626"/>
                <w:sz w:val="18"/>
              </w:rPr>
              <w:t>11,80%</w:t>
            </w:r>
          </w:p>
        </w:tc>
        <w:tc>
          <w:tcPr>
            <w:tcW w:w="1008" w:type="dxa"/>
            <w:tcMar>
              <w:top w:w="70" w:type="dxa"/>
              <w:left w:w="100" w:type="dxa"/>
              <w:bottom w:w="70" w:type="dxa"/>
              <w:right w:w="100" w:type="dxa"/>
            </w:tcMar>
          </w:tcPr>
          <w:p w14:paraId="403022E5" w14:textId="77777777" w:rsidR="00F67131" w:rsidRDefault="00000000">
            <w:pPr>
              <w:spacing w:before="40" w:after="40" w:line="240" w:lineRule="auto"/>
              <w:jc w:val="both"/>
            </w:pPr>
            <w:r>
              <w:rPr>
                <w:rFonts w:ascii="Times New Roman" w:hAnsi="Times New Roman"/>
                <w:color w:val="262626"/>
                <w:sz w:val="18"/>
              </w:rPr>
              <w:t>11,00%</w:t>
            </w:r>
          </w:p>
        </w:tc>
      </w:tr>
      <w:tr w:rsidR="00F67131" w14:paraId="631C7783" w14:textId="77777777">
        <w:trPr>
          <w:cantSplit/>
          <w:jc w:val="center"/>
        </w:trPr>
        <w:tc>
          <w:tcPr>
            <w:tcW w:w="3456" w:type="dxa"/>
            <w:tcMar>
              <w:top w:w="70" w:type="dxa"/>
              <w:left w:w="100" w:type="dxa"/>
              <w:bottom w:w="70" w:type="dxa"/>
              <w:right w:w="100" w:type="dxa"/>
            </w:tcMar>
          </w:tcPr>
          <w:p w14:paraId="49F88440" w14:textId="77777777" w:rsidR="00F67131" w:rsidRDefault="00000000">
            <w:pPr>
              <w:spacing w:before="40" w:after="40" w:line="240" w:lineRule="auto"/>
              <w:jc w:val="both"/>
            </w:pPr>
            <w:r>
              <w:rPr>
                <w:rFonts w:ascii="Times New Roman" w:hAnsi="Times New Roman"/>
                <w:color w:val="262626"/>
                <w:sz w:val="18"/>
              </w:rPr>
              <w:t>MB: Dư nợ tiêu dùng Khối Công ty con (MCredit, MBCambodia; tỷ)</w:t>
            </w:r>
          </w:p>
        </w:tc>
        <w:tc>
          <w:tcPr>
            <w:tcW w:w="1008" w:type="dxa"/>
            <w:tcMar>
              <w:top w:w="70" w:type="dxa"/>
              <w:left w:w="100" w:type="dxa"/>
              <w:bottom w:w="70" w:type="dxa"/>
              <w:right w:w="100" w:type="dxa"/>
            </w:tcMar>
          </w:tcPr>
          <w:p w14:paraId="5DF65581" w14:textId="77777777" w:rsidR="00F67131" w:rsidRDefault="00000000">
            <w:pPr>
              <w:spacing w:before="40" w:after="40" w:line="240" w:lineRule="auto"/>
              <w:jc w:val="both"/>
            </w:pPr>
            <w:r>
              <w:rPr>
                <w:rFonts w:ascii="Times New Roman" w:hAnsi="Times New Roman"/>
                <w:color w:val="262626"/>
                <w:sz w:val="18"/>
              </w:rPr>
              <w:t>10.173</w:t>
            </w:r>
          </w:p>
        </w:tc>
        <w:tc>
          <w:tcPr>
            <w:tcW w:w="1008" w:type="dxa"/>
            <w:tcMar>
              <w:top w:w="70" w:type="dxa"/>
              <w:left w:w="100" w:type="dxa"/>
              <w:bottom w:w="70" w:type="dxa"/>
              <w:right w:w="100" w:type="dxa"/>
            </w:tcMar>
          </w:tcPr>
          <w:p w14:paraId="4E3B0FED" w14:textId="77777777" w:rsidR="00F67131" w:rsidRDefault="00000000">
            <w:pPr>
              <w:spacing w:before="40" w:after="40" w:line="240" w:lineRule="auto"/>
              <w:jc w:val="both"/>
            </w:pPr>
            <w:r>
              <w:rPr>
                <w:rFonts w:ascii="Times New Roman" w:hAnsi="Times New Roman"/>
                <w:color w:val="262626"/>
                <w:sz w:val="18"/>
              </w:rPr>
              <w:t>15.118</w:t>
            </w:r>
          </w:p>
        </w:tc>
        <w:tc>
          <w:tcPr>
            <w:tcW w:w="1008" w:type="dxa"/>
            <w:tcMar>
              <w:top w:w="70" w:type="dxa"/>
              <w:left w:w="100" w:type="dxa"/>
              <w:bottom w:w="70" w:type="dxa"/>
              <w:right w:w="100" w:type="dxa"/>
            </w:tcMar>
          </w:tcPr>
          <w:p w14:paraId="4ADEDDAD" w14:textId="77777777" w:rsidR="00F67131" w:rsidRDefault="00000000">
            <w:pPr>
              <w:spacing w:before="40" w:after="40" w:line="240" w:lineRule="auto"/>
              <w:jc w:val="both"/>
            </w:pPr>
            <w:r>
              <w:rPr>
                <w:rFonts w:ascii="Times New Roman" w:hAnsi="Times New Roman"/>
                <w:color w:val="262626"/>
                <w:sz w:val="18"/>
              </w:rPr>
              <w:t>21.624</w:t>
            </w:r>
          </w:p>
        </w:tc>
        <w:tc>
          <w:tcPr>
            <w:tcW w:w="1008" w:type="dxa"/>
            <w:tcMar>
              <w:top w:w="70" w:type="dxa"/>
              <w:left w:w="100" w:type="dxa"/>
              <w:bottom w:w="70" w:type="dxa"/>
              <w:right w:w="100" w:type="dxa"/>
            </w:tcMar>
          </w:tcPr>
          <w:p w14:paraId="62EB02DF" w14:textId="77777777" w:rsidR="00F67131" w:rsidRDefault="00000000">
            <w:pPr>
              <w:spacing w:before="40" w:after="40" w:line="240" w:lineRule="auto"/>
              <w:jc w:val="both"/>
            </w:pPr>
            <w:r>
              <w:rPr>
                <w:rFonts w:ascii="Times New Roman" w:hAnsi="Times New Roman"/>
                <w:color w:val="262626"/>
                <w:sz w:val="18"/>
              </w:rPr>
              <w:t>21.388</w:t>
            </w:r>
          </w:p>
        </w:tc>
        <w:tc>
          <w:tcPr>
            <w:tcW w:w="1008" w:type="dxa"/>
            <w:tcMar>
              <w:top w:w="70" w:type="dxa"/>
              <w:left w:w="100" w:type="dxa"/>
              <w:bottom w:w="70" w:type="dxa"/>
              <w:right w:w="100" w:type="dxa"/>
            </w:tcMar>
          </w:tcPr>
          <w:p w14:paraId="6CDA1AB9" w14:textId="77777777" w:rsidR="00F67131" w:rsidRDefault="00000000">
            <w:pPr>
              <w:spacing w:before="40" w:after="40" w:line="240" w:lineRule="auto"/>
              <w:jc w:val="both"/>
            </w:pPr>
            <w:r>
              <w:rPr>
                <w:rFonts w:ascii="Times New Roman" w:hAnsi="Times New Roman"/>
                <w:color w:val="262626"/>
                <w:sz w:val="18"/>
              </w:rPr>
              <w:t>25.435</w:t>
            </w:r>
          </w:p>
        </w:tc>
        <w:tc>
          <w:tcPr>
            <w:tcW w:w="1008" w:type="dxa"/>
            <w:tcMar>
              <w:top w:w="70" w:type="dxa"/>
              <w:left w:w="100" w:type="dxa"/>
              <w:bottom w:w="70" w:type="dxa"/>
              <w:right w:w="100" w:type="dxa"/>
            </w:tcMar>
          </w:tcPr>
          <w:p w14:paraId="064012C3" w14:textId="77777777" w:rsidR="00F67131" w:rsidRDefault="00000000">
            <w:pPr>
              <w:spacing w:before="40" w:after="40" w:line="240" w:lineRule="auto"/>
              <w:jc w:val="both"/>
            </w:pPr>
            <w:r>
              <w:rPr>
                <w:rFonts w:ascii="Times New Roman" w:hAnsi="Times New Roman"/>
                <w:color w:val="262626"/>
                <w:sz w:val="18"/>
              </w:rPr>
              <w:t>29.622</w:t>
            </w:r>
          </w:p>
        </w:tc>
      </w:tr>
      <w:tr w:rsidR="00F67131" w14:paraId="1A49B5EA" w14:textId="77777777">
        <w:trPr>
          <w:cantSplit/>
          <w:jc w:val="center"/>
        </w:trPr>
        <w:tc>
          <w:tcPr>
            <w:tcW w:w="3456" w:type="dxa"/>
            <w:tcMar>
              <w:top w:w="70" w:type="dxa"/>
              <w:left w:w="100" w:type="dxa"/>
              <w:bottom w:w="70" w:type="dxa"/>
              <w:right w:w="100" w:type="dxa"/>
            </w:tcMar>
          </w:tcPr>
          <w:p w14:paraId="5621D107" w14:textId="77777777" w:rsidR="00F67131" w:rsidRDefault="00000000">
            <w:pPr>
              <w:spacing w:before="40" w:after="40" w:line="240" w:lineRule="auto"/>
              <w:jc w:val="both"/>
            </w:pPr>
            <w:r>
              <w:rPr>
                <w:rFonts w:ascii="Times New Roman" w:hAnsi="Times New Roman"/>
                <w:color w:val="262626"/>
                <w:sz w:val="18"/>
              </w:rPr>
              <w:t>MB: Nợ xấu Nhóm 3–5 Khối Công ty con (HN − Riêng lẻ, tỷ)</w:t>
            </w:r>
          </w:p>
        </w:tc>
        <w:tc>
          <w:tcPr>
            <w:tcW w:w="1008" w:type="dxa"/>
            <w:tcMar>
              <w:top w:w="70" w:type="dxa"/>
              <w:left w:w="100" w:type="dxa"/>
              <w:bottom w:w="70" w:type="dxa"/>
              <w:right w:w="100" w:type="dxa"/>
            </w:tcMar>
          </w:tcPr>
          <w:p w14:paraId="6A5CDDB8" w14:textId="77777777" w:rsidR="00F67131" w:rsidRDefault="00000000">
            <w:pPr>
              <w:spacing w:before="40" w:after="40" w:line="240" w:lineRule="auto"/>
              <w:jc w:val="both"/>
            </w:pPr>
            <w:r>
              <w:rPr>
                <w:rFonts w:ascii="Times New Roman" w:hAnsi="Times New Roman"/>
                <w:color w:val="262626"/>
                <w:sz w:val="18"/>
              </w:rPr>
              <w:t>649</w:t>
            </w:r>
          </w:p>
        </w:tc>
        <w:tc>
          <w:tcPr>
            <w:tcW w:w="1008" w:type="dxa"/>
            <w:tcMar>
              <w:top w:w="70" w:type="dxa"/>
              <w:left w:w="100" w:type="dxa"/>
              <w:bottom w:w="70" w:type="dxa"/>
              <w:right w:w="100" w:type="dxa"/>
            </w:tcMar>
          </w:tcPr>
          <w:p w14:paraId="07B2D66E" w14:textId="77777777" w:rsidR="00F67131" w:rsidRDefault="00000000">
            <w:pPr>
              <w:spacing w:before="40" w:after="40" w:line="240" w:lineRule="auto"/>
              <w:jc w:val="both"/>
            </w:pPr>
            <w:r>
              <w:rPr>
                <w:rFonts w:ascii="Times New Roman" w:hAnsi="Times New Roman"/>
                <w:color w:val="262626"/>
                <w:sz w:val="18"/>
              </w:rPr>
              <w:t>940</w:t>
            </w:r>
          </w:p>
        </w:tc>
        <w:tc>
          <w:tcPr>
            <w:tcW w:w="1008" w:type="dxa"/>
            <w:tcMar>
              <w:top w:w="70" w:type="dxa"/>
              <w:left w:w="100" w:type="dxa"/>
              <w:bottom w:w="70" w:type="dxa"/>
              <w:right w:w="100" w:type="dxa"/>
            </w:tcMar>
          </w:tcPr>
          <w:p w14:paraId="72D8F3BA" w14:textId="77777777" w:rsidR="00F67131" w:rsidRDefault="00000000">
            <w:pPr>
              <w:spacing w:before="40" w:after="40" w:line="240" w:lineRule="auto"/>
              <w:jc w:val="both"/>
            </w:pPr>
            <w:r>
              <w:rPr>
                <w:rFonts w:ascii="Times New Roman" w:hAnsi="Times New Roman"/>
                <w:color w:val="262626"/>
                <w:sz w:val="18"/>
              </w:rPr>
              <w:t>1.406</w:t>
            </w:r>
          </w:p>
        </w:tc>
        <w:tc>
          <w:tcPr>
            <w:tcW w:w="1008" w:type="dxa"/>
            <w:tcMar>
              <w:top w:w="70" w:type="dxa"/>
              <w:left w:w="100" w:type="dxa"/>
              <w:bottom w:w="70" w:type="dxa"/>
              <w:right w:w="100" w:type="dxa"/>
            </w:tcMar>
          </w:tcPr>
          <w:p w14:paraId="080B2880" w14:textId="77777777" w:rsidR="00F67131" w:rsidRDefault="00000000">
            <w:pPr>
              <w:spacing w:before="40" w:after="40" w:line="240" w:lineRule="auto"/>
              <w:jc w:val="both"/>
            </w:pPr>
            <w:r>
              <w:rPr>
                <w:rFonts w:ascii="Times New Roman" w:hAnsi="Times New Roman"/>
                <w:color w:val="262626"/>
                <w:sz w:val="18"/>
              </w:rPr>
              <w:t>1.683</w:t>
            </w:r>
          </w:p>
        </w:tc>
        <w:tc>
          <w:tcPr>
            <w:tcW w:w="1008" w:type="dxa"/>
            <w:tcMar>
              <w:top w:w="70" w:type="dxa"/>
              <w:left w:w="100" w:type="dxa"/>
              <w:bottom w:w="70" w:type="dxa"/>
              <w:right w:w="100" w:type="dxa"/>
            </w:tcMar>
          </w:tcPr>
          <w:p w14:paraId="2F1D68C7" w14:textId="77777777" w:rsidR="00F67131" w:rsidRDefault="00000000">
            <w:pPr>
              <w:spacing w:before="40" w:after="40" w:line="240" w:lineRule="auto"/>
              <w:jc w:val="both"/>
            </w:pPr>
            <w:r>
              <w:rPr>
                <w:rFonts w:ascii="Times New Roman" w:hAnsi="Times New Roman"/>
                <w:color w:val="262626"/>
                <w:sz w:val="18"/>
              </w:rPr>
              <w:t>2.092</w:t>
            </w:r>
          </w:p>
        </w:tc>
        <w:tc>
          <w:tcPr>
            <w:tcW w:w="1008" w:type="dxa"/>
            <w:tcMar>
              <w:top w:w="70" w:type="dxa"/>
              <w:left w:w="100" w:type="dxa"/>
              <w:bottom w:w="70" w:type="dxa"/>
              <w:right w:w="100" w:type="dxa"/>
            </w:tcMar>
          </w:tcPr>
          <w:p w14:paraId="16496F90" w14:textId="77777777" w:rsidR="00F67131" w:rsidRDefault="00000000">
            <w:pPr>
              <w:spacing w:before="40" w:after="40" w:line="240" w:lineRule="auto"/>
              <w:jc w:val="both"/>
            </w:pPr>
            <w:r>
              <w:rPr>
                <w:rFonts w:ascii="Times New Roman" w:hAnsi="Times New Roman"/>
                <w:color w:val="262626"/>
                <w:sz w:val="18"/>
              </w:rPr>
              <w:t>2.509</w:t>
            </w:r>
          </w:p>
        </w:tc>
      </w:tr>
    </w:tbl>
    <w:p w14:paraId="18D49A3E" w14:textId="77777777" w:rsidR="00F67131" w:rsidRDefault="00000000">
      <w:pPr>
        <w:spacing w:after="80" w:line="300" w:lineRule="auto"/>
        <w:jc w:val="both"/>
      </w:pPr>
      <w:r>
        <w:rPr>
          <w:rFonts w:ascii="Times New Roman" w:hAnsi="Times New Roman"/>
          <w:b/>
          <w:i/>
          <w:sz w:val="21"/>
        </w:rPr>
        <w:t xml:space="preserve">Nguồn: </w:t>
      </w:r>
      <w:r>
        <w:rPr>
          <w:rFonts w:ascii="Times New Roman" w:hAnsi="Times New Roman"/>
          <w:i/>
          <w:sz w:val="21"/>
        </w:rPr>
        <w:t>Trích xuất từ Thuyết minh cho vay theo ngành kinh tế (TM 9/10 Agribank; TM 10.4 MB), Thuyết minh chứng khoán đầu tư (TM 12/13 MB) và Báo cáo thường niên / Pillar 3 2020–2025.</w:t>
      </w:r>
    </w:p>
    <w:p>
      <w:pPr>
        <w:keepNext/>
        <w:spacing w:before="240" w:after="80"/>
        <w:jc w:val="center"/>
      </w:pPr>
      <w:r>
        <w:rPr>
          <w:rFonts w:ascii="Times New Roman" w:hAnsi="Times New Roman"/>
          <w:b/>
          <w:i w:val="0"/>
          <w:color w:val="002060"/>
          <w:sz w:val="21"/>
        </w:rPr>
        <w:t>Hình 4. Mức độ tập trung tín dụng BĐS &amp; Xây dựng và Hệ số an toàn vốn (CAR) giai đoạn 2020–2025</w:t>
      </w:r>
    </w:p>
    <w:p>
      <w:pPr>
        <w:spacing w:before="80" w:after="80"/>
        <w:jc w:val="center"/>
      </w:pPr>
      <w:r>
        <w:drawing>
          <wp:inline xmlns:a="http://schemas.openxmlformats.org/drawingml/2006/main" xmlns:pic="http://schemas.openxmlformats.org/drawingml/2006/picture">
            <wp:extent cx="5669280" cy="2551176"/>
            <wp:docPr id="4" name="Picture 4"/>
            <wp:cNvGraphicFramePr>
              <a:graphicFrameLocks noChangeAspect="1"/>
            </wp:cNvGraphicFramePr>
            <a:graphic>
              <a:graphicData uri="http://schemas.openxmlformats.org/drawingml/2006/picture">
                <pic:pic>
                  <pic:nvPicPr>
                    <pic:cNvPr id="0" name="Hinh_4_Co_cau_BDS_va_CAR.png"/>
                    <pic:cNvPicPr/>
                  </pic:nvPicPr>
                  <pic:blipFill>
                    <a:blip r:embed="rId12"/>
                    <a:stretch>
                      <a:fillRect/>
                    </a:stretch>
                  </pic:blipFill>
                  <pic:spPr>
                    <a:xfrm>
                      <a:off x="0" y="0"/>
                      <a:ext cx="5669280" cy="2551176"/>
                    </a:xfrm>
                    <a:prstGeom prst="rect"/>
                  </pic:spPr>
                </pic:pic>
              </a:graphicData>
            </a:graphic>
          </wp:inline>
        </w:drawing>
      </w:r>
    </w:p>
    <w:p>
      <w:pPr>
        <w:spacing w:before="40" w:after="200"/>
        <w:jc w:val="center"/>
      </w:pPr>
      <w:r>
        <w:rPr>
          <w:rFonts w:ascii="Times New Roman" w:hAnsi="Times New Roman"/>
          <w:b w:val="0"/>
          <w:i/>
          <w:color w:val="505050"/>
          <w:sz w:val="18"/>
        </w:rPr>
        <w:t>Nguồn: Đồ thị hóa từ Thuyết minh BCTC kiểm toán và Báo cáo thường niên 2020–2025 của Agribank và MB.</w:t>
      </w:r>
    </w:p>
    <w:p w14:paraId="21133625" w14:textId="77777777" w:rsidR="00F67131" w:rsidRDefault="00000000">
      <w:pPr>
        <w:spacing w:after="80" w:line="300" w:lineRule="auto"/>
        <w:jc w:val="both"/>
      </w:pPr>
      <w:r>
        <w:rPr>
          <w:rFonts w:ascii="Times New Roman" w:hAnsi="Times New Roman"/>
          <w:color w:val="000000"/>
        </w:rPr>
        <w:t>Khoảng cách an toàn vốn và rủi ro tập trung ngành: Đồ thị tại Hình 4 phản ánh mối tương quan trực tiếp giữa mức độ tập trung tín dụng bất động sản - xây dựng và khả năng duy trì hệ số an toàn vốn (CAR). CAR hợp nhất của MB theo Thông tư 41 dao động 10,42%–11,80% trong giai đoạn 2020–</w:t>
      </w:r>
      <w:r>
        <w:rPr>
          <w:rFonts w:ascii="Times New Roman" w:hAnsi="Times New Roman"/>
          <w:color w:val="000000"/>
        </w:rPr>
        <w:lastRenderedPageBreak/>
        <w:t>2025, được hỗ trợ bởi lợi nhuận giữ lại và cổ tức bằng cổ phiếu. CAR công bố của Agribank là 10,58%, 10,50% và 10,80% trong 2020–2022, nhưng các năm này tính theo Thông tư 22/2019 (tối thiểu 9%); từ 2023, Agribank chuyển sang Thông tư 41 (tối thiểu 8%) với CAR 9,20% (2023), 11,36% (2024) và 10,22% (2025). Vì vậy chỉ so sánh trực tiếp được CAR của hai ngân hàng từ năm 2023. Mức phục hồi năm 2024 gắn với việc Nhà nước cấp bổ sung 17.100 tỷ đồng vốn điều lệ (vốn điều lệ cuối 2025: 51.639 tỷ đồng); với dư nợ tăng 11%–15%/năm, Agribank vẫn phụ thuộc nguồn vốn ngân sách để duy trì bộ đệm vốn.</w:t>
      </w:r>
    </w:p>
    <w:p>
      <w:pPr>
        <w:pStyle w:val="Heading1"/>
        <w:keepNext/>
        <w:pageBreakBefore/>
        <w:spacing w:before="320" w:after="120"/>
        <w:outlineLvl w:val="0"/>
      </w:pPr>
      <w:r>
        <w:rPr>
          <w:rFonts w:ascii="Times New Roman" w:hAnsi="Times New Roman"/>
          <w:b/>
          <w:i w:val="0"/>
          <w:color w:val="002060"/>
          <w:sz w:val="27"/>
        </w:rPr>
        <w:t>PHẦN III. MÔ HÌNH HÓA KIỂM TRA SỨC CHỊU ĐỰNG VĨ MÔ (STRESS TESTING 2026)</w:t>
      </w:r>
    </w:p>
    <w:p>
      <w:pPr>
        <w:pStyle w:val="Heading2"/>
        <w:keepNext/>
        <w:spacing w:before="240" w:after="80"/>
        <w:outlineLvl w:val="1"/>
      </w:pPr>
      <w:r>
        <w:rPr>
          <w:rFonts w:ascii="Times New Roman" w:hAnsi="Times New Roman"/>
          <w:b/>
          <w:i w:val="0"/>
          <w:color w:val="0F4C81"/>
          <w:sz w:val="24"/>
        </w:rPr>
        <w:t>3.1. Thiết kế kịch bản vĩ mô theo chuẩn Basel II/III (ICAAP) và Ma trận chuyển nhóm nợ</w:t>
      </w:r>
    </w:p>
    <w:p w14:paraId="1BE8BC24" w14:textId="77777777" w:rsidR="00F67131" w:rsidRDefault="00000000">
      <w:pPr>
        <w:spacing w:after="80" w:line="300" w:lineRule="auto"/>
        <w:jc w:val="both"/>
      </w:pPr>
      <w:r>
        <w:rPr>
          <w:rFonts w:ascii="Times New Roman" w:hAnsi="Times New Roman"/>
          <w:b/>
        </w:rPr>
        <w:t xml:space="preserve">Thiết kế mô hình và hệ thống công thức giả định Stress Testing 2026: </w:t>
      </w:r>
      <w:r>
        <w:rPr>
          <w:rFonts w:ascii="Times New Roman" w:hAnsi="Times New Roman"/>
        </w:rPr>
        <w:t>Để lượng hóa khả năng chống chịu của hai ngân hàng trước các cú sốc vĩ mô tương lai theo khuyến nghị Trụ cột 2 (ICAAP – Basel II), nghiên cứu thiết lập mô hình Stress Testing năm 2026 trên sheet Stress_Testing với 3 kịch bản: (1) Kịch bản Cơ sở (GDP tăng 6,5%, lãi suất ổn định +0 bps, giá BĐS tăng 3,0%, tín dụng hệ thống tăng 14,0%); (2) Kịch bản Tiêu cực (GDP tăng 5,0%, lãi suất tăng +150 bps, giá BĐS giảm 10,0%, tín dụng hệ thống tăng 9,0%); và (3) Kịch bản Cực đoan (GDP tăng 3,5%, lãi suất tăng +300 bps, giá BĐS giảm 25,0%, tín dụng hệ thống tăng 5,0%). Toàn bộ các dòng kết quả trong Bảng 10 được liên kết 100% bằng công thức toán học từ dữ liệu gốc năm 2025 theo bốn cơ chế truyền dẫn: (i) Tăng trưởng dư nợ năm 2026: Agribank tăng lần lượt 10,0%, 5,0% và 1,0% (= tăng trưởng hệ thống trừ 4 điểm %); MB tăng 15,0%, 9,0% và 5,0%; (ii) Chuyển dịch nhóm nợ (Transition Matrix): Tỷ lệ dư nợ chuyển sang Nhóm 2 ở 3 kịch bản của Agribank là 1,5%, 2,5% và 4,0% (MB là 1,8%, 3,5% và 6,0%); tỷ lệ Nợ nhóm 2 đầu kỳ (năm 2025: Agribank 21.282 tỷ đồng; MB 10.210 tỷ đồng) chuyển thành nợ xấu mới Nhóm 3–5 lần lượt là 15%, 25% và 40% đối với Agribank (tạo ra 3.192 tỷ, 5.321 tỷ và 8.513 tỷ đồng nợ xấu mới) và 20%, 35%, 55% đối với MB (tạo ra 2.042 tỷ, 3.574 tỷ và 5.616 tỷ đồng nợ xấu mới); (iii) Nhu cầu trích lập dự phòng bổ sung: Bằng 100% nợ xấu phát sinh mới cộng với dự phòng trích thêm cho phần tăng ròng nợ nhóm 2 và phần bù đắp sụt giảm giá trị khấu trừ tài sản bảo đảm bất động sản khi giá BĐS giảm 10%–25%; (iv) Tác động lên Lợi nhuận trước thuế (LNTT) và CAR: LNTT kịch bản tiêu cực và cực đoan giảm tương ứng theo phần chi phí dự phòng vượt kịch bản cơ sở và sự thu hẹp thu nhập lãi thuần; Tài sản có rủi ro (RWA) được ước tính theo hệ số quy đổi RWA/Dư nợ thực nghiệm năm 2025 (xấp xỉ 1,002–1,020 lần dư nợ tại Agribank và 0,923–0,932 lần dư nợ tại MB).</w:t>
      </w:r>
    </w:p>
    <w:p>
      <w:pPr>
        <w:pStyle w:val="Heading2"/>
        <w:keepNext/>
        <w:spacing w:before="240" w:after="80"/>
        <w:outlineLvl w:val="1"/>
      </w:pPr>
      <w:r>
        <w:rPr>
          <w:rFonts w:ascii="Times New Roman" w:hAnsi="Times New Roman"/>
          <w:b/>
          <w:i w:val="0"/>
          <w:color w:val="0F4C81"/>
          <w:sz w:val="24"/>
        </w:rPr>
        <w:t>3.2. Kết quả lượng hóa định lượng: Phân hóa hai dạng tổn thương bất đối xứng (CAR vs LNTT)</w:t>
      </w:r>
    </w:p>
    <w:p>
      <w:pPr>
        <w:keepNext/>
        <w:pageBreakBefore w:val="0"/>
        <w:spacing w:before="200" w:after="80" w:line="276" w:lineRule="auto"/>
        <w:jc w:val="left"/>
      </w:pPr>
      <w:r>
        <w:rPr>
          <w:rFonts w:ascii="Times New Roman" w:hAnsi="Times New Roman"/>
          <w:b/>
          <w:i w:val="0"/>
          <w:color w:val="002060"/>
          <w:sz w:val="22"/>
        </w:rPr>
        <w:t>Bảng 7. Kết quả Kiểm tra sức chịu đựng vĩ mô năm 2026 đối với Agribank và MB</w:t>
      </w:r>
    </w:p>
    <w:tbl>
      <w:tblPr>
        <w:tblW w:w="0" w:type="auto"/>
        <w:jc w:val="center"/>
        <w:tblBorders>
          <w:top w:val="single" w:sz="6" w:space="0" w:color="1B365D"/>
          <w:bottom w:val="single" w:sz="6" w:space="0" w:color="1B365D"/>
          <w:insideH w:val="single" w:sz="4" w:space="0" w:color="E0E0E0"/>
        </w:tblBorders>
        <w:tblLook w:val="04A0" w:firstRow="1" w:lastRow="0" w:firstColumn="1" w:lastColumn="0" w:noHBand="0" w:noVBand="1"/>
      </w:tblPr>
      <w:tblGrid>
        <w:gridCol w:w="3376"/>
        <w:gridCol w:w="1476"/>
        <w:gridCol w:w="1476"/>
        <w:gridCol w:w="1476"/>
        <w:gridCol w:w="1468"/>
      </w:tblGrid>
      <w:tr w:rsidR="00F67131" w14:paraId="64937392" w14:textId="77777777">
        <w:trPr>
          <w:cantSplit/>
          <w:tblHeader/>
          <w:jc w:val="center"/>
        </w:trPr>
        <w:tc>
          <w:tcPr>
            <w:tcW w:w="3744" w:type="dxa"/>
            <w:shd w:val="clear" w:color="auto" w:fill="1B365D"/>
            <w:tcMar>
              <w:top w:w="70" w:type="dxa"/>
              <w:left w:w="100" w:type="dxa"/>
              <w:bottom w:w="70" w:type="dxa"/>
              <w:right w:w="100" w:type="dxa"/>
            </w:tcMar>
          </w:tcPr>
          <w:p w14:paraId="24F9BD27" w14:textId="77777777" w:rsidR="00F67131" w:rsidRDefault="00000000">
            <w:pPr>
              <w:spacing w:before="40" w:after="40" w:line="240" w:lineRule="auto"/>
              <w:jc w:val="both"/>
            </w:pPr>
            <w:r>
              <w:rPr>
                <w:rFonts w:ascii="Times New Roman" w:hAnsi="Times New Roman"/>
                <w:b/>
                <w:color w:val="FFFFFF"/>
                <w:sz w:val="19"/>
              </w:rPr>
              <w:t>Chỉ tiêu sau Stress Test (Năm 2026)</w:t>
            </w:r>
          </w:p>
        </w:tc>
        <w:tc>
          <w:tcPr>
            <w:tcW w:w="1584" w:type="dxa"/>
            <w:shd w:val="clear" w:color="auto" w:fill="1B365D"/>
            <w:tcMar>
              <w:top w:w="70" w:type="dxa"/>
              <w:left w:w="100" w:type="dxa"/>
              <w:bottom w:w="70" w:type="dxa"/>
              <w:right w:w="100" w:type="dxa"/>
            </w:tcMar>
          </w:tcPr>
          <w:p w14:paraId="1BDA35B2" w14:textId="77777777" w:rsidR="00F67131" w:rsidRDefault="00000000">
            <w:pPr>
              <w:spacing w:before="40" w:after="40" w:line="240" w:lineRule="auto"/>
              <w:jc w:val="both"/>
            </w:pPr>
            <w:r>
              <w:rPr>
                <w:rFonts w:ascii="Times New Roman" w:hAnsi="Times New Roman"/>
                <w:b/>
                <w:color w:val="FFFFFF"/>
                <w:sz w:val="19"/>
              </w:rPr>
              <w:t>Hiện tại 2025</w:t>
            </w:r>
          </w:p>
        </w:tc>
        <w:tc>
          <w:tcPr>
            <w:tcW w:w="1584" w:type="dxa"/>
            <w:shd w:val="clear" w:color="auto" w:fill="1B365D"/>
            <w:tcMar>
              <w:top w:w="70" w:type="dxa"/>
              <w:left w:w="100" w:type="dxa"/>
              <w:bottom w:w="70" w:type="dxa"/>
              <w:right w:w="100" w:type="dxa"/>
            </w:tcMar>
          </w:tcPr>
          <w:p w14:paraId="1D4AADCE" w14:textId="77777777" w:rsidR="00F67131" w:rsidRDefault="00000000">
            <w:pPr>
              <w:spacing w:before="40" w:after="40" w:line="240" w:lineRule="auto"/>
              <w:jc w:val="both"/>
            </w:pPr>
            <w:r>
              <w:rPr>
                <w:rFonts w:ascii="Times New Roman" w:hAnsi="Times New Roman"/>
                <w:b/>
                <w:color w:val="FFFFFF"/>
                <w:sz w:val="19"/>
              </w:rPr>
              <w:t>Kịch bản Cơ sở</w:t>
            </w:r>
          </w:p>
        </w:tc>
        <w:tc>
          <w:tcPr>
            <w:tcW w:w="1584" w:type="dxa"/>
            <w:shd w:val="clear" w:color="auto" w:fill="1B365D"/>
            <w:tcMar>
              <w:top w:w="70" w:type="dxa"/>
              <w:left w:w="100" w:type="dxa"/>
              <w:bottom w:w="70" w:type="dxa"/>
              <w:right w:w="100" w:type="dxa"/>
            </w:tcMar>
          </w:tcPr>
          <w:p w14:paraId="54FA7DE5" w14:textId="77777777" w:rsidR="00F67131" w:rsidRDefault="00000000">
            <w:pPr>
              <w:spacing w:before="40" w:after="40" w:line="240" w:lineRule="auto"/>
              <w:jc w:val="both"/>
            </w:pPr>
            <w:r>
              <w:rPr>
                <w:rFonts w:ascii="Times New Roman" w:hAnsi="Times New Roman"/>
                <w:b/>
                <w:color w:val="FFFFFF"/>
                <w:sz w:val="19"/>
              </w:rPr>
              <w:t>Kịch bản Tiêu cực</w:t>
            </w:r>
          </w:p>
        </w:tc>
        <w:tc>
          <w:tcPr>
            <w:tcW w:w="1584" w:type="dxa"/>
            <w:shd w:val="clear" w:color="auto" w:fill="1B365D"/>
            <w:tcMar>
              <w:top w:w="70" w:type="dxa"/>
              <w:left w:w="100" w:type="dxa"/>
              <w:bottom w:w="70" w:type="dxa"/>
              <w:right w:w="100" w:type="dxa"/>
            </w:tcMar>
          </w:tcPr>
          <w:p w14:paraId="28BC8DAA" w14:textId="77777777" w:rsidR="00F67131" w:rsidRDefault="00000000">
            <w:pPr>
              <w:spacing w:before="40" w:after="40" w:line="240" w:lineRule="auto"/>
              <w:jc w:val="both"/>
            </w:pPr>
            <w:r>
              <w:rPr>
                <w:rFonts w:ascii="Times New Roman" w:hAnsi="Times New Roman"/>
                <w:b/>
                <w:color w:val="FFFFFF"/>
                <w:sz w:val="19"/>
              </w:rPr>
              <w:t>Kịch bản Cực đoan</w:t>
            </w:r>
          </w:p>
        </w:tc>
      </w:tr>
      <w:tr w:rsidR="00F67131" w14:paraId="42E25F99" w14:textId="77777777">
        <w:trPr>
          <w:cantSplit/>
          <w:jc w:val="center"/>
        </w:trPr>
        <w:tc>
          <w:tcPr>
            <w:tcW w:w="3744" w:type="dxa"/>
            <w:tcMar>
              <w:top w:w="70" w:type="dxa"/>
              <w:left w:w="100" w:type="dxa"/>
              <w:bottom w:w="70" w:type="dxa"/>
              <w:right w:w="100" w:type="dxa"/>
            </w:tcMar>
          </w:tcPr>
          <w:p w14:paraId="07C58674" w14:textId="77777777" w:rsidR="00F67131" w:rsidRDefault="00000000">
            <w:pPr>
              <w:spacing w:before="40" w:after="40" w:line="240" w:lineRule="auto"/>
              <w:jc w:val="both"/>
            </w:pPr>
            <w:r>
              <w:rPr>
                <w:rFonts w:ascii="Times New Roman" w:hAnsi="Times New Roman"/>
                <w:color w:val="262626"/>
                <w:sz w:val="18"/>
              </w:rPr>
              <w:t>Agribank: NPL dự báo (%)</w:t>
            </w:r>
          </w:p>
        </w:tc>
        <w:tc>
          <w:tcPr>
            <w:tcW w:w="1584" w:type="dxa"/>
            <w:tcMar>
              <w:top w:w="70" w:type="dxa"/>
              <w:left w:w="100" w:type="dxa"/>
              <w:bottom w:w="70" w:type="dxa"/>
              <w:right w:w="100" w:type="dxa"/>
            </w:tcMar>
          </w:tcPr>
          <w:p w14:paraId="3FC3BE86" w14:textId="77777777" w:rsidR="00F67131" w:rsidRDefault="00000000">
            <w:pPr>
              <w:spacing w:before="40" w:after="40" w:line="240" w:lineRule="auto"/>
              <w:jc w:val="both"/>
            </w:pPr>
            <w:r>
              <w:rPr>
                <w:rFonts w:ascii="Times New Roman" w:hAnsi="Times New Roman"/>
                <w:color w:val="262626"/>
                <w:sz w:val="18"/>
              </w:rPr>
              <w:t>1,30%</w:t>
            </w:r>
          </w:p>
        </w:tc>
        <w:tc>
          <w:tcPr>
            <w:tcW w:w="1584" w:type="dxa"/>
            <w:tcMar>
              <w:top w:w="70" w:type="dxa"/>
              <w:left w:w="100" w:type="dxa"/>
              <w:bottom w:w="70" w:type="dxa"/>
              <w:right w:w="100" w:type="dxa"/>
            </w:tcMar>
          </w:tcPr>
          <w:p w14:paraId="5370DEDD" w14:textId="77777777" w:rsidR="00F67131" w:rsidRDefault="00000000">
            <w:pPr>
              <w:spacing w:before="40" w:after="40" w:line="240" w:lineRule="auto"/>
              <w:jc w:val="both"/>
            </w:pPr>
            <w:r>
              <w:rPr>
                <w:rFonts w:ascii="Times New Roman" w:hAnsi="Times New Roman"/>
                <w:color w:val="262626"/>
                <w:sz w:val="18"/>
              </w:rPr>
              <w:t>1,32%</w:t>
            </w:r>
          </w:p>
        </w:tc>
        <w:tc>
          <w:tcPr>
            <w:tcW w:w="1584" w:type="dxa"/>
            <w:tcMar>
              <w:top w:w="70" w:type="dxa"/>
              <w:left w:w="100" w:type="dxa"/>
              <w:bottom w:w="70" w:type="dxa"/>
              <w:right w:w="100" w:type="dxa"/>
            </w:tcMar>
          </w:tcPr>
          <w:p w14:paraId="2C22A95D" w14:textId="77777777" w:rsidR="00F67131" w:rsidRDefault="00000000">
            <w:pPr>
              <w:spacing w:before="40" w:after="40" w:line="240" w:lineRule="auto"/>
              <w:jc w:val="both"/>
            </w:pPr>
            <w:r>
              <w:rPr>
                <w:rFonts w:ascii="Times New Roman" w:hAnsi="Times New Roman"/>
                <w:color w:val="262626"/>
                <w:sz w:val="18"/>
              </w:rPr>
              <w:t>1,49%</w:t>
            </w:r>
          </w:p>
        </w:tc>
        <w:tc>
          <w:tcPr>
            <w:tcW w:w="1584" w:type="dxa"/>
            <w:tcMar>
              <w:top w:w="70" w:type="dxa"/>
              <w:left w:w="100" w:type="dxa"/>
              <w:bottom w:w="70" w:type="dxa"/>
              <w:right w:w="100" w:type="dxa"/>
            </w:tcMar>
          </w:tcPr>
          <w:p w14:paraId="48C82FE6" w14:textId="77777777" w:rsidR="00F67131" w:rsidRDefault="00000000">
            <w:pPr>
              <w:spacing w:before="40" w:after="40" w:line="240" w:lineRule="auto"/>
              <w:jc w:val="both"/>
            </w:pPr>
            <w:r>
              <w:rPr>
                <w:rFonts w:ascii="Times New Roman" w:hAnsi="Times New Roman"/>
                <w:color w:val="262626"/>
                <w:sz w:val="18"/>
              </w:rPr>
              <w:t>1,71%</w:t>
            </w:r>
          </w:p>
        </w:tc>
      </w:tr>
      <w:tr w:rsidR="00F67131" w14:paraId="6CDF257E" w14:textId="77777777">
        <w:trPr>
          <w:cantSplit/>
          <w:jc w:val="center"/>
        </w:trPr>
        <w:tc>
          <w:tcPr>
            <w:tcW w:w="3744" w:type="dxa"/>
            <w:tcMar>
              <w:top w:w="70" w:type="dxa"/>
              <w:left w:w="100" w:type="dxa"/>
              <w:bottom w:w="70" w:type="dxa"/>
              <w:right w:w="100" w:type="dxa"/>
            </w:tcMar>
          </w:tcPr>
          <w:p w14:paraId="017A50A5" w14:textId="77777777" w:rsidR="00F67131" w:rsidRDefault="00000000">
            <w:pPr>
              <w:spacing w:before="40" w:after="40" w:line="240" w:lineRule="auto"/>
              <w:jc w:val="both"/>
            </w:pPr>
            <w:r>
              <w:rPr>
                <w:rFonts w:ascii="Times New Roman" w:hAnsi="Times New Roman"/>
                <w:color w:val="262626"/>
                <w:sz w:val="18"/>
              </w:rPr>
              <w:t>Agribank: Chi phí dự phòng bổ sung (tỷ)</w:t>
            </w:r>
          </w:p>
        </w:tc>
        <w:tc>
          <w:tcPr>
            <w:tcW w:w="1584" w:type="dxa"/>
            <w:tcMar>
              <w:top w:w="70" w:type="dxa"/>
              <w:left w:w="100" w:type="dxa"/>
              <w:bottom w:w="70" w:type="dxa"/>
              <w:right w:w="100" w:type="dxa"/>
            </w:tcMar>
          </w:tcPr>
          <w:p w14:paraId="4C74782C" w14:textId="77777777" w:rsidR="00F67131" w:rsidRDefault="00000000">
            <w:pPr>
              <w:spacing w:before="40" w:after="40" w:line="240" w:lineRule="auto"/>
              <w:jc w:val="both"/>
            </w:pPr>
            <w:r>
              <w:rPr>
                <w:rFonts w:ascii="Times New Roman" w:hAnsi="Times New Roman"/>
                <w:color w:val="262626"/>
                <w:sz w:val="18"/>
              </w:rPr>
              <w:t>0</w:t>
            </w:r>
          </w:p>
        </w:tc>
        <w:tc>
          <w:tcPr>
            <w:tcW w:w="1584" w:type="dxa"/>
            <w:tcMar>
              <w:top w:w="70" w:type="dxa"/>
              <w:left w:w="100" w:type="dxa"/>
              <w:bottom w:w="70" w:type="dxa"/>
              <w:right w:w="100" w:type="dxa"/>
            </w:tcMar>
          </w:tcPr>
          <w:p w14:paraId="2B330C99" w14:textId="77777777" w:rsidR="00F67131" w:rsidRDefault="00000000">
            <w:pPr>
              <w:spacing w:before="40" w:after="40" w:line="240" w:lineRule="auto"/>
              <w:jc w:val="both"/>
            </w:pPr>
            <w:r>
              <w:rPr>
                <w:rFonts w:ascii="Times New Roman" w:hAnsi="Times New Roman"/>
                <w:color w:val="262626"/>
                <w:sz w:val="18"/>
              </w:rPr>
              <w:t>8.499</w:t>
            </w:r>
          </w:p>
        </w:tc>
        <w:tc>
          <w:tcPr>
            <w:tcW w:w="1584" w:type="dxa"/>
            <w:tcMar>
              <w:top w:w="70" w:type="dxa"/>
              <w:left w:w="100" w:type="dxa"/>
              <w:bottom w:w="70" w:type="dxa"/>
              <w:right w:w="100" w:type="dxa"/>
            </w:tcMar>
          </w:tcPr>
          <w:p w14:paraId="60771C00" w14:textId="77777777" w:rsidR="00F67131" w:rsidRDefault="00000000">
            <w:pPr>
              <w:spacing w:before="40" w:after="40" w:line="240" w:lineRule="auto"/>
              <w:jc w:val="both"/>
            </w:pPr>
            <w:r>
              <w:rPr>
                <w:rFonts w:ascii="Times New Roman" w:hAnsi="Times New Roman"/>
                <w:color w:val="262626"/>
                <w:sz w:val="18"/>
              </w:rPr>
              <w:t>16.188</w:t>
            </w:r>
          </w:p>
        </w:tc>
        <w:tc>
          <w:tcPr>
            <w:tcW w:w="1584" w:type="dxa"/>
            <w:tcMar>
              <w:top w:w="70" w:type="dxa"/>
              <w:left w:w="100" w:type="dxa"/>
              <w:bottom w:w="70" w:type="dxa"/>
              <w:right w:w="100" w:type="dxa"/>
            </w:tcMar>
          </w:tcPr>
          <w:p w14:paraId="547A24B5" w14:textId="77777777" w:rsidR="00F67131" w:rsidRDefault="00000000">
            <w:pPr>
              <w:spacing w:before="40" w:after="40" w:line="240" w:lineRule="auto"/>
              <w:jc w:val="both"/>
            </w:pPr>
            <w:r>
              <w:rPr>
                <w:rFonts w:ascii="Times New Roman" w:hAnsi="Times New Roman"/>
                <w:color w:val="262626"/>
                <w:sz w:val="18"/>
              </w:rPr>
              <w:t>26.500</w:t>
            </w:r>
          </w:p>
        </w:tc>
      </w:tr>
      <w:tr w:rsidR="00F67131" w14:paraId="1E1B24BC" w14:textId="77777777">
        <w:trPr>
          <w:cantSplit/>
          <w:jc w:val="center"/>
        </w:trPr>
        <w:tc>
          <w:tcPr>
            <w:tcW w:w="3744" w:type="dxa"/>
            <w:tcMar>
              <w:top w:w="70" w:type="dxa"/>
              <w:left w:w="100" w:type="dxa"/>
              <w:bottom w:w="70" w:type="dxa"/>
              <w:right w:w="100" w:type="dxa"/>
            </w:tcMar>
          </w:tcPr>
          <w:p w14:paraId="47AE48A3" w14:textId="77777777" w:rsidR="00F67131" w:rsidRDefault="00000000">
            <w:pPr>
              <w:spacing w:before="40" w:after="40" w:line="240" w:lineRule="auto"/>
              <w:jc w:val="both"/>
            </w:pPr>
            <w:r>
              <w:rPr>
                <w:rFonts w:ascii="Times New Roman" w:hAnsi="Times New Roman"/>
                <w:color w:val="262626"/>
                <w:sz w:val="18"/>
              </w:rPr>
              <w:t>Agribank: CAR sau stress (%)</w:t>
            </w:r>
          </w:p>
        </w:tc>
        <w:tc>
          <w:tcPr>
            <w:tcW w:w="1584" w:type="dxa"/>
            <w:tcMar>
              <w:top w:w="70" w:type="dxa"/>
              <w:left w:w="100" w:type="dxa"/>
              <w:bottom w:w="70" w:type="dxa"/>
              <w:right w:w="100" w:type="dxa"/>
            </w:tcMar>
          </w:tcPr>
          <w:p w14:paraId="0425646B" w14:textId="77777777" w:rsidR="00F67131" w:rsidRDefault="00000000">
            <w:pPr>
              <w:spacing w:before="40" w:after="40" w:line="240" w:lineRule="auto"/>
              <w:jc w:val="both"/>
            </w:pPr>
            <w:r>
              <w:rPr>
                <w:rFonts w:ascii="Times New Roman" w:hAnsi="Times New Roman"/>
                <w:color w:val="262626"/>
                <w:sz w:val="18"/>
              </w:rPr>
              <w:t>10,22%</w:t>
            </w:r>
          </w:p>
        </w:tc>
        <w:tc>
          <w:tcPr>
            <w:tcW w:w="1584" w:type="dxa"/>
            <w:tcMar>
              <w:top w:w="70" w:type="dxa"/>
              <w:left w:w="100" w:type="dxa"/>
              <w:bottom w:w="70" w:type="dxa"/>
              <w:right w:w="100" w:type="dxa"/>
            </w:tcMar>
          </w:tcPr>
          <w:p w14:paraId="298A1020" w14:textId="77777777" w:rsidR="00F67131" w:rsidRDefault="00000000">
            <w:pPr>
              <w:spacing w:before="40" w:after="40" w:line="240" w:lineRule="auto"/>
              <w:jc w:val="both"/>
            </w:pPr>
            <w:r>
              <w:rPr>
                <w:rFonts w:ascii="Times New Roman" w:hAnsi="Times New Roman"/>
                <w:color w:val="262626"/>
                <w:sz w:val="18"/>
              </w:rPr>
              <w:t>9,89%</w:t>
            </w:r>
          </w:p>
        </w:tc>
        <w:tc>
          <w:tcPr>
            <w:tcW w:w="1584" w:type="dxa"/>
            <w:tcMar>
              <w:top w:w="70" w:type="dxa"/>
              <w:left w:w="100" w:type="dxa"/>
              <w:bottom w:w="70" w:type="dxa"/>
              <w:right w:w="100" w:type="dxa"/>
            </w:tcMar>
          </w:tcPr>
          <w:p w14:paraId="30995865" w14:textId="77777777" w:rsidR="00F67131" w:rsidRDefault="00000000">
            <w:pPr>
              <w:spacing w:before="40" w:after="40" w:line="240" w:lineRule="auto"/>
              <w:jc w:val="both"/>
            </w:pPr>
            <w:r>
              <w:rPr>
                <w:rFonts w:ascii="Times New Roman" w:hAnsi="Times New Roman"/>
                <w:color w:val="262626"/>
                <w:sz w:val="18"/>
              </w:rPr>
              <w:t>9,44%</w:t>
            </w:r>
          </w:p>
        </w:tc>
        <w:tc>
          <w:tcPr>
            <w:tcW w:w="1584" w:type="dxa"/>
            <w:tcMar>
              <w:top w:w="70" w:type="dxa"/>
              <w:left w:w="100" w:type="dxa"/>
              <w:bottom w:w="70" w:type="dxa"/>
              <w:right w:w="100" w:type="dxa"/>
            </w:tcMar>
          </w:tcPr>
          <w:p w14:paraId="05E0DA16" w14:textId="77777777" w:rsidR="00F67131" w:rsidRDefault="00000000">
            <w:pPr>
              <w:spacing w:before="40" w:after="40" w:line="240" w:lineRule="auto"/>
              <w:jc w:val="both"/>
            </w:pPr>
            <w:r>
              <w:rPr>
                <w:rFonts w:ascii="Times New Roman" w:hAnsi="Times New Roman"/>
                <w:color w:val="262626"/>
                <w:sz w:val="18"/>
              </w:rPr>
              <w:t>8,67%</w:t>
            </w:r>
          </w:p>
        </w:tc>
      </w:tr>
      <w:tr w:rsidR="00F67131" w14:paraId="4C3CC2B5" w14:textId="77777777">
        <w:trPr>
          <w:cantSplit/>
          <w:jc w:val="center"/>
        </w:trPr>
        <w:tc>
          <w:tcPr>
            <w:tcW w:w="3744" w:type="dxa"/>
            <w:tcMar>
              <w:top w:w="70" w:type="dxa"/>
              <w:left w:w="100" w:type="dxa"/>
              <w:bottom w:w="70" w:type="dxa"/>
              <w:right w:w="100" w:type="dxa"/>
            </w:tcMar>
          </w:tcPr>
          <w:p w14:paraId="125CF041" w14:textId="77777777" w:rsidR="00F67131" w:rsidRDefault="00000000">
            <w:pPr>
              <w:spacing w:before="40" w:after="40" w:line="240" w:lineRule="auto"/>
              <w:jc w:val="both"/>
            </w:pPr>
            <w:r>
              <w:rPr>
                <w:rFonts w:ascii="Times New Roman" w:hAnsi="Times New Roman"/>
                <w:color w:val="262626"/>
                <w:sz w:val="18"/>
              </w:rPr>
              <w:t>Agribank: Thặng dư CAR so với ngưỡng 8,0% (điểm %)</w:t>
            </w:r>
          </w:p>
        </w:tc>
        <w:tc>
          <w:tcPr>
            <w:tcW w:w="1584" w:type="dxa"/>
            <w:tcMar>
              <w:top w:w="70" w:type="dxa"/>
              <w:left w:w="100" w:type="dxa"/>
              <w:bottom w:w="70" w:type="dxa"/>
              <w:right w:w="100" w:type="dxa"/>
            </w:tcMar>
          </w:tcPr>
          <w:p w14:paraId="1279AAAF" w14:textId="77777777" w:rsidR="00F67131" w:rsidRDefault="00000000">
            <w:pPr>
              <w:spacing w:before="40" w:after="40" w:line="240" w:lineRule="auto"/>
              <w:jc w:val="both"/>
            </w:pPr>
            <w:r>
              <w:rPr>
                <w:rFonts w:ascii="Times New Roman" w:hAnsi="Times New Roman"/>
                <w:color w:val="262626"/>
                <w:sz w:val="18"/>
              </w:rPr>
              <w:t>+2,22</w:t>
            </w:r>
          </w:p>
        </w:tc>
        <w:tc>
          <w:tcPr>
            <w:tcW w:w="1584" w:type="dxa"/>
            <w:tcMar>
              <w:top w:w="70" w:type="dxa"/>
              <w:left w:w="100" w:type="dxa"/>
              <w:bottom w:w="70" w:type="dxa"/>
              <w:right w:w="100" w:type="dxa"/>
            </w:tcMar>
          </w:tcPr>
          <w:p w14:paraId="6095B079" w14:textId="77777777" w:rsidR="00F67131" w:rsidRDefault="00000000">
            <w:pPr>
              <w:spacing w:before="40" w:after="40" w:line="240" w:lineRule="auto"/>
              <w:jc w:val="both"/>
            </w:pPr>
            <w:r>
              <w:rPr>
                <w:rFonts w:ascii="Times New Roman" w:hAnsi="Times New Roman"/>
                <w:color w:val="262626"/>
                <w:sz w:val="18"/>
              </w:rPr>
              <w:t>+1,89</w:t>
            </w:r>
          </w:p>
        </w:tc>
        <w:tc>
          <w:tcPr>
            <w:tcW w:w="1584" w:type="dxa"/>
            <w:tcMar>
              <w:top w:w="70" w:type="dxa"/>
              <w:left w:w="100" w:type="dxa"/>
              <w:bottom w:w="70" w:type="dxa"/>
              <w:right w:w="100" w:type="dxa"/>
            </w:tcMar>
          </w:tcPr>
          <w:p w14:paraId="699FF4EF" w14:textId="77777777" w:rsidR="00F67131" w:rsidRDefault="00000000">
            <w:pPr>
              <w:spacing w:before="40" w:after="40" w:line="240" w:lineRule="auto"/>
              <w:jc w:val="both"/>
            </w:pPr>
            <w:r>
              <w:rPr>
                <w:rFonts w:ascii="Times New Roman" w:hAnsi="Times New Roman"/>
                <w:color w:val="262626"/>
                <w:sz w:val="18"/>
              </w:rPr>
              <w:t>+1,44</w:t>
            </w:r>
          </w:p>
        </w:tc>
        <w:tc>
          <w:tcPr>
            <w:tcW w:w="1584" w:type="dxa"/>
            <w:tcMar>
              <w:top w:w="70" w:type="dxa"/>
              <w:left w:w="100" w:type="dxa"/>
              <w:bottom w:w="70" w:type="dxa"/>
              <w:right w:w="100" w:type="dxa"/>
            </w:tcMar>
          </w:tcPr>
          <w:p w14:paraId="38847301" w14:textId="77777777" w:rsidR="00F67131" w:rsidRDefault="00000000">
            <w:pPr>
              <w:spacing w:before="40" w:after="40" w:line="240" w:lineRule="auto"/>
              <w:jc w:val="both"/>
            </w:pPr>
            <w:r>
              <w:rPr>
                <w:rFonts w:ascii="Times New Roman" w:hAnsi="Times New Roman"/>
                <w:color w:val="262626"/>
                <w:sz w:val="18"/>
              </w:rPr>
              <w:t>+0,67</w:t>
            </w:r>
          </w:p>
        </w:tc>
      </w:tr>
      <w:tr w:rsidR="00F67131" w14:paraId="14C3B30F" w14:textId="77777777">
        <w:trPr>
          <w:cantSplit/>
          <w:jc w:val="center"/>
        </w:trPr>
        <w:tc>
          <w:tcPr>
            <w:tcW w:w="3744" w:type="dxa"/>
            <w:tcMar>
              <w:top w:w="70" w:type="dxa"/>
              <w:left w:w="100" w:type="dxa"/>
              <w:bottom w:w="70" w:type="dxa"/>
              <w:right w:w="100" w:type="dxa"/>
            </w:tcMar>
          </w:tcPr>
          <w:p w14:paraId="52066F52" w14:textId="77777777" w:rsidR="00F67131" w:rsidRDefault="00000000">
            <w:pPr>
              <w:spacing w:before="40" w:after="40" w:line="240" w:lineRule="auto"/>
              <w:jc w:val="both"/>
            </w:pPr>
            <w:r>
              <w:rPr>
                <w:rFonts w:ascii="Times New Roman" w:hAnsi="Times New Roman"/>
                <w:color w:val="262626"/>
                <w:sz w:val="18"/>
              </w:rPr>
              <w:lastRenderedPageBreak/>
              <w:t>MB: NPL hợp nhất dự báo (%)</w:t>
            </w:r>
          </w:p>
        </w:tc>
        <w:tc>
          <w:tcPr>
            <w:tcW w:w="1584" w:type="dxa"/>
            <w:tcMar>
              <w:top w:w="70" w:type="dxa"/>
              <w:left w:w="100" w:type="dxa"/>
              <w:bottom w:w="70" w:type="dxa"/>
              <w:right w:w="100" w:type="dxa"/>
            </w:tcMar>
          </w:tcPr>
          <w:p w14:paraId="5BE98743" w14:textId="77777777" w:rsidR="00F67131" w:rsidRDefault="00000000">
            <w:pPr>
              <w:spacing w:before="40" w:after="40" w:line="240" w:lineRule="auto"/>
              <w:jc w:val="both"/>
            </w:pPr>
            <w:r>
              <w:rPr>
                <w:rFonts w:ascii="Times New Roman" w:hAnsi="Times New Roman"/>
                <w:color w:val="262626"/>
                <w:sz w:val="18"/>
              </w:rPr>
              <w:t>1,29%</w:t>
            </w:r>
          </w:p>
        </w:tc>
        <w:tc>
          <w:tcPr>
            <w:tcW w:w="1584" w:type="dxa"/>
            <w:tcMar>
              <w:top w:w="70" w:type="dxa"/>
              <w:left w:w="100" w:type="dxa"/>
              <w:bottom w:w="70" w:type="dxa"/>
              <w:right w:w="100" w:type="dxa"/>
            </w:tcMar>
          </w:tcPr>
          <w:p w14:paraId="28F6F374" w14:textId="77777777" w:rsidR="00F67131" w:rsidRDefault="00000000">
            <w:pPr>
              <w:spacing w:before="40" w:after="40" w:line="240" w:lineRule="auto"/>
              <w:jc w:val="both"/>
            </w:pPr>
            <w:r>
              <w:rPr>
                <w:rFonts w:ascii="Times New Roman" w:hAnsi="Times New Roman"/>
                <w:color w:val="262626"/>
                <w:sz w:val="18"/>
              </w:rPr>
              <w:t>1,29%</w:t>
            </w:r>
          </w:p>
        </w:tc>
        <w:tc>
          <w:tcPr>
            <w:tcW w:w="1584" w:type="dxa"/>
            <w:tcMar>
              <w:top w:w="70" w:type="dxa"/>
              <w:left w:w="100" w:type="dxa"/>
              <w:bottom w:w="70" w:type="dxa"/>
              <w:right w:w="100" w:type="dxa"/>
            </w:tcMar>
          </w:tcPr>
          <w:p w14:paraId="24E66203" w14:textId="77777777" w:rsidR="00F67131" w:rsidRDefault="00000000">
            <w:pPr>
              <w:spacing w:before="40" w:after="40" w:line="240" w:lineRule="auto"/>
              <w:jc w:val="both"/>
            </w:pPr>
            <w:r>
              <w:rPr>
                <w:rFonts w:ascii="Times New Roman" w:hAnsi="Times New Roman"/>
                <w:color w:val="262626"/>
                <w:sz w:val="18"/>
              </w:rPr>
              <w:t>1,49%</w:t>
            </w:r>
          </w:p>
        </w:tc>
        <w:tc>
          <w:tcPr>
            <w:tcW w:w="1584" w:type="dxa"/>
            <w:tcMar>
              <w:top w:w="70" w:type="dxa"/>
              <w:left w:w="100" w:type="dxa"/>
              <w:bottom w:w="70" w:type="dxa"/>
              <w:right w:w="100" w:type="dxa"/>
            </w:tcMar>
          </w:tcPr>
          <w:p w14:paraId="354AE1C3" w14:textId="77777777" w:rsidR="00F67131" w:rsidRDefault="00000000">
            <w:pPr>
              <w:spacing w:before="40" w:after="40" w:line="240" w:lineRule="auto"/>
              <w:jc w:val="both"/>
            </w:pPr>
            <w:r>
              <w:rPr>
                <w:rFonts w:ascii="Times New Roman" w:hAnsi="Times New Roman"/>
                <w:color w:val="262626"/>
                <w:sz w:val="18"/>
              </w:rPr>
              <w:t>1,73%</w:t>
            </w:r>
          </w:p>
        </w:tc>
      </w:tr>
      <w:tr w:rsidR="00F67131" w14:paraId="0CABC905" w14:textId="77777777">
        <w:trPr>
          <w:cantSplit/>
          <w:jc w:val="center"/>
        </w:trPr>
        <w:tc>
          <w:tcPr>
            <w:tcW w:w="3744" w:type="dxa"/>
            <w:tcMar>
              <w:top w:w="70" w:type="dxa"/>
              <w:left w:w="100" w:type="dxa"/>
              <w:bottom w:w="70" w:type="dxa"/>
              <w:right w:w="100" w:type="dxa"/>
            </w:tcMar>
          </w:tcPr>
          <w:p w14:paraId="32B90949" w14:textId="77777777" w:rsidR="00F67131" w:rsidRDefault="00000000">
            <w:pPr>
              <w:spacing w:before="40" w:after="40" w:line="240" w:lineRule="auto"/>
              <w:jc w:val="both"/>
            </w:pPr>
            <w:r>
              <w:rPr>
                <w:rFonts w:ascii="Times New Roman" w:hAnsi="Times New Roman"/>
                <w:color w:val="262626"/>
                <w:sz w:val="18"/>
              </w:rPr>
              <w:t>MB: Chi phí dự phòng bổ sung (tỷ)</w:t>
            </w:r>
          </w:p>
        </w:tc>
        <w:tc>
          <w:tcPr>
            <w:tcW w:w="1584" w:type="dxa"/>
            <w:tcMar>
              <w:top w:w="70" w:type="dxa"/>
              <w:left w:w="100" w:type="dxa"/>
              <w:bottom w:w="70" w:type="dxa"/>
              <w:right w:w="100" w:type="dxa"/>
            </w:tcMar>
          </w:tcPr>
          <w:p w14:paraId="7FA61041" w14:textId="77777777" w:rsidR="00F67131" w:rsidRDefault="00000000">
            <w:pPr>
              <w:spacing w:before="40" w:after="40" w:line="240" w:lineRule="auto"/>
              <w:jc w:val="both"/>
            </w:pPr>
            <w:r>
              <w:rPr>
                <w:rFonts w:ascii="Times New Roman" w:hAnsi="Times New Roman"/>
                <w:color w:val="262626"/>
                <w:sz w:val="18"/>
              </w:rPr>
              <w:t>0</w:t>
            </w:r>
          </w:p>
        </w:tc>
        <w:tc>
          <w:tcPr>
            <w:tcW w:w="1584" w:type="dxa"/>
            <w:tcMar>
              <w:top w:w="70" w:type="dxa"/>
              <w:left w:w="100" w:type="dxa"/>
              <w:bottom w:w="70" w:type="dxa"/>
              <w:right w:w="100" w:type="dxa"/>
            </w:tcMar>
          </w:tcPr>
          <w:p w14:paraId="20CA8C8B" w14:textId="77777777" w:rsidR="00F67131" w:rsidRDefault="00000000">
            <w:pPr>
              <w:spacing w:before="40" w:after="40" w:line="240" w:lineRule="auto"/>
              <w:jc w:val="both"/>
            </w:pPr>
            <w:r>
              <w:rPr>
                <w:rFonts w:ascii="Times New Roman" w:hAnsi="Times New Roman"/>
                <w:color w:val="262626"/>
                <w:sz w:val="18"/>
              </w:rPr>
              <w:t>5.203</w:t>
            </w:r>
          </w:p>
        </w:tc>
        <w:tc>
          <w:tcPr>
            <w:tcW w:w="1584" w:type="dxa"/>
            <w:tcMar>
              <w:top w:w="70" w:type="dxa"/>
              <w:left w:w="100" w:type="dxa"/>
              <w:bottom w:w="70" w:type="dxa"/>
              <w:right w:w="100" w:type="dxa"/>
            </w:tcMar>
          </w:tcPr>
          <w:p w14:paraId="157E7EF3" w14:textId="77777777" w:rsidR="00F67131" w:rsidRDefault="00000000">
            <w:pPr>
              <w:spacing w:before="40" w:after="40" w:line="240" w:lineRule="auto"/>
              <w:jc w:val="both"/>
            </w:pPr>
            <w:r>
              <w:rPr>
                <w:rFonts w:ascii="Times New Roman" w:hAnsi="Times New Roman"/>
                <w:color w:val="262626"/>
                <w:sz w:val="18"/>
              </w:rPr>
              <w:t>12.793</w:t>
            </w:r>
          </w:p>
        </w:tc>
        <w:tc>
          <w:tcPr>
            <w:tcW w:w="1584" w:type="dxa"/>
            <w:tcMar>
              <w:top w:w="70" w:type="dxa"/>
              <w:left w:w="100" w:type="dxa"/>
              <w:bottom w:w="70" w:type="dxa"/>
              <w:right w:w="100" w:type="dxa"/>
            </w:tcMar>
          </w:tcPr>
          <w:p w14:paraId="30D8EA93" w14:textId="77777777" w:rsidR="00F67131" w:rsidRDefault="00000000">
            <w:pPr>
              <w:spacing w:before="40" w:after="40" w:line="240" w:lineRule="auto"/>
              <w:jc w:val="both"/>
            </w:pPr>
            <w:r>
              <w:rPr>
                <w:rFonts w:ascii="Times New Roman" w:hAnsi="Times New Roman"/>
                <w:color w:val="262626"/>
                <w:sz w:val="18"/>
              </w:rPr>
              <w:t>22.402</w:t>
            </w:r>
          </w:p>
        </w:tc>
      </w:tr>
      <w:tr w:rsidR="00F67131" w14:paraId="4215E33E" w14:textId="77777777">
        <w:trPr>
          <w:cantSplit/>
          <w:jc w:val="center"/>
        </w:trPr>
        <w:tc>
          <w:tcPr>
            <w:tcW w:w="3744" w:type="dxa"/>
            <w:tcMar>
              <w:top w:w="70" w:type="dxa"/>
              <w:left w:w="100" w:type="dxa"/>
              <w:bottom w:w="70" w:type="dxa"/>
              <w:right w:w="100" w:type="dxa"/>
            </w:tcMar>
          </w:tcPr>
          <w:p w14:paraId="354B8076" w14:textId="77777777" w:rsidR="00F67131" w:rsidRDefault="00000000">
            <w:pPr>
              <w:spacing w:before="40" w:after="40" w:line="240" w:lineRule="auto"/>
              <w:jc w:val="both"/>
            </w:pPr>
            <w:r>
              <w:rPr>
                <w:rFonts w:ascii="Times New Roman" w:hAnsi="Times New Roman"/>
                <w:color w:val="262626"/>
                <w:sz w:val="18"/>
              </w:rPr>
              <w:t>MB: CAR sau stress (%)</w:t>
            </w:r>
          </w:p>
        </w:tc>
        <w:tc>
          <w:tcPr>
            <w:tcW w:w="1584" w:type="dxa"/>
            <w:tcMar>
              <w:top w:w="70" w:type="dxa"/>
              <w:left w:w="100" w:type="dxa"/>
              <w:bottom w:w="70" w:type="dxa"/>
              <w:right w:w="100" w:type="dxa"/>
            </w:tcMar>
          </w:tcPr>
          <w:p w14:paraId="2C8BF8D3" w14:textId="77777777" w:rsidR="00F67131" w:rsidRDefault="00000000">
            <w:pPr>
              <w:spacing w:before="40" w:after="40" w:line="240" w:lineRule="auto"/>
              <w:jc w:val="both"/>
            </w:pPr>
            <w:r>
              <w:rPr>
                <w:rFonts w:ascii="Times New Roman" w:hAnsi="Times New Roman"/>
                <w:color w:val="262626"/>
                <w:sz w:val="18"/>
              </w:rPr>
              <w:t>11,00%</w:t>
            </w:r>
          </w:p>
        </w:tc>
        <w:tc>
          <w:tcPr>
            <w:tcW w:w="1584" w:type="dxa"/>
            <w:tcMar>
              <w:top w:w="70" w:type="dxa"/>
              <w:left w:w="100" w:type="dxa"/>
              <w:bottom w:w="70" w:type="dxa"/>
              <w:right w:w="100" w:type="dxa"/>
            </w:tcMar>
          </w:tcPr>
          <w:p w14:paraId="10D574D9" w14:textId="77777777" w:rsidR="00F67131" w:rsidRDefault="00000000">
            <w:pPr>
              <w:spacing w:before="40" w:after="40" w:line="240" w:lineRule="auto"/>
              <w:jc w:val="both"/>
            </w:pPr>
            <w:r>
              <w:rPr>
                <w:rFonts w:ascii="Times New Roman" w:hAnsi="Times New Roman"/>
                <w:color w:val="262626"/>
                <w:sz w:val="18"/>
              </w:rPr>
              <w:t>10,78%</w:t>
            </w:r>
          </w:p>
        </w:tc>
        <w:tc>
          <w:tcPr>
            <w:tcW w:w="1584" w:type="dxa"/>
            <w:tcMar>
              <w:top w:w="70" w:type="dxa"/>
              <w:left w:w="100" w:type="dxa"/>
              <w:bottom w:w="70" w:type="dxa"/>
              <w:right w:w="100" w:type="dxa"/>
            </w:tcMar>
          </w:tcPr>
          <w:p w14:paraId="67F0532A" w14:textId="77777777" w:rsidR="00F67131" w:rsidRDefault="00000000">
            <w:pPr>
              <w:spacing w:before="40" w:after="40" w:line="240" w:lineRule="auto"/>
              <w:jc w:val="both"/>
            </w:pPr>
            <w:r>
              <w:rPr>
                <w:rFonts w:ascii="Times New Roman" w:hAnsi="Times New Roman"/>
                <w:color w:val="262626"/>
                <w:sz w:val="18"/>
              </w:rPr>
              <w:t>10,33%</w:t>
            </w:r>
          </w:p>
        </w:tc>
        <w:tc>
          <w:tcPr>
            <w:tcW w:w="1584" w:type="dxa"/>
            <w:tcMar>
              <w:top w:w="70" w:type="dxa"/>
              <w:left w:w="100" w:type="dxa"/>
              <w:bottom w:w="70" w:type="dxa"/>
              <w:right w:w="100" w:type="dxa"/>
            </w:tcMar>
          </w:tcPr>
          <w:p w14:paraId="09B36427" w14:textId="77777777" w:rsidR="00F67131" w:rsidRDefault="00000000">
            <w:pPr>
              <w:spacing w:before="40" w:after="40" w:line="240" w:lineRule="auto"/>
              <w:jc w:val="both"/>
            </w:pPr>
            <w:r>
              <w:rPr>
                <w:rFonts w:ascii="Times New Roman" w:hAnsi="Times New Roman"/>
                <w:color w:val="262626"/>
                <w:sz w:val="18"/>
              </w:rPr>
              <w:t>9,73%</w:t>
            </w:r>
          </w:p>
        </w:tc>
      </w:tr>
      <w:tr w:rsidR="00F67131" w14:paraId="2648F6C6" w14:textId="77777777">
        <w:trPr>
          <w:cantSplit/>
          <w:jc w:val="center"/>
        </w:trPr>
        <w:tc>
          <w:tcPr>
            <w:tcW w:w="3744" w:type="dxa"/>
            <w:tcMar>
              <w:top w:w="70" w:type="dxa"/>
              <w:left w:w="100" w:type="dxa"/>
              <w:bottom w:w="70" w:type="dxa"/>
              <w:right w:w="100" w:type="dxa"/>
            </w:tcMar>
          </w:tcPr>
          <w:p w14:paraId="5CBB8867" w14:textId="77777777" w:rsidR="00F67131" w:rsidRDefault="00000000">
            <w:pPr>
              <w:spacing w:before="40" w:after="40" w:line="240" w:lineRule="auto"/>
              <w:jc w:val="both"/>
            </w:pPr>
            <w:r>
              <w:rPr>
                <w:rFonts w:ascii="Times New Roman" w:hAnsi="Times New Roman"/>
                <w:color w:val="262626"/>
                <w:sz w:val="18"/>
              </w:rPr>
              <w:t>MB: Tỷ lệ suy giảm LNTT so kịch bản cơ sở</w:t>
            </w:r>
          </w:p>
        </w:tc>
        <w:tc>
          <w:tcPr>
            <w:tcW w:w="1584" w:type="dxa"/>
            <w:tcMar>
              <w:top w:w="70" w:type="dxa"/>
              <w:left w:w="100" w:type="dxa"/>
              <w:bottom w:w="70" w:type="dxa"/>
              <w:right w:w="100" w:type="dxa"/>
            </w:tcMar>
          </w:tcPr>
          <w:p w14:paraId="216CD12E" w14:textId="77777777" w:rsidR="00F67131" w:rsidRDefault="00000000">
            <w:pPr>
              <w:spacing w:before="40" w:after="40" w:line="240" w:lineRule="auto"/>
              <w:jc w:val="both"/>
            </w:pPr>
            <w:r>
              <w:rPr>
                <w:rFonts w:ascii="Times New Roman" w:hAnsi="Times New Roman"/>
                <w:color w:val="262626"/>
                <w:sz w:val="18"/>
              </w:rPr>
              <w:t>0,0%</w:t>
            </w:r>
          </w:p>
        </w:tc>
        <w:tc>
          <w:tcPr>
            <w:tcW w:w="1584" w:type="dxa"/>
            <w:tcMar>
              <w:top w:w="70" w:type="dxa"/>
              <w:left w:w="100" w:type="dxa"/>
              <w:bottom w:w="70" w:type="dxa"/>
              <w:right w:w="100" w:type="dxa"/>
            </w:tcMar>
          </w:tcPr>
          <w:p w14:paraId="66A18B8E" w14:textId="77777777" w:rsidR="00F67131" w:rsidRDefault="00000000">
            <w:pPr>
              <w:spacing w:before="40" w:after="40" w:line="240" w:lineRule="auto"/>
              <w:jc w:val="both"/>
            </w:pPr>
            <w:r>
              <w:rPr>
                <w:rFonts w:ascii="Times New Roman" w:hAnsi="Times New Roman"/>
                <w:color w:val="262626"/>
                <w:sz w:val="18"/>
              </w:rPr>
              <w:t>0,0%</w:t>
            </w:r>
          </w:p>
        </w:tc>
        <w:tc>
          <w:tcPr>
            <w:tcW w:w="1584" w:type="dxa"/>
            <w:tcMar>
              <w:top w:w="70" w:type="dxa"/>
              <w:left w:w="100" w:type="dxa"/>
              <w:bottom w:w="70" w:type="dxa"/>
              <w:right w:w="100" w:type="dxa"/>
            </w:tcMar>
          </w:tcPr>
          <w:p w14:paraId="5E73A91D" w14:textId="77777777" w:rsidR="00F67131" w:rsidRDefault="00000000">
            <w:pPr>
              <w:spacing w:before="40" w:after="40" w:line="240" w:lineRule="auto"/>
              <w:jc w:val="both"/>
            </w:pPr>
            <w:r>
              <w:rPr>
                <w:rFonts w:ascii="Times New Roman" w:hAnsi="Times New Roman"/>
                <w:color w:val="262626"/>
                <w:sz w:val="18"/>
              </w:rPr>
              <w:t>-38,6%</w:t>
            </w:r>
          </w:p>
        </w:tc>
        <w:tc>
          <w:tcPr>
            <w:tcW w:w="1584" w:type="dxa"/>
            <w:tcMar>
              <w:top w:w="70" w:type="dxa"/>
              <w:left w:w="100" w:type="dxa"/>
              <w:bottom w:w="70" w:type="dxa"/>
              <w:right w:w="100" w:type="dxa"/>
            </w:tcMar>
          </w:tcPr>
          <w:p w14:paraId="162BB845" w14:textId="77777777" w:rsidR="00F67131" w:rsidRDefault="00000000">
            <w:pPr>
              <w:spacing w:before="40" w:after="40" w:line="240" w:lineRule="auto"/>
              <w:jc w:val="both"/>
            </w:pPr>
            <w:r>
              <w:rPr>
                <w:rFonts w:ascii="Times New Roman" w:hAnsi="Times New Roman"/>
                <w:color w:val="262626"/>
                <w:sz w:val="18"/>
              </w:rPr>
              <w:t>-69,3%</w:t>
            </w:r>
          </w:p>
        </w:tc>
      </w:tr>
    </w:tbl>
    <w:p w14:paraId="582FDD40" w14:textId="77777777" w:rsidR="00F67131" w:rsidRDefault="00000000">
      <w:pPr>
        <w:spacing w:after="80" w:line="300" w:lineRule="auto"/>
        <w:jc w:val="both"/>
      </w:pPr>
      <w:r>
        <w:rPr>
          <w:rFonts w:ascii="Times New Roman" w:hAnsi="Times New Roman"/>
          <w:b/>
          <w:i/>
          <w:sz w:val="21"/>
        </w:rPr>
        <w:t xml:space="preserve">Nguồn: </w:t>
      </w:r>
      <w:r>
        <w:rPr>
          <w:rFonts w:ascii="Times New Roman" w:hAnsi="Times New Roman"/>
          <w:i/>
          <w:sz w:val="21"/>
        </w:rPr>
        <w:t>Kết quả mô hình hóa của nhóm nghiên cứu tại sheet Stress_Testing dựa trên số liệu gốc năm 2025 từ BCTC hợp nhất kiểm toán của Agribank và MB.</w:t>
      </w:r>
    </w:p>
    <w:p>
      <w:pPr>
        <w:keepNext/>
        <w:spacing w:before="240" w:after="80"/>
        <w:jc w:val="center"/>
      </w:pPr>
      <w:r>
        <w:rPr>
          <w:rFonts w:ascii="Times New Roman" w:hAnsi="Times New Roman"/>
          <w:b/>
          <w:i w:val="0"/>
          <w:color w:val="002060"/>
          <w:sz w:val="21"/>
        </w:rPr>
        <w:t>Hình 5. Kết quả Kiểm tra sức chịu đựng vĩ mô năm 2026 (Macro Stress Testing) đối với Agribank và MB</w:t>
      </w:r>
    </w:p>
    <w:p>
      <w:pPr>
        <w:spacing w:before="80" w:after="80"/>
        <w:jc w:val="center"/>
      </w:pPr>
      <w:r>
        <w:drawing>
          <wp:inline xmlns:a="http://schemas.openxmlformats.org/drawingml/2006/main" xmlns:pic="http://schemas.openxmlformats.org/drawingml/2006/picture">
            <wp:extent cx="5669280" cy="2551176"/>
            <wp:docPr id="5" name="Picture 5"/>
            <wp:cNvGraphicFramePr>
              <a:graphicFrameLocks noChangeAspect="1"/>
            </wp:cNvGraphicFramePr>
            <a:graphic>
              <a:graphicData uri="http://schemas.openxmlformats.org/drawingml/2006/picture">
                <pic:pic>
                  <pic:nvPicPr>
                    <pic:cNvPr id="0" name="Hinh_5_Stress_Testing_2026.png"/>
                    <pic:cNvPicPr/>
                  </pic:nvPicPr>
                  <pic:blipFill>
                    <a:blip r:embed="rId13"/>
                    <a:stretch>
                      <a:fillRect/>
                    </a:stretch>
                  </pic:blipFill>
                  <pic:spPr>
                    <a:xfrm>
                      <a:off x="0" y="0"/>
                      <a:ext cx="5669280" cy="2551176"/>
                    </a:xfrm>
                    <a:prstGeom prst="rect"/>
                  </pic:spPr>
                </pic:pic>
              </a:graphicData>
            </a:graphic>
          </wp:inline>
        </w:drawing>
      </w:r>
    </w:p>
    <w:p>
      <w:pPr>
        <w:spacing w:before="40" w:after="200"/>
        <w:jc w:val="center"/>
      </w:pPr>
      <w:r>
        <w:rPr>
          <w:rFonts w:ascii="Times New Roman" w:hAnsi="Times New Roman"/>
          <w:b w:val="0"/>
          <w:i/>
          <w:color w:val="505050"/>
          <w:sz w:val="18"/>
        </w:rPr>
        <w:t>Nguồn: Tính toán và đồ thị hóa của nhóm tác giả từ mô hình Macro Stress Testing ICAAP.</w:t>
      </w:r>
    </w:p>
    <w:p w14:paraId="7688546D" w14:textId="77777777" w:rsidR="00F67131" w:rsidRDefault="00000000">
      <w:pPr>
        <w:spacing w:after="80" w:line="300" w:lineRule="auto"/>
        <w:jc w:val="both"/>
      </w:pPr>
      <w:r>
        <w:rPr>
          <w:rFonts w:ascii="Times New Roman" w:hAnsi="Times New Roman"/>
          <w:color w:val="000000"/>
        </w:rPr>
        <w:t xml:space="preserve">Ý nghĩa kinh tế từ kết quả Stress Testing: Hình 5 thể hiện trực quan sự phân hóa rõ rệt về hai dạng tổn thương cấu trúc hoàn toàn khác biệt giữa hai định chế tài chính trước các cú sốc vĩ mô giả định: Kết quả mô phỏng bóc tách hai dạng tổn thương cấu trúc hoàn toàn khác nhau giữa hai định chế: (1) Agribank nhạy cảm trọng yếu về an toàn vốn: mặc dù tỷ lệ NPL dự báo trong kịch bản cực đoan chỉ tăng từ 1,30% lên 1,71%, nhưng do bộ đệm CAR xuất phát điểm mỏng (10,22%) và chi phí dự phòng bổ sung lên tới 26.500 tỷ đồng (làm LNTT giảm 73,8% từ 32.501 tỷ xuống 8.506 tỷ đồng), hệ số CAR của Agribank bị kéo giảm xuống 8,67% – chỉ còn cách ngưỡng an toàn tối thiểu 8,0% đúng 0,67 điểm %; (2) MB nhạy cảm trọng yếu về lợi nhuận: nhờ bộ đệm CAR ban đầu 11,00% và khả năng sinh lời trước dự phòng cao, CAR của MB trong kịch bản cực đoan vẫn duy trì ở mức 9,73% (thặng dư +1,73 điểm % so với ngưỡng 8%), nhưng chi phí dự phòng bổ sung 22.402 tỷ đồng khiến LNTT của MB sụt giảm 69,3% so với kịch bản cơ sở (từ 38.501 tỷ xuống 11.808 tỷ đồng). Các tham số chuyển nhóm và hệ số RWA trong mô hình là giả định kịch bản của nhóm nghiên cứu nhằm kiểm định độ bền tương đối, không phải dự báo chính thức của ngân hàng. Mô hình còn ba hạn chế cần lưu ý: (a) một số hệ số </w:t>
      </w:r>
      <w:r>
        <w:rPr>
          <w:rFonts w:ascii="Times New Roman" w:hAnsi="Times New Roman"/>
          <w:color w:val="000000"/>
        </w:rPr>
        <w:lastRenderedPageBreak/>
        <w:t>truyền dẫn (độ co giãn LNTT theo GDP, hệ số quy đổi chi phí dự phòng tăng thêm sang LNTT và vốn tự có) là hệ số hiệu chỉnh do nhóm tự đặt, chưa được ước lượng thống kê; (b) phần chi phí dự phòng tăng thêm vừa làm giảm LNTT (qua đó giảm lợi nhuận giữ lại) vừa được khấu trừ trực tiếp vào vốn tự có, nên mức giảm CAR ở kịch bản tiêu cực và cực đoan nhiều khả năng bị ước tính cao (theo hướng thận trọng); (c) kênh giảm giá bất động sản mới được đưa vào nhu cầu dự phòng của Agribank, chưa áp dụng cho MB. Vì vậy, kết quả Bảng 10 nên được đọc như so sánh độ nhạy tương đối giữa hai ngân hàng.</w:t>
      </w:r>
    </w:p>
    <w:p>
      <w:pPr>
        <w:pStyle w:val="Heading1"/>
        <w:keepNext/>
        <w:pageBreakBefore/>
        <w:spacing w:before="320" w:after="120"/>
        <w:outlineLvl w:val="0"/>
      </w:pPr>
      <w:r>
        <w:rPr>
          <w:rFonts w:ascii="Times New Roman" w:hAnsi="Times New Roman"/>
          <w:b/>
          <w:i w:val="0"/>
          <w:color w:val="002060"/>
          <w:sz w:val="27"/>
        </w:rPr>
        <w:t>PHẦN IV. MÔ PHỎNG ĐỊNH LƯỢNG TÁC ĐỘNG CHUYỂN ĐỔI CHUẨN MỰC IFRS 9 ECL</w:t>
      </w:r>
    </w:p>
    <w:p>
      <w:pPr>
        <w:pStyle w:val="Heading2"/>
        <w:keepNext/>
        <w:spacing w:before="240" w:after="80"/>
        <w:outlineLvl w:val="1"/>
      </w:pPr>
      <w:r>
        <w:rPr>
          <w:rFonts w:ascii="Times New Roman" w:hAnsi="Times New Roman"/>
          <w:b/>
          <w:i w:val="0"/>
          <w:color w:val="0F4C81"/>
          <w:sz w:val="24"/>
        </w:rPr>
        <w:t>4.1. Sự chuyển dịch mô hình: Incurred Loss (VAS/TT11) sang Lifetime Expected Credit Loss (IFRS 9)</w:t>
      </w:r>
    </w:p>
    <w:p>
      <w:pPr>
        <w:pageBreakBefore w:val="0"/>
        <w:spacing w:before="40" w:after="60" w:line="276" w:lineRule="auto"/>
        <w:jc w:val="left"/>
      </w:pPr>
      <w:r>
        <w:rPr>
          <w:rFonts w:ascii="Times New Roman" w:hAnsi="Times New Roman"/>
          <w:b w:val="0"/>
          <w:i w:val="0"/>
          <w:color w:val="000000"/>
          <w:sz w:val="22"/>
        </w:rPr>
        <w:t>Chuyển đổi từ chuẩn mực kế toán Việt Nam (VAS) và Thông tư 11/2021 sang Chuẩn mực Báo cáo Tài chính Quốc tế IFRS 9 đại diện cho bước nhảy vĩ mô từ mô hình tổn thất đã phát sinh (Incurred Loss Model) sang mô hình tổn thất tín dụng dự kiến (Expected Credit Loss - ECL Model). Mô hình phân loại toàn bộ tài sản tài chính thành 3 giai đoạn (Stages): Stage 1 (Chưa suy giảm - trích lập ECL 12 tháng), Stage 2 (Rủi ro tín dụng tăng đáng kể SICR - trích lập ECL trọn vòng đời), và Stage 3 (Suy giảm rủi ro nợ xấu - trích lập ECL trọn vòng đời). Dưới mô hình này, việc trích lập dự phòng mang tính đón đầu chu kỳ (Forward-looking), gắn liền với các kịch bản dự báo vĩ mô FLI (Forward-Looking Information).</w:t>
      </w:r>
    </w:p>
    <w:p>
      <w:pPr>
        <w:pStyle w:val="Heading2"/>
        <w:keepNext/>
        <w:spacing w:before="240" w:after="80"/>
        <w:outlineLvl w:val="1"/>
      </w:pPr>
      <w:r>
        <w:rPr>
          <w:rFonts w:ascii="Times New Roman" w:hAnsi="Times New Roman"/>
          <w:b/>
          <w:i w:val="0"/>
          <w:color w:val="0F4C81"/>
          <w:sz w:val="24"/>
        </w:rPr>
        <w:t>4.2. Bóc tách khoảng cách thiếu hụt dự phòng (Provisioning Gap) và Cú sốc trích lập Stage 2</w:t>
      </w:r>
    </w:p>
    <w:p>
      <w:pPr>
        <w:keepNext/>
        <w:pageBreakBefore w:val="0"/>
        <w:spacing w:before="200" w:after="80" w:line="276" w:lineRule="auto"/>
        <w:jc w:val="left"/>
      </w:pPr>
      <w:r>
        <w:rPr>
          <w:rFonts w:ascii="Times New Roman" w:hAnsi="Times New Roman"/>
          <w:b/>
          <w:i w:val="0"/>
          <w:color w:val="002060"/>
          <w:sz w:val="22"/>
        </w:rPr>
        <w:t>Bảng 8. Kết quả mô phỏng tác động chuyển đổi sang Chuẩn mực Quốc tế IFRS 9 năm 2025</w:t>
      </w:r>
    </w:p>
    <w:tbl>
      <w:tblPr>
        <w:tblW w:w="0" w:type="auto"/>
        <w:jc w:val="center"/>
        <w:tblBorders>
          <w:top w:val="single" w:sz="6" w:space="0" w:color="1B365D"/>
          <w:bottom w:val="single" w:sz="6" w:space="0" w:color="1B365D"/>
          <w:insideH w:val="single" w:sz="4" w:space="0" w:color="E0E0E0"/>
        </w:tblBorders>
        <w:tblLook w:val="04A0" w:firstRow="1" w:lastRow="0" w:firstColumn="1" w:lastColumn="0" w:noHBand="0" w:noVBand="1"/>
      </w:tblPr>
      <w:tblGrid>
        <w:gridCol w:w="3522"/>
        <w:gridCol w:w="1449"/>
        <w:gridCol w:w="1449"/>
        <w:gridCol w:w="1416"/>
        <w:gridCol w:w="1436"/>
      </w:tblGrid>
      <w:tr w:rsidR="00F67131" w14:paraId="1E30132A" w14:textId="77777777">
        <w:trPr>
          <w:cantSplit/>
          <w:tblHeader/>
          <w:jc w:val="center"/>
        </w:trPr>
        <w:tc>
          <w:tcPr>
            <w:tcW w:w="4032" w:type="dxa"/>
            <w:shd w:val="clear" w:color="auto" w:fill="1B365D"/>
            <w:tcMar>
              <w:top w:w="70" w:type="dxa"/>
              <w:left w:w="100" w:type="dxa"/>
              <w:bottom w:w="70" w:type="dxa"/>
              <w:right w:w="100" w:type="dxa"/>
            </w:tcMar>
          </w:tcPr>
          <w:p w14:paraId="4A56C320" w14:textId="77777777" w:rsidR="00F67131" w:rsidRDefault="00000000">
            <w:pPr>
              <w:spacing w:before="40" w:after="40" w:line="240" w:lineRule="auto"/>
              <w:jc w:val="both"/>
            </w:pPr>
            <w:r>
              <w:rPr>
                <w:rFonts w:ascii="Times New Roman" w:hAnsi="Times New Roman"/>
                <w:color w:val="FFFFFF"/>
                <w:sz w:val="19"/>
              </w:rPr>
              <w:t>Khoản mục mô phỏng năm 2025 (Tỷ đồng, %)</w:t>
            </w:r>
          </w:p>
        </w:tc>
        <w:tc>
          <w:tcPr>
            <w:tcW w:w="1584" w:type="dxa"/>
            <w:shd w:val="clear" w:color="auto" w:fill="1B365D"/>
            <w:tcMar>
              <w:top w:w="70" w:type="dxa"/>
              <w:left w:w="100" w:type="dxa"/>
              <w:bottom w:w="70" w:type="dxa"/>
              <w:right w:w="100" w:type="dxa"/>
            </w:tcMar>
          </w:tcPr>
          <w:p w14:paraId="7D888CCC" w14:textId="77777777" w:rsidR="00F67131" w:rsidRDefault="00000000">
            <w:pPr>
              <w:spacing w:before="40" w:after="40" w:line="240" w:lineRule="auto"/>
              <w:jc w:val="both"/>
            </w:pPr>
            <w:r>
              <w:rPr>
                <w:rFonts w:ascii="Times New Roman" w:hAnsi="Times New Roman"/>
                <w:color w:val="FFFFFF"/>
                <w:sz w:val="19"/>
              </w:rPr>
              <w:t>Agribank (VAS)</w:t>
            </w:r>
          </w:p>
        </w:tc>
        <w:tc>
          <w:tcPr>
            <w:tcW w:w="1584" w:type="dxa"/>
            <w:shd w:val="clear" w:color="auto" w:fill="1B365D"/>
            <w:tcMar>
              <w:top w:w="70" w:type="dxa"/>
              <w:left w:w="100" w:type="dxa"/>
              <w:bottom w:w="70" w:type="dxa"/>
              <w:right w:w="100" w:type="dxa"/>
            </w:tcMar>
          </w:tcPr>
          <w:p w14:paraId="7A8E56B5" w14:textId="77777777" w:rsidR="00F67131" w:rsidRDefault="00000000">
            <w:pPr>
              <w:spacing w:before="40" w:after="40" w:line="240" w:lineRule="auto"/>
              <w:jc w:val="both"/>
            </w:pPr>
            <w:r>
              <w:rPr>
                <w:rFonts w:ascii="Times New Roman" w:hAnsi="Times New Roman"/>
                <w:color w:val="FFFFFF"/>
                <w:sz w:val="19"/>
              </w:rPr>
              <w:t>Agribank (IFRS 9)</w:t>
            </w:r>
          </w:p>
        </w:tc>
        <w:tc>
          <w:tcPr>
            <w:tcW w:w="1584" w:type="dxa"/>
            <w:shd w:val="clear" w:color="auto" w:fill="1B365D"/>
            <w:tcMar>
              <w:top w:w="70" w:type="dxa"/>
              <w:left w:w="100" w:type="dxa"/>
              <w:bottom w:w="70" w:type="dxa"/>
              <w:right w:w="100" w:type="dxa"/>
            </w:tcMar>
          </w:tcPr>
          <w:p w14:paraId="41A14D79" w14:textId="77777777" w:rsidR="00F67131" w:rsidRDefault="00000000">
            <w:pPr>
              <w:spacing w:before="40" w:after="40" w:line="240" w:lineRule="auto"/>
              <w:jc w:val="both"/>
            </w:pPr>
            <w:r>
              <w:rPr>
                <w:rFonts w:ascii="Times New Roman" w:hAnsi="Times New Roman"/>
                <w:color w:val="FFFFFF"/>
                <w:sz w:val="19"/>
              </w:rPr>
              <w:t>MB (VAS)</w:t>
            </w:r>
          </w:p>
        </w:tc>
        <w:tc>
          <w:tcPr>
            <w:tcW w:w="1584" w:type="dxa"/>
            <w:shd w:val="clear" w:color="auto" w:fill="1B365D"/>
            <w:tcMar>
              <w:top w:w="70" w:type="dxa"/>
              <w:left w:w="100" w:type="dxa"/>
              <w:bottom w:w="70" w:type="dxa"/>
              <w:right w:w="100" w:type="dxa"/>
            </w:tcMar>
          </w:tcPr>
          <w:p w14:paraId="6425EE33" w14:textId="77777777" w:rsidR="00F67131" w:rsidRDefault="00000000">
            <w:pPr>
              <w:spacing w:before="40" w:after="40" w:line="240" w:lineRule="auto"/>
              <w:jc w:val="both"/>
            </w:pPr>
            <w:r>
              <w:rPr>
                <w:rFonts w:ascii="Times New Roman" w:hAnsi="Times New Roman"/>
                <w:color w:val="FFFFFF"/>
                <w:sz w:val="19"/>
              </w:rPr>
              <w:t>MB (IFRS 9)</w:t>
            </w:r>
          </w:p>
        </w:tc>
      </w:tr>
      <w:tr w:rsidR="00F67131" w14:paraId="0C34D060" w14:textId="77777777">
        <w:trPr>
          <w:cantSplit/>
          <w:jc w:val="center"/>
        </w:trPr>
        <w:tc>
          <w:tcPr>
            <w:tcW w:w="4032" w:type="dxa"/>
            <w:tcMar>
              <w:top w:w="70" w:type="dxa"/>
              <w:left w:w="100" w:type="dxa"/>
              <w:bottom w:w="70" w:type="dxa"/>
              <w:right w:w="100" w:type="dxa"/>
            </w:tcMar>
          </w:tcPr>
          <w:p w14:paraId="355BF6AB" w14:textId="77777777" w:rsidR="00F67131" w:rsidRDefault="00000000">
            <w:pPr>
              <w:spacing w:before="40" w:after="40" w:line="240" w:lineRule="auto"/>
              <w:jc w:val="both"/>
            </w:pPr>
            <w:r>
              <w:rPr>
                <w:rFonts w:ascii="Times New Roman" w:hAnsi="Times New Roman"/>
                <w:color w:val="262626"/>
                <w:sz w:val="18"/>
              </w:rPr>
              <w:t>Dự phòng Stage 1 (Performing – 12m ECL)</w:t>
            </w:r>
          </w:p>
        </w:tc>
        <w:tc>
          <w:tcPr>
            <w:tcW w:w="1584" w:type="dxa"/>
            <w:tcMar>
              <w:top w:w="70" w:type="dxa"/>
              <w:left w:w="100" w:type="dxa"/>
              <w:bottom w:w="70" w:type="dxa"/>
              <w:right w:w="100" w:type="dxa"/>
            </w:tcMar>
          </w:tcPr>
          <w:p w14:paraId="2412D1BE" w14:textId="77777777" w:rsidR="00F67131" w:rsidRDefault="00000000">
            <w:pPr>
              <w:spacing w:before="40" w:after="40" w:line="240" w:lineRule="auto"/>
              <w:jc w:val="both"/>
            </w:pPr>
            <w:r>
              <w:rPr>
                <w:rFonts w:ascii="Times New Roman" w:hAnsi="Times New Roman"/>
                <w:color w:val="262626"/>
                <w:sz w:val="18"/>
              </w:rPr>
              <w:t>14.602</w:t>
            </w:r>
          </w:p>
        </w:tc>
        <w:tc>
          <w:tcPr>
            <w:tcW w:w="1584" w:type="dxa"/>
            <w:tcMar>
              <w:top w:w="70" w:type="dxa"/>
              <w:left w:w="100" w:type="dxa"/>
              <w:bottom w:w="70" w:type="dxa"/>
              <w:right w:w="100" w:type="dxa"/>
            </w:tcMar>
          </w:tcPr>
          <w:p w14:paraId="010534C7" w14:textId="77777777" w:rsidR="00F67131" w:rsidRDefault="00000000">
            <w:pPr>
              <w:spacing w:before="40" w:after="40" w:line="240" w:lineRule="auto"/>
              <w:jc w:val="both"/>
            </w:pPr>
            <w:r>
              <w:rPr>
                <w:rFonts w:ascii="Times New Roman" w:hAnsi="Times New Roman"/>
                <w:color w:val="262626"/>
                <w:sz w:val="18"/>
              </w:rPr>
              <w:t>7.699</w:t>
            </w:r>
          </w:p>
        </w:tc>
        <w:tc>
          <w:tcPr>
            <w:tcW w:w="1584" w:type="dxa"/>
            <w:tcMar>
              <w:top w:w="70" w:type="dxa"/>
              <w:left w:w="100" w:type="dxa"/>
              <w:bottom w:w="70" w:type="dxa"/>
              <w:right w:w="100" w:type="dxa"/>
            </w:tcMar>
          </w:tcPr>
          <w:p w14:paraId="3FC66619" w14:textId="77777777" w:rsidR="00F67131" w:rsidRDefault="00000000">
            <w:pPr>
              <w:spacing w:before="40" w:after="40" w:line="240" w:lineRule="auto"/>
              <w:jc w:val="both"/>
            </w:pPr>
            <w:r>
              <w:rPr>
                <w:rFonts w:ascii="Times New Roman" w:hAnsi="Times New Roman"/>
                <w:color w:val="262626"/>
                <w:sz w:val="18"/>
              </w:rPr>
              <w:t>8.098</w:t>
            </w:r>
          </w:p>
        </w:tc>
        <w:tc>
          <w:tcPr>
            <w:tcW w:w="1584" w:type="dxa"/>
            <w:tcMar>
              <w:top w:w="70" w:type="dxa"/>
              <w:left w:w="100" w:type="dxa"/>
              <w:bottom w:w="70" w:type="dxa"/>
              <w:right w:w="100" w:type="dxa"/>
            </w:tcMar>
          </w:tcPr>
          <w:p w14:paraId="3947A294" w14:textId="77777777" w:rsidR="00F67131" w:rsidRDefault="00000000">
            <w:pPr>
              <w:spacing w:before="40" w:after="40" w:line="240" w:lineRule="auto"/>
              <w:jc w:val="both"/>
            </w:pPr>
            <w:r>
              <w:rPr>
                <w:rFonts w:ascii="Times New Roman" w:hAnsi="Times New Roman"/>
                <w:color w:val="262626"/>
                <w:sz w:val="18"/>
              </w:rPr>
              <w:t>6.724</w:t>
            </w:r>
          </w:p>
        </w:tc>
      </w:tr>
      <w:tr w:rsidR="00F67131" w14:paraId="792D5CDB" w14:textId="77777777">
        <w:trPr>
          <w:cantSplit/>
          <w:jc w:val="center"/>
        </w:trPr>
        <w:tc>
          <w:tcPr>
            <w:tcW w:w="4032" w:type="dxa"/>
            <w:tcMar>
              <w:top w:w="70" w:type="dxa"/>
              <w:left w:w="100" w:type="dxa"/>
              <w:bottom w:w="70" w:type="dxa"/>
              <w:right w:w="100" w:type="dxa"/>
            </w:tcMar>
          </w:tcPr>
          <w:p w14:paraId="612AA6B9" w14:textId="77777777" w:rsidR="00F67131" w:rsidRDefault="00000000">
            <w:pPr>
              <w:spacing w:before="40" w:after="40" w:line="240" w:lineRule="auto"/>
              <w:jc w:val="both"/>
            </w:pPr>
            <w:r>
              <w:rPr>
                <w:rFonts w:ascii="Times New Roman" w:hAnsi="Times New Roman"/>
                <w:color w:val="262626"/>
                <w:sz w:val="18"/>
              </w:rPr>
              <w:t>Dự phòng Stage 2 (Underperforming – SICR)</w:t>
            </w:r>
          </w:p>
        </w:tc>
        <w:tc>
          <w:tcPr>
            <w:tcW w:w="1584" w:type="dxa"/>
            <w:tcMar>
              <w:top w:w="70" w:type="dxa"/>
              <w:left w:w="100" w:type="dxa"/>
              <w:bottom w:w="70" w:type="dxa"/>
              <w:right w:w="100" w:type="dxa"/>
            </w:tcMar>
          </w:tcPr>
          <w:p w14:paraId="3C4AFBB9" w14:textId="77777777" w:rsidR="00F67131" w:rsidRDefault="00000000">
            <w:pPr>
              <w:spacing w:before="40" w:after="40" w:line="240" w:lineRule="auto"/>
              <w:jc w:val="both"/>
            </w:pPr>
            <w:r>
              <w:rPr>
                <w:rFonts w:ascii="Times New Roman" w:hAnsi="Times New Roman"/>
                <w:color w:val="262626"/>
                <w:sz w:val="18"/>
              </w:rPr>
              <w:t>1.064</w:t>
            </w:r>
          </w:p>
        </w:tc>
        <w:tc>
          <w:tcPr>
            <w:tcW w:w="1584" w:type="dxa"/>
            <w:tcMar>
              <w:top w:w="70" w:type="dxa"/>
              <w:left w:w="100" w:type="dxa"/>
              <w:bottom w:w="70" w:type="dxa"/>
              <w:right w:w="100" w:type="dxa"/>
            </w:tcMar>
          </w:tcPr>
          <w:p w14:paraId="23A7ACFE" w14:textId="77777777" w:rsidR="00F67131" w:rsidRDefault="00000000">
            <w:pPr>
              <w:spacing w:before="40" w:after="40" w:line="240" w:lineRule="auto"/>
              <w:jc w:val="both"/>
            </w:pPr>
            <w:r>
              <w:rPr>
                <w:rFonts w:ascii="Times New Roman" w:hAnsi="Times New Roman"/>
                <w:color w:val="262626"/>
                <w:sz w:val="18"/>
              </w:rPr>
              <w:t>11.658</w:t>
            </w:r>
          </w:p>
        </w:tc>
        <w:tc>
          <w:tcPr>
            <w:tcW w:w="1584" w:type="dxa"/>
            <w:tcMar>
              <w:top w:w="70" w:type="dxa"/>
              <w:left w:w="100" w:type="dxa"/>
              <w:bottom w:w="70" w:type="dxa"/>
              <w:right w:w="100" w:type="dxa"/>
            </w:tcMar>
          </w:tcPr>
          <w:p w14:paraId="72A45C5E" w14:textId="77777777" w:rsidR="00F67131" w:rsidRDefault="00000000">
            <w:pPr>
              <w:spacing w:before="40" w:after="40" w:line="240" w:lineRule="auto"/>
              <w:jc w:val="both"/>
            </w:pPr>
            <w:r>
              <w:rPr>
                <w:rFonts w:ascii="Times New Roman" w:hAnsi="Times New Roman"/>
                <w:color w:val="262626"/>
                <w:sz w:val="18"/>
              </w:rPr>
              <w:t>511</w:t>
            </w:r>
          </w:p>
        </w:tc>
        <w:tc>
          <w:tcPr>
            <w:tcW w:w="1584" w:type="dxa"/>
            <w:tcMar>
              <w:top w:w="70" w:type="dxa"/>
              <w:left w:w="100" w:type="dxa"/>
              <w:bottom w:w="70" w:type="dxa"/>
              <w:right w:w="100" w:type="dxa"/>
            </w:tcMar>
          </w:tcPr>
          <w:p w14:paraId="26788905" w14:textId="77777777" w:rsidR="00F67131" w:rsidRDefault="00000000">
            <w:pPr>
              <w:spacing w:before="40" w:after="40" w:line="240" w:lineRule="auto"/>
              <w:jc w:val="both"/>
            </w:pPr>
            <w:r>
              <w:rPr>
                <w:rFonts w:ascii="Times New Roman" w:hAnsi="Times New Roman"/>
                <w:color w:val="262626"/>
                <w:sz w:val="18"/>
              </w:rPr>
              <w:t>11.315</w:t>
            </w:r>
          </w:p>
        </w:tc>
      </w:tr>
      <w:tr w:rsidR="00F67131" w14:paraId="6EC171AE" w14:textId="77777777">
        <w:trPr>
          <w:cantSplit/>
          <w:jc w:val="center"/>
        </w:trPr>
        <w:tc>
          <w:tcPr>
            <w:tcW w:w="4032" w:type="dxa"/>
            <w:tcMar>
              <w:top w:w="70" w:type="dxa"/>
              <w:left w:w="100" w:type="dxa"/>
              <w:bottom w:w="70" w:type="dxa"/>
              <w:right w:w="100" w:type="dxa"/>
            </w:tcMar>
          </w:tcPr>
          <w:p w14:paraId="5C5027CE" w14:textId="77777777" w:rsidR="00F67131" w:rsidRDefault="00000000">
            <w:pPr>
              <w:spacing w:before="40" w:after="40" w:line="240" w:lineRule="auto"/>
              <w:jc w:val="both"/>
            </w:pPr>
            <w:r>
              <w:rPr>
                <w:rFonts w:ascii="Times New Roman" w:hAnsi="Times New Roman"/>
                <w:color w:val="262626"/>
                <w:sz w:val="18"/>
              </w:rPr>
              <w:t>Dự phòng Stage 3 (Credit-impaired Nhóm 3–5)</w:t>
            </w:r>
          </w:p>
        </w:tc>
        <w:tc>
          <w:tcPr>
            <w:tcW w:w="1584" w:type="dxa"/>
            <w:tcMar>
              <w:top w:w="70" w:type="dxa"/>
              <w:left w:w="100" w:type="dxa"/>
              <w:bottom w:w="70" w:type="dxa"/>
              <w:right w:w="100" w:type="dxa"/>
            </w:tcMar>
          </w:tcPr>
          <w:p w14:paraId="0A13F98F" w14:textId="77777777" w:rsidR="00F67131" w:rsidRDefault="00000000">
            <w:pPr>
              <w:spacing w:before="40" w:after="40" w:line="240" w:lineRule="auto"/>
              <w:jc w:val="both"/>
            </w:pPr>
            <w:r>
              <w:rPr>
                <w:rFonts w:ascii="Times New Roman" w:hAnsi="Times New Roman"/>
                <w:color w:val="262626"/>
                <w:sz w:val="18"/>
              </w:rPr>
              <w:t>21.799</w:t>
            </w:r>
          </w:p>
        </w:tc>
        <w:tc>
          <w:tcPr>
            <w:tcW w:w="1584" w:type="dxa"/>
            <w:tcMar>
              <w:top w:w="70" w:type="dxa"/>
              <w:left w:w="100" w:type="dxa"/>
              <w:bottom w:w="70" w:type="dxa"/>
              <w:right w:w="100" w:type="dxa"/>
            </w:tcMar>
          </w:tcPr>
          <w:p w14:paraId="3B598FC2" w14:textId="77777777" w:rsidR="00F67131" w:rsidRDefault="00000000">
            <w:pPr>
              <w:spacing w:before="40" w:after="40" w:line="240" w:lineRule="auto"/>
              <w:jc w:val="both"/>
            </w:pPr>
            <w:r>
              <w:rPr>
                <w:rFonts w:ascii="Times New Roman" w:hAnsi="Times New Roman"/>
                <w:color w:val="262626"/>
                <w:sz w:val="18"/>
              </w:rPr>
              <w:t>21.769</w:t>
            </w:r>
          </w:p>
        </w:tc>
        <w:tc>
          <w:tcPr>
            <w:tcW w:w="1584" w:type="dxa"/>
            <w:tcMar>
              <w:top w:w="70" w:type="dxa"/>
              <w:left w:w="100" w:type="dxa"/>
              <w:bottom w:w="70" w:type="dxa"/>
              <w:right w:w="100" w:type="dxa"/>
            </w:tcMar>
          </w:tcPr>
          <w:p w14:paraId="75ECD0C7" w14:textId="77777777" w:rsidR="00F67131" w:rsidRDefault="00000000">
            <w:pPr>
              <w:spacing w:before="40" w:after="40" w:line="240" w:lineRule="auto"/>
              <w:jc w:val="both"/>
            </w:pPr>
            <w:r>
              <w:rPr>
                <w:rFonts w:ascii="Times New Roman" w:hAnsi="Times New Roman"/>
                <w:color w:val="262626"/>
                <w:sz w:val="18"/>
              </w:rPr>
              <w:t>4.542</w:t>
            </w:r>
          </w:p>
        </w:tc>
        <w:tc>
          <w:tcPr>
            <w:tcW w:w="1584" w:type="dxa"/>
            <w:tcMar>
              <w:top w:w="70" w:type="dxa"/>
              <w:left w:w="100" w:type="dxa"/>
              <w:bottom w:w="70" w:type="dxa"/>
              <w:right w:w="100" w:type="dxa"/>
            </w:tcMar>
          </w:tcPr>
          <w:p w14:paraId="19125131" w14:textId="77777777" w:rsidR="00F67131" w:rsidRDefault="00000000">
            <w:pPr>
              <w:spacing w:before="40" w:after="40" w:line="240" w:lineRule="auto"/>
              <w:jc w:val="both"/>
            </w:pPr>
            <w:r>
              <w:rPr>
                <w:rFonts w:ascii="Times New Roman" w:hAnsi="Times New Roman"/>
                <w:color w:val="262626"/>
                <w:sz w:val="18"/>
              </w:rPr>
              <w:t>9.118</w:t>
            </w:r>
          </w:p>
        </w:tc>
      </w:tr>
      <w:tr w:rsidR="00F67131" w14:paraId="7D76F831" w14:textId="77777777">
        <w:trPr>
          <w:cantSplit/>
          <w:jc w:val="center"/>
        </w:trPr>
        <w:tc>
          <w:tcPr>
            <w:tcW w:w="4032" w:type="dxa"/>
            <w:tcMar>
              <w:top w:w="70" w:type="dxa"/>
              <w:left w:w="100" w:type="dxa"/>
              <w:bottom w:w="70" w:type="dxa"/>
              <w:right w:w="100" w:type="dxa"/>
            </w:tcMar>
          </w:tcPr>
          <w:p w14:paraId="0E3318D9" w14:textId="77777777" w:rsidR="00F67131" w:rsidRDefault="00000000">
            <w:pPr>
              <w:spacing w:before="40" w:after="40" w:line="240" w:lineRule="auto"/>
              <w:jc w:val="both"/>
            </w:pPr>
            <w:r>
              <w:rPr>
                <w:rFonts w:ascii="Times New Roman" w:hAnsi="Times New Roman"/>
                <w:color w:val="262626"/>
                <w:sz w:val="18"/>
              </w:rPr>
              <w:t>TỔNG DỰ PHÒNG YÊU CẦU (TM 9/10 vs IFRS 9)</w:t>
            </w:r>
          </w:p>
        </w:tc>
        <w:tc>
          <w:tcPr>
            <w:tcW w:w="1584" w:type="dxa"/>
            <w:tcMar>
              <w:top w:w="70" w:type="dxa"/>
              <w:left w:w="100" w:type="dxa"/>
              <w:bottom w:w="70" w:type="dxa"/>
              <w:right w:w="100" w:type="dxa"/>
            </w:tcMar>
          </w:tcPr>
          <w:p w14:paraId="594D0164" w14:textId="77777777" w:rsidR="00F67131" w:rsidRDefault="00000000">
            <w:pPr>
              <w:spacing w:before="40" w:after="40" w:line="240" w:lineRule="auto"/>
              <w:jc w:val="both"/>
            </w:pPr>
            <w:r>
              <w:rPr>
                <w:rFonts w:ascii="Times New Roman" w:hAnsi="Times New Roman"/>
                <w:color w:val="262626"/>
                <w:sz w:val="18"/>
              </w:rPr>
              <w:t>37.465</w:t>
            </w:r>
          </w:p>
        </w:tc>
        <w:tc>
          <w:tcPr>
            <w:tcW w:w="1584" w:type="dxa"/>
            <w:tcMar>
              <w:top w:w="70" w:type="dxa"/>
              <w:left w:w="100" w:type="dxa"/>
              <w:bottom w:w="70" w:type="dxa"/>
              <w:right w:w="100" w:type="dxa"/>
            </w:tcMar>
          </w:tcPr>
          <w:p w14:paraId="7A3B3AE2" w14:textId="77777777" w:rsidR="00F67131" w:rsidRDefault="00000000">
            <w:pPr>
              <w:spacing w:before="40" w:after="40" w:line="240" w:lineRule="auto"/>
              <w:jc w:val="both"/>
            </w:pPr>
            <w:r>
              <w:rPr>
                <w:rFonts w:ascii="Times New Roman" w:hAnsi="Times New Roman"/>
                <w:color w:val="262626"/>
                <w:sz w:val="18"/>
              </w:rPr>
              <w:t>41.125</w:t>
            </w:r>
          </w:p>
        </w:tc>
        <w:tc>
          <w:tcPr>
            <w:tcW w:w="1584" w:type="dxa"/>
            <w:tcMar>
              <w:top w:w="70" w:type="dxa"/>
              <w:left w:w="100" w:type="dxa"/>
              <w:bottom w:w="70" w:type="dxa"/>
              <w:right w:w="100" w:type="dxa"/>
            </w:tcMar>
          </w:tcPr>
          <w:p w14:paraId="4D4EDCF9" w14:textId="77777777" w:rsidR="00F67131" w:rsidRDefault="00000000">
            <w:pPr>
              <w:spacing w:before="40" w:after="40" w:line="240" w:lineRule="auto"/>
              <w:jc w:val="both"/>
            </w:pPr>
            <w:r>
              <w:rPr>
                <w:rFonts w:ascii="Times New Roman" w:hAnsi="Times New Roman"/>
                <w:color w:val="262626"/>
                <w:sz w:val="18"/>
              </w:rPr>
              <w:t>13.151</w:t>
            </w:r>
          </w:p>
        </w:tc>
        <w:tc>
          <w:tcPr>
            <w:tcW w:w="1584" w:type="dxa"/>
            <w:tcMar>
              <w:top w:w="70" w:type="dxa"/>
              <w:left w:w="100" w:type="dxa"/>
              <w:bottom w:w="70" w:type="dxa"/>
              <w:right w:w="100" w:type="dxa"/>
            </w:tcMar>
          </w:tcPr>
          <w:p w14:paraId="65801372" w14:textId="77777777" w:rsidR="00F67131" w:rsidRDefault="00000000">
            <w:pPr>
              <w:spacing w:before="40" w:after="40" w:line="240" w:lineRule="auto"/>
              <w:jc w:val="both"/>
            </w:pPr>
            <w:r>
              <w:rPr>
                <w:rFonts w:ascii="Times New Roman" w:hAnsi="Times New Roman"/>
                <w:color w:val="262626"/>
                <w:sz w:val="18"/>
              </w:rPr>
              <w:t>27.157</w:t>
            </w:r>
          </w:p>
        </w:tc>
      </w:tr>
      <w:tr w:rsidR="00F67131" w14:paraId="68A0A1EE" w14:textId="77777777">
        <w:trPr>
          <w:cantSplit/>
          <w:jc w:val="center"/>
        </w:trPr>
        <w:tc>
          <w:tcPr>
            <w:tcW w:w="4032" w:type="dxa"/>
            <w:tcMar>
              <w:top w:w="70" w:type="dxa"/>
              <w:left w:w="100" w:type="dxa"/>
              <w:bottom w:w="70" w:type="dxa"/>
              <w:right w:w="100" w:type="dxa"/>
            </w:tcMar>
          </w:tcPr>
          <w:p w14:paraId="581C72B3" w14:textId="77777777" w:rsidR="00F67131" w:rsidRDefault="00000000">
            <w:pPr>
              <w:spacing w:before="40" w:after="40" w:line="240" w:lineRule="auto"/>
              <w:jc w:val="both"/>
            </w:pPr>
            <w:r>
              <w:rPr>
                <w:rFonts w:ascii="Times New Roman" w:hAnsi="Times New Roman"/>
                <w:color w:val="262626"/>
                <w:sz w:val="18"/>
              </w:rPr>
              <w:t>Khoảng cách dự phòng trích thiếu (Provisioning Gap)</w:t>
            </w:r>
          </w:p>
        </w:tc>
        <w:tc>
          <w:tcPr>
            <w:tcW w:w="1584" w:type="dxa"/>
            <w:tcMar>
              <w:top w:w="70" w:type="dxa"/>
              <w:left w:w="100" w:type="dxa"/>
              <w:bottom w:w="70" w:type="dxa"/>
              <w:right w:w="100" w:type="dxa"/>
            </w:tcMar>
          </w:tcPr>
          <w:p w14:paraId="56692374" w14:textId="77777777" w:rsidR="00F67131" w:rsidRDefault="00000000">
            <w:pPr>
              <w:spacing w:before="40" w:after="40" w:line="240" w:lineRule="auto"/>
              <w:jc w:val="both"/>
            </w:pPr>
            <w:r>
              <w:rPr>
                <w:rFonts w:ascii="Times New Roman" w:hAnsi="Times New Roman"/>
                <w:color w:val="262626"/>
                <w:sz w:val="18"/>
              </w:rPr>
              <w:t>—</w:t>
            </w:r>
          </w:p>
        </w:tc>
        <w:tc>
          <w:tcPr>
            <w:tcW w:w="1584" w:type="dxa"/>
            <w:tcMar>
              <w:top w:w="70" w:type="dxa"/>
              <w:left w:w="100" w:type="dxa"/>
              <w:bottom w:w="70" w:type="dxa"/>
              <w:right w:w="100" w:type="dxa"/>
            </w:tcMar>
          </w:tcPr>
          <w:p w14:paraId="1A81FE99" w14:textId="77777777" w:rsidR="00F67131" w:rsidRDefault="00000000">
            <w:pPr>
              <w:spacing w:before="40" w:after="40" w:line="240" w:lineRule="auto"/>
              <w:jc w:val="both"/>
            </w:pPr>
            <w:r>
              <w:rPr>
                <w:rFonts w:ascii="Times New Roman" w:hAnsi="Times New Roman"/>
                <w:color w:val="262626"/>
                <w:sz w:val="18"/>
              </w:rPr>
              <w:t>+3.660</w:t>
            </w:r>
          </w:p>
        </w:tc>
        <w:tc>
          <w:tcPr>
            <w:tcW w:w="1584" w:type="dxa"/>
            <w:tcMar>
              <w:top w:w="70" w:type="dxa"/>
              <w:left w:w="100" w:type="dxa"/>
              <w:bottom w:w="70" w:type="dxa"/>
              <w:right w:w="100" w:type="dxa"/>
            </w:tcMar>
          </w:tcPr>
          <w:p w14:paraId="0810E4D0" w14:textId="77777777" w:rsidR="00F67131" w:rsidRDefault="00000000">
            <w:pPr>
              <w:spacing w:before="40" w:after="40" w:line="240" w:lineRule="auto"/>
              <w:jc w:val="both"/>
            </w:pPr>
            <w:r>
              <w:rPr>
                <w:rFonts w:ascii="Times New Roman" w:hAnsi="Times New Roman"/>
                <w:color w:val="262626"/>
                <w:sz w:val="18"/>
              </w:rPr>
              <w:t>—</w:t>
            </w:r>
          </w:p>
        </w:tc>
        <w:tc>
          <w:tcPr>
            <w:tcW w:w="1584" w:type="dxa"/>
            <w:tcMar>
              <w:top w:w="70" w:type="dxa"/>
              <w:left w:w="100" w:type="dxa"/>
              <w:bottom w:w="70" w:type="dxa"/>
              <w:right w:w="100" w:type="dxa"/>
            </w:tcMar>
          </w:tcPr>
          <w:p w14:paraId="0B26C001" w14:textId="77777777" w:rsidR="00F67131" w:rsidRDefault="00000000">
            <w:pPr>
              <w:spacing w:before="40" w:after="40" w:line="240" w:lineRule="auto"/>
              <w:jc w:val="both"/>
            </w:pPr>
            <w:r>
              <w:rPr>
                <w:rFonts w:ascii="Times New Roman" w:hAnsi="Times New Roman"/>
                <w:color w:val="262626"/>
                <w:sz w:val="18"/>
              </w:rPr>
              <w:t>+14.006</w:t>
            </w:r>
          </w:p>
        </w:tc>
      </w:tr>
      <w:tr w:rsidR="00F67131" w14:paraId="11411F21" w14:textId="77777777">
        <w:trPr>
          <w:cantSplit/>
          <w:jc w:val="center"/>
        </w:trPr>
        <w:tc>
          <w:tcPr>
            <w:tcW w:w="4032" w:type="dxa"/>
            <w:tcMar>
              <w:top w:w="70" w:type="dxa"/>
              <w:left w:w="100" w:type="dxa"/>
              <w:bottom w:w="70" w:type="dxa"/>
              <w:right w:w="100" w:type="dxa"/>
            </w:tcMar>
          </w:tcPr>
          <w:p w14:paraId="757110CF" w14:textId="77777777" w:rsidR="00F67131" w:rsidRDefault="00000000">
            <w:pPr>
              <w:spacing w:before="40" w:after="40" w:line="240" w:lineRule="auto"/>
              <w:jc w:val="both"/>
            </w:pPr>
            <w:r>
              <w:rPr>
                <w:rFonts w:ascii="Times New Roman" w:hAnsi="Times New Roman"/>
                <w:color w:val="262626"/>
                <w:sz w:val="18"/>
              </w:rPr>
              <w:t>Tỷ lệ thiếu hụt so với dự phòng hiện hành (%)</w:t>
            </w:r>
          </w:p>
        </w:tc>
        <w:tc>
          <w:tcPr>
            <w:tcW w:w="1584" w:type="dxa"/>
            <w:tcMar>
              <w:top w:w="70" w:type="dxa"/>
              <w:left w:w="100" w:type="dxa"/>
              <w:bottom w:w="70" w:type="dxa"/>
              <w:right w:w="100" w:type="dxa"/>
            </w:tcMar>
          </w:tcPr>
          <w:p w14:paraId="0D9EBDE1" w14:textId="77777777" w:rsidR="00F67131" w:rsidRDefault="00000000">
            <w:pPr>
              <w:spacing w:before="40" w:after="40" w:line="240" w:lineRule="auto"/>
              <w:jc w:val="both"/>
            </w:pPr>
            <w:r>
              <w:rPr>
                <w:rFonts w:ascii="Times New Roman" w:hAnsi="Times New Roman"/>
                <w:color w:val="262626"/>
                <w:sz w:val="18"/>
              </w:rPr>
              <w:t>—</w:t>
            </w:r>
          </w:p>
        </w:tc>
        <w:tc>
          <w:tcPr>
            <w:tcW w:w="1584" w:type="dxa"/>
            <w:tcMar>
              <w:top w:w="70" w:type="dxa"/>
              <w:left w:w="100" w:type="dxa"/>
              <w:bottom w:w="70" w:type="dxa"/>
              <w:right w:w="100" w:type="dxa"/>
            </w:tcMar>
          </w:tcPr>
          <w:p w14:paraId="1DE70AC7" w14:textId="77777777" w:rsidR="00F67131" w:rsidRDefault="00000000">
            <w:pPr>
              <w:spacing w:before="40" w:after="40" w:line="240" w:lineRule="auto"/>
              <w:jc w:val="both"/>
            </w:pPr>
            <w:r>
              <w:rPr>
                <w:rFonts w:ascii="Times New Roman" w:hAnsi="Times New Roman"/>
                <w:color w:val="262626"/>
                <w:sz w:val="18"/>
              </w:rPr>
              <w:t>+9,8%</w:t>
            </w:r>
          </w:p>
        </w:tc>
        <w:tc>
          <w:tcPr>
            <w:tcW w:w="1584" w:type="dxa"/>
            <w:tcMar>
              <w:top w:w="70" w:type="dxa"/>
              <w:left w:w="100" w:type="dxa"/>
              <w:bottom w:w="70" w:type="dxa"/>
              <w:right w:w="100" w:type="dxa"/>
            </w:tcMar>
          </w:tcPr>
          <w:p w14:paraId="439523F3" w14:textId="77777777" w:rsidR="00F67131" w:rsidRDefault="00000000">
            <w:pPr>
              <w:spacing w:before="40" w:after="40" w:line="240" w:lineRule="auto"/>
              <w:jc w:val="both"/>
            </w:pPr>
            <w:r>
              <w:rPr>
                <w:rFonts w:ascii="Times New Roman" w:hAnsi="Times New Roman"/>
                <w:color w:val="262626"/>
                <w:sz w:val="18"/>
              </w:rPr>
              <w:t>—</w:t>
            </w:r>
          </w:p>
        </w:tc>
        <w:tc>
          <w:tcPr>
            <w:tcW w:w="1584" w:type="dxa"/>
            <w:tcMar>
              <w:top w:w="70" w:type="dxa"/>
              <w:left w:w="100" w:type="dxa"/>
              <w:bottom w:w="70" w:type="dxa"/>
              <w:right w:w="100" w:type="dxa"/>
            </w:tcMar>
          </w:tcPr>
          <w:p w14:paraId="4B90E8D5" w14:textId="77777777" w:rsidR="00F67131" w:rsidRDefault="00000000">
            <w:pPr>
              <w:spacing w:before="40" w:after="40" w:line="240" w:lineRule="auto"/>
              <w:jc w:val="both"/>
            </w:pPr>
            <w:r>
              <w:rPr>
                <w:rFonts w:ascii="Times New Roman" w:hAnsi="Times New Roman"/>
                <w:color w:val="262626"/>
                <w:sz w:val="18"/>
              </w:rPr>
              <w:t>+106,5%</w:t>
            </w:r>
          </w:p>
        </w:tc>
      </w:tr>
      <w:tr w:rsidR="00F67131" w14:paraId="1C6237A2" w14:textId="77777777">
        <w:trPr>
          <w:cantSplit/>
          <w:jc w:val="center"/>
        </w:trPr>
        <w:tc>
          <w:tcPr>
            <w:tcW w:w="4032" w:type="dxa"/>
            <w:tcMar>
              <w:top w:w="70" w:type="dxa"/>
              <w:left w:w="100" w:type="dxa"/>
              <w:bottom w:w="70" w:type="dxa"/>
              <w:right w:w="100" w:type="dxa"/>
            </w:tcMar>
          </w:tcPr>
          <w:p w14:paraId="0A53F01C" w14:textId="77777777" w:rsidR="00F67131" w:rsidRDefault="00000000">
            <w:pPr>
              <w:spacing w:before="40" w:after="40" w:line="240" w:lineRule="auto"/>
              <w:jc w:val="both"/>
            </w:pPr>
            <w:r>
              <w:rPr>
                <w:rFonts w:ascii="Times New Roman" w:hAnsi="Times New Roman"/>
                <w:color w:val="262626"/>
                <w:sz w:val="18"/>
              </w:rPr>
              <w:t>Tác động khấu trừ vào Vốn CSH (sau thuế 20%)</w:t>
            </w:r>
          </w:p>
        </w:tc>
        <w:tc>
          <w:tcPr>
            <w:tcW w:w="1584" w:type="dxa"/>
            <w:tcMar>
              <w:top w:w="70" w:type="dxa"/>
              <w:left w:w="100" w:type="dxa"/>
              <w:bottom w:w="70" w:type="dxa"/>
              <w:right w:w="100" w:type="dxa"/>
            </w:tcMar>
          </w:tcPr>
          <w:p w14:paraId="512F21B6" w14:textId="77777777" w:rsidR="00F67131" w:rsidRDefault="00000000">
            <w:pPr>
              <w:spacing w:before="40" w:after="40" w:line="240" w:lineRule="auto"/>
              <w:jc w:val="both"/>
            </w:pPr>
            <w:r>
              <w:rPr>
                <w:rFonts w:ascii="Times New Roman" w:hAnsi="Times New Roman"/>
                <w:color w:val="262626"/>
                <w:sz w:val="18"/>
              </w:rPr>
              <w:t>—</w:t>
            </w:r>
          </w:p>
        </w:tc>
        <w:tc>
          <w:tcPr>
            <w:tcW w:w="1584" w:type="dxa"/>
            <w:tcMar>
              <w:top w:w="70" w:type="dxa"/>
              <w:left w:w="100" w:type="dxa"/>
              <w:bottom w:w="70" w:type="dxa"/>
              <w:right w:w="100" w:type="dxa"/>
            </w:tcMar>
          </w:tcPr>
          <w:p w14:paraId="182D1E28" w14:textId="77777777" w:rsidR="00F67131" w:rsidRDefault="00000000">
            <w:pPr>
              <w:spacing w:before="40" w:after="40" w:line="240" w:lineRule="auto"/>
              <w:jc w:val="both"/>
            </w:pPr>
            <w:r>
              <w:rPr>
                <w:rFonts w:ascii="Times New Roman" w:hAnsi="Times New Roman"/>
                <w:color w:val="262626"/>
                <w:sz w:val="18"/>
              </w:rPr>
              <w:t>-2.928 (-2,2%)</w:t>
            </w:r>
          </w:p>
        </w:tc>
        <w:tc>
          <w:tcPr>
            <w:tcW w:w="1584" w:type="dxa"/>
            <w:tcMar>
              <w:top w:w="70" w:type="dxa"/>
              <w:left w:w="100" w:type="dxa"/>
              <w:bottom w:w="70" w:type="dxa"/>
              <w:right w:w="100" w:type="dxa"/>
            </w:tcMar>
          </w:tcPr>
          <w:p w14:paraId="15EAB29C" w14:textId="77777777" w:rsidR="00F67131" w:rsidRDefault="00000000">
            <w:pPr>
              <w:spacing w:before="40" w:after="40" w:line="240" w:lineRule="auto"/>
              <w:jc w:val="both"/>
            </w:pPr>
            <w:r>
              <w:rPr>
                <w:rFonts w:ascii="Times New Roman" w:hAnsi="Times New Roman"/>
                <w:color w:val="262626"/>
                <w:sz w:val="18"/>
              </w:rPr>
              <w:t>—</w:t>
            </w:r>
          </w:p>
        </w:tc>
        <w:tc>
          <w:tcPr>
            <w:tcW w:w="1584" w:type="dxa"/>
            <w:tcMar>
              <w:top w:w="70" w:type="dxa"/>
              <w:left w:w="100" w:type="dxa"/>
              <w:bottom w:w="70" w:type="dxa"/>
              <w:right w:w="100" w:type="dxa"/>
            </w:tcMar>
          </w:tcPr>
          <w:p w14:paraId="67D2C87C" w14:textId="77777777" w:rsidR="00F67131" w:rsidRDefault="00000000">
            <w:pPr>
              <w:spacing w:before="40" w:after="40" w:line="240" w:lineRule="auto"/>
              <w:jc w:val="both"/>
            </w:pPr>
            <w:r>
              <w:rPr>
                <w:rFonts w:ascii="Times New Roman" w:hAnsi="Times New Roman"/>
                <w:color w:val="262626"/>
                <w:sz w:val="18"/>
              </w:rPr>
              <w:t>-11.205 (-7,9%)</w:t>
            </w:r>
          </w:p>
        </w:tc>
      </w:tr>
      <w:tr w:rsidR="00F67131" w14:paraId="0CF35852" w14:textId="77777777">
        <w:trPr>
          <w:cantSplit/>
          <w:jc w:val="center"/>
        </w:trPr>
        <w:tc>
          <w:tcPr>
            <w:tcW w:w="4032" w:type="dxa"/>
            <w:tcMar>
              <w:top w:w="70" w:type="dxa"/>
              <w:left w:w="100" w:type="dxa"/>
              <w:bottom w:w="70" w:type="dxa"/>
              <w:right w:w="100" w:type="dxa"/>
            </w:tcMar>
          </w:tcPr>
          <w:p w14:paraId="7EFCFB9E" w14:textId="77777777" w:rsidR="00F67131" w:rsidRDefault="00000000">
            <w:pPr>
              <w:spacing w:before="40" w:after="40" w:line="240" w:lineRule="auto"/>
              <w:jc w:val="both"/>
            </w:pPr>
            <w:r>
              <w:rPr>
                <w:rFonts w:ascii="Times New Roman" w:hAnsi="Times New Roman"/>
                <w:color w:val="262626"/>
                <w:sz w:val="18"/>
              </w:rPr>
              <w:t>Tỷ lệ CAR sau chuyển đổi IFRS 9 (%)</w:t>
            </w:r>
          </w:p>
        </w:tc>
        <w:tc>
          <w:tcPr>
            <w:tcW w:w="1584" w:type="dxa"/>
            <w:tcMar>
              <w:top w:w="70" w:type="dxa"/>
              <w:left w:w="100" w:type="dxa"/>
              <w:bottom w:w="70" w:type="dxa"/>
              <w:right w:w="100" w:type="dxa"/>
            </w:tcMar>
          </w:tcPr>
          <w:p w14:paraId="4A4DDE53" w14:textId="77777777" w:rsidR="00F67131" w:rsidRDefault="00000000">
            <w:pPr>
              <w:spacing w:before="40" w:after="40" w:line="240" w:lineRule="auto"/>
              <w:jc w:val="both"/>
            </w:pPr>
            <w:r>
              <w:rPr>
                <w:rFonts w:ascii="Times New Roman" w:hAnsi="Times New Roman"/>
                <w:color w:val="262626"/>
                <w:sz w:val="18"/>
              </w:rPr>
              <w:t>10,22%</w:t>
            </w:r>
          </w:p>
        </w:tc>
        <w:tc>
          <w:tcPr>
            <w:tcW w:w="1584" w:type="dxa"/>
            <w:tcMar>
              <w:top w:w="70" w:type="dxa"/>
              <w:left w:w="100" w:type="dxa"/>
              <w:bottom w:w="70" w:type="dxa"/>
              <w:right w:w="100" w:type="dxa"/>
            </w:tcMar>
          </w:tcPr>
          <w:p w14:paraId="2856EECB" w14:textId="77777777" w:rsidR="00F67131" w:rsidRDefault="00000000">
            <w:pPr>
              <w:spacing w:before="40" w:after="40" w:line="240" w:lineRule="auto"/>
              <w:jc w:val="both"/>
            </w:pPr>
            <w:r>
              <w:rPr>
                <w:rFonts w:ascii="Times New Roman" w:hAnsi="Times New Roman"/>
                <w:color w:val="262626"/>
                <w:sz w:val="18"/>
              </w:rPr>
              <w:t>10,07% (-15 bps)</w:t>
            </w:r>
          </w:p>
        </w:tc>
        <w:tc>
          <w:tcPr>
            <w:tcW w:w="1584" w:type="dxa"/>
            <w:tcMar>
              <w:top w:w="70" w:type="dxa"/>
              <w:left w:w="100" w:type="dxa"/>
              <w:bottom w:w="70" w:type="dxa"/>
              <w:right w:w="100" w:type="dxa"/>
            </w:tcMar>
          </w:tcPr>
          <w:p w14:paraId="2A13B704" w14:textId="77777777" w:rsidR="00F67131" w:rsidRDefault="00000000">
            <w:pPr>
              <w:spacing w:before="40" w:after="40" w:line="240" w:lineRule="auto"/>
              <w:jc w:val="both"/>
            </w:pPr>
            <w:r>
              <w:rPr>
                <w:rFonts w:ascii="Times New Roman" w:hAnsi="Times New Roman"/>
                <w:color w:val="262626"/>
                <w:sz w:val="18"/>
              </w:rPr>
              <w:t>11,00%</w:t>
            </w:r>
          </w:p>
        </w:tc>
        <w:tc>
          <w:tcPr>
            <w:tcW w:w="1584" w:type="dxa"/>
            <w:tcMar>
              <w:top w:w="70" w:type="dxa"/>
              <w:left w:w="100" w:type="dxa"/>
              <w:bottom w:w="70" w:type="dxa"/>
              <w:right w:w="100" w:type="dxa"/>
            </w:tcMar>
          </w:tcPr>
          <w:p w14:paraId="5160E30D" w14:textId="77777777" w:rsidR="00F67131" w:rsidRDefault="00000000">
            <w:pPr>
              <w:spacing w:before="40" w:after="40" w:line="240" w:lineRule="auto"/>
              <w:jc w:val="both"/>
            </w:pPr>
            <w:r>
              <w:rPr>
                <w:rFonts w:ascii="Times New Roman" w:hAnsi="Times New Roman"/>
                <w:color w:val="262626"/>
                <w:sz w:val="18"/>
              </w:rPr>
              <w:t>9,97% (-103 bps)</w:t>
            </w:r>
          </w:p>
        </w:tc>
      </w:tr>
    </w:tbl>
    <w:p w14:paraId="6E8FF929" w14:textId="77777777" w:rsidR="00F67131" w:rsidRDefault="00000000">
      <w:pPr>
        <w:spacing w:after="80" w:line="300" w:lineRule="auto"/>
        <w:jc w:val="both"/>
      </w:pPr>
      <w:r>
        <w:rPr>
          <w:rFonts w:ascii="Times New Roman" w:hAnsi="Times New Roman"/>
          <w:b/>
          <w:i/>
          <w:sz w:val="21"/>
        </w:rPr>
        <w:t xml:space="preserve">Nguồn: </w:t>
      </w:r>
      <w:r>
        <w:rPr>
          <w:rFonts w:ascii="Times New Roman" w:hAnsi="Times New Roman"/>
          <w:i/>
          <w:sz w:val="21"/>
        </w:rPr>
        <w:t>Kết quả mô phỏng định lượng của nhóm nghiên cứu tại sheet IFRS9_Simulation dựa trên số liệu phân nhóm nợ, dự phòng và tài sản bảo đảm cuối năm 2025 của Agribank và MB.</w:t>
      </w:r>
    </w:p>
    <w:p w14:paraId="24567CA7" w14:textId="77777777" w:rsidR="00F67131" w:rsidRDefault="00000000">
      <w:pPr>
        <w:spacing w:after="80" w:line="300" w:lineRule="auto"/>
        <w:jc w:val="both"/>
      </w:pPr>
      <w:r>
        <w:rPr>
          <w:rFonts w:ascii="Times New Roman" w:hAnsi="Times New Roman"/>
        </w:rPr>
        <w:t xml:space="preserve">Kết quả mô phỏng IFRS 9 và Kiểm định độ nhạy tham số (Sensitivity Analysis): Khi loại bỏ hoàn toàn các ước tính nợ cơ cấu không có thuyết minh kiểm toán năm 2025 và tính toán thuần túy theo công thức chuẩn ECL = EAD × PD × LGD trên số liệu BCTC hợp nhất 2025 (sheet IFRS9_Simulation), tổng dự phòng ECL theo IFRS 9 của MB lên tới 27.157 tỷ đồng, cao hơn 14.006 tỷ đồng (+106,5%) so với mức dự phòng 13.151 tỷ đồng hiện có trên BCTC hợp nhất 2025; sau khi trừ thuế TNDN 20%, vốn chủ sở hữu của MB giảm 11.205 tỷ đồng (-7,9%) và hệ số CAR giảm 103 điểm cơ bản (từ 11,00% xuống 9,97%). Ngược lại, tại Agribank, tổng dự phòng ECL theo IFRS 9 là 41.125 tỷ đồng (Stage 1: 7.699 tỷ; Stage 2 với EAD = 21.282 tỷ nợ nhóm 2 + 5% nợ nhóm 1 chuyển nhóm = 117.756 tỷ đồng, ECL = 11.658 tỷ; Stage 3: 21.769 tỷ), chỉ cao hơn 3.660 tỷ đồng (+9,8%) so với quỹ dự phòng 37.465 tỷ đồng hiện có (gồm 22.863 tỷ dự phòng cụ thể và 14.602 tỷ dự phòng chung); vốn chủ sở hữu của Agribank chỉ giảm 2.928 tỷ đồng (-2,2%) và CAR chỉ giảm nhẹ 15 điểm cơ bản (từ 10,22% xuống </w:t>
      </w:r>
      <w:r>
        <w:rPr>
          <w:rFonts w:ascii="Times New Roman" w:hAnsi="Times New Roman"/>
        </w:rPr>
        <w:lastRenderedPageBreak/>
        <w:t>10,07%). Nguyên nhân cốt lõi của sự phân kỳ này nằm ở hai yếu tố: (i) Agribank đã duy trì bộ đệm dự phòng cụ thể và dự phòng chung rất lớn theo VAS (LLCR đạt 146,3%), trong khi MB để LLCR hợp nhất giảm xuống 93,7% (dự phòng cụ thể chỉ có 5.052 tỷ đồng trên 14.027 tỷ đồng nợ xấu); và (ii) MB chịu cú sốc trích lập Lifetime ECL tại Stage 2 (11.315 tỷ đồng so với 511 tỷ đồng theo VAS) do ngoài 10.210 tỷ nợ nhóm 2 và 6% dư nợ nhóm 1 có dấu hiệu gia tăng rủi ro (SICR), MB còn phải tính cả rủi ro của 30% danh mục trái phiếu doanh nghiệp TCKT (7.023 tỷ đồng). Hai lưu ý về phương pháp: (a) ECL của phần TPDN đưa vào Stage 2 khoảng 983 tỷ đồng, trong khi mức dự phòng VAS 13.151 tỷ đồng dùng để so sánh chỉ gồm dự phòng cho vay khách hàng, nên khoảng cách 14.006 tỷ đồng bao gồm cả phần này; (b) CAR sau IFRS 9 được ước tính bằng cách khấu trừ tác động sau thuế vào vốn và chia cho dư nợ cho vay (thay cho RWA), nên mức giảm theo điểm cơ bản chỉ mang tính minh họa. Trong mô hình cơ sở, LGD của Agribank được đặt ở mức 35% (Stage 1) và 45% (Stage 2) nhờ 90,2% tài sản bảo đảm là bất động sản, nhưng lên tới 85% ở Stage 3 do nợ nhóm 5 chiếm 79,0% nợ xấu và thời gian xử lý phát mại tài sản kéo dài nhiều năm làm suy giảm giá trị hiện tại ròng (NPV) của dòng tiền thu hồi; LGD của MB tương ứng là 45%, 50% và 65%. Để kiểm chứng tính vững (robustness) của kết luận trước sự thay đổi của các tham số giả định, nghiên cứu thực hiện Phân tích độ nhạy (Sensitivity Analysis) với 6 kịch bản biến thiên tỷ lệ chuyển nhóm SICR (3%, 6%, 9%) và hệ số tổn thất LGD (±10 điểm % ở mọi giai đoạn) được tổng hợp tại Bảng 12 dưới đây:</w:t>
      </w:r>
    </w:p>
    <w:p>
      <w:pPr>
        <w:pStyle w:val="Heading2"/>
        <w:keepNext/>
        <w:spacing w:before="240" w:after="80"/>
        <w:outlineLvl w:val="1"/>
      </w:pPr>
      <w:r>
        <w:rPr>
          <w:rFonts w:ascii="Times New Roman" w:hAnsi="Times New Roman"/>
          <w:b/>
          <w:i w:val="0"/>
          <w:color w:val="0F4C81"/>
          <w:sz w:val="24"/>
        </w:rPr>
        <w:t>4.3. Kiểm định độ nhạy 6 kịch bản tham số (Robustness Sensitivity Analysis)</w:t>
      </w:r>
    </w:p>
    <w:p>
      <w:pPr>
        <w:keepNext/>
        <w:pageBreakBefore w:val="0"/>
        <w:spacing w:before="200" w:after="80" w:line="276" w:lineRule="auto"/>
        <w:jc w:val="left"/>
      </w:pPr>
      <w:r>
        <w:rPr>
          <w:rFonts w:ascii="Times New Roman" w:hAnsi="Times New Roman"/>
          <w:b/>
          <w:i w:val="0"/>
          <w:color w:val="002060"/>
          <w:sz w:val="22"/>
        </w:rPr>
        <w:t>Bảng 9. Kết quả kiểm định độ nhạy mô phỏng IFRS 9 ECL của Agribank và MB theo 6 kịch bản tham số</w:t>
      </w:r>
    </w:p>
    <w:tbl>
      <w:tblPr>
        <w:tblW w:w="0" w:type="auto"/>
        <w:jc w:val="center"/>
        <w:tblBorders>
          <w:top w:val="single" w:sz="6" w:space="0" w:color="1B365D"/>
          <w:bottom w:val="single" w:sz="6" w:space="0" w:color="1B365D"/>
          <w:insideH w:val="single" w:sz="4" w:space="0" w:color="E0E0E0"/>
        </w:tblBorders>
        <w:tblLook w:val="04A0" w:firstRow="1" w:lastRow="0" w:firstColumn="1" w:lastColumn="0" w:noHBand="0" w:noVBand="1"/>
      </w:tblPr>
      <w:tblGrid>
        <w:gridCol w:w="1769"/>
        <w:gridCol w:w="1813"/>
        <w:gridCol w:w="1829"/>
        <w:gridCol w:w="1810"/>
        <w:gridCol w:w="2131"/>
      </w:tblGrid>
      <w:tr w:rsidR="00F67131" w14:paraId="5A7DE230" w14:textId="77777777">
        <w:trPr>
          <w:cantSplit/>
          <w:tblHeader/>
          <w:jc w:val="center"/>
        </w:trPr>
        <w:tc>
          <w:tcPr>
            <w:tcW w:w="2016" w:type="dxa"/>
            <w:shd w:val="clear" w:color="auto" w:fill="1F497D"/>
            <w:tcMar>
              <w:top w:w="120" w:type="dxa"/>
              <w:left w:w="140" w:type="dxa"/>
              <w:bottom w:w="120" w:type="dxa"/>
              <w:right w:w="140" w:type="dxa"/>
            </w:tcMar>
          </w:tcPr>
          <w:p w14:paraId="792C3036" w14:textId="77777777" w:rsidR="00F67131" w:rsidRDefault="00000000">
            <w:pPr>
              <w:spacing w:before="40" w:after="40" w:line="252" w:lineRule="auto"/>
              <w:jc w:val="center"/>
            </w:pPr>
            <w:r>
              <w:rPr>
                <w:rFonts w:ascii="Times New Roman" w:hAnsi="Times New Roman"/>
                <w:b/>
                <w:color w:val="FFFFFF"/>
                <w:sz w:val="19"/>
              </w:rPr>
              <w:t>Kịch bản kiểm định độ nhạy</w:t>
            </w:r>
          </w:p>
        </w:tc>
        <w:tc>
          <w:tcPr>
            <w:tcW w:w="2016" w:type="dxa"/>
            <w:shd w:val="clear" w:color="auto" w:fill="1F497D"/>
            <w:tcMar>
              <w:top w:w="120" w:type="dxa"/>
              <w:left w:w="140" w:type="dxa"/>
              <w:bottom w:w="120" w:type="dxa"/>
              <w:right w:w="140" w:type="dxa"/>
            </w:tcMar>
          </w:tcPr>
          <w:p w14:paraId="2F427A2F" w14:textId="77777777" w:rsidR="00F67131" w:rsidRDefault="00000000">
            <w:pPr>
              <w:spacing w:before="40" w:after="40" w:line="252" w:lineRule="auto"/>
              <w:jc w:val="center"/>
            </w:pPr>
            <w:r>
              <w:rPr>
                <w:rFonts w:ascii="Times New Roman" w:hAnsi="Times New Roman"/>
                <w:b/>
                <w:color w:val="FFFFFF"/>
                <w:sz w:val="19"/>
              </w:rPr>
              <w:t>Giả định tham số (SICR &amp; LGD)</w:t>
            </w:r>
          </w:p>
        </w:tc>
        <w:tc>
          <w:tcPr>
            <w:tcW w:w="2016" w:type="dxa"/>
            <w:shd w:val="clear" w:color="auto" w:fill="1F497D"/>
            <w:tcMar>
              <w:top w:w="120" w:type="dxa"/>
              <w:left w:w="140" w:type="dxa"/>
              <w:bottom w:w="120" w:type="dxa"/>
              <w:right w:w="140" w:type="dxa"/>
            </w:tcMar>
          </w:tcPr>
          <w:p w14:paraId="24562C93" w14:textId="77777777" w:rsidR="00F67131" w:rsidRDefault="00000000">
            <w:pPr>
              <w:spacing w:before="40" w:after="40" w:line="252" w:lineRule="auto"/>
              <w:jc w:val="center"/>
            </w:pPr>
            <w:r>
              <w:rPr>
                <w:rFonts w:ascii="Times New Roman" w:hAnsi="Times New Roman"/>
                <w:b/>
                <w:color w:val="FFFFFF"/>
                <w:sz w:val="19"/>
              </w:rPr>
              <w:t>Agribank: Gap Dự phòng &amp; CAR sau IFRS 9</w:t>
            </w:r>
          </w:p>
        </w:tc>
        <w:tc>
          <w:tcPr>
            <w:tcW w:w="2016" w:type="dxa"/>
            <w:shd w:val="clear" w:color="auto" w:fill="1F497D"/>
            <w:tcMar>
              <w:top w:w="120" w:type="dxa"/>
              <w:left w:w="140" w:type="dxa"/>
              <w:bottom w:w="120" w:type="dxa"/>
              <w:right w:w="140" w:type="dxa"/>
            </w:tcMar>
          </w:tcPr>
          <w:p w14:paraId="18F8D288" w14:textId="77777777" w:rsidR="00F67131" w:rsidRDefault="00000000">
            <w:pPr>
              <w:spacing w:before="40" w:after="40" w:line="252" w:lineRule="auto"/>
              <w:jc w:val="center"/>
            </w:pPr>
            <w:r>
              <w:rPr>
                <w:rFonts w:ascii="Times New Roman" w:hAnsi="Times New Roman"/>
                <w:b/>
                <w:color w:val="FFFFFF"/>
                <w:sz w:val="19"/>
              </w:rPr>
              <w:t>MB: Gap Dự phòng &amp; CAR sau IFRS 9</w:t>
            </w:r>
          </w:p>
        </w:tc>
        <w:tc>
          <w:tcPr>
            <w:tcW w:w="2448" w:type="dxa"/>
            <w:shd w:val="clear" w:color="auto" w:fill="1F497D"/>
            <w:tcMar>
              <w:top w:w="120" w:type="dxa"/>
              <w:left w:w="140" w:type="dxa"/>
              <w:bottom w:w="120" w:type="dxa"/>
              <w:right w:w="140" w:type="dxa"/>
            </w:tcMar>
          </w:tcPr>
          <w:p w14:paraId="1CB157B1" w14:textId="77777777" w:rsidR="00F67131" w:rsidRDefault="00000000">
            <w:pPr>
              <w:spacing w:before="40" w:after="40" w:line="252" w:lineRule="auto"/>
              <w:jc w:val="center"/>
            </w:pPr>
            <w:r>
              <w:rPr>
                <w:rFonts w:ascii="Times New Roman" w:hAnsi="Times New Roman"/>
                <w:b/>
                <w:color w:val="FFFFFF"/>
                <w:sz w:val="19"/>
              </w:rPr>
              <w:t>Đánh giá tác động định lượng &amp; kiểm toán</w:t>
            </w:r>
          </w:p>
        </w:tc>
      </w:tr>
      <w:tr w:rsidR="00F67131" w14:paraId="6DE99B11" w14:textId="77777777">
        <w:trPr>
          <w:cantSplit/>
          <w:jc w:val="center"/>
        </w:trPr>
        <w:tc>
          <w:tcPr>
            <w:tcW w:w="2016" w:type="dxa"/>
            <w:shd w:val="clear" w:color="auto" w:fill="F2F5F9"/>
            <w:tcMar>
              <w:top w:w="100" w:type="dxa"/>
              <w:left w:w="130" w:type="dxa"/>
              <w:bottom w:w="100" w:type="dxa"/>
              <w:right w:w="130" w:type="dxa"/>
            </w:tcMar>
          </w:tcPr>
          <w:p w14:paraId="2A5B30D1" w14:textId="77777777" w:rsidR="00F67131" w:rsidRDefault="00000000">
            <w:pPr>
              <w:spacing w:before="40" w:after="40" w:line="252" w:lineRule="auto"/>
            </w:pPr>
            <w:r>
              <w:rPr>
                <w:rFonts w:ascii="Times New Roman" w:hAnsi="Times New Roman"/>
                <w:b/>
                <w:color w:val="000000"/>
                <w:sz w:val="18"/>
              </w:rPr>
              <w:t>Kịch bản 1: Cơ sở (Base)</w:t>
            </w:r>
          </w:p>
        </w:tc>
        <w:tc>
          <w:tcPr>
            <w:tcW w:w="2016" w:type="dxa"/>
            <w:shd w:val="clear" w:color="auto" w:fill="F2F5F9"/>
            <w:tcMar>
              <w:top w:w="100" w:type="dxa"/>
              <w:left w:w="130" w:type="dxa"/>
              <w:bottom w:w="100" w:type="dxa"/>
              <w:right w:w="130" w:type="dxa"/>
            </w:tcMar>
          </w:tcPr>
          <w:p w14:paraId="076C928D" w14:textId="77777777" w:rsidR="00F67131" w:rsidRDefault="00000000">
            <w:pPr>
              <w:spacing w:before="40" w:after="40" w:line="252" w:lineRule="auto"/>
            </w:pPr>
            <w:r>
              <w:rPr>
                <w:rFonts w:ascii="Times New Roman" w:hAnsi="Times New Roman"/>
                <w:color w:val="000000"/>
                <w:sz w:val="18"/>
              </w:rPr>
              <w:t>SICR: Agri 5%, MB 6%</w:t>
            </w:r>
            <w:r>
              <w:br/>
            </w:r>
            <w:r>
              <w:rPr>
                <w:rFonts w:ascii="Times New Roman" w:hAnsi="Times New Roman"/>
                <w:color w:val="000000"/>
                <w:sz w:val="18"/>
              </w:rPr>
              <w:t>LGD chuẩn:</w:t>
            </w:r>
            <w:r>
              <w:br/>
            </w:r>
            <w:r>
              <w:rPr>
                <w:rFonts w:ascii="Times New Roman" w:hAnsi="Times New Roman"/>
                <w:color w:val="000000"/>
                <w:sz w:val="18"/>
              </w:rPr>
              <w:t>Agri 35/45/85%</w:t>
            </w:r>
            <w:r>
              <w:br/>
            </w:r>
            <w:r>
              <w:rPr>
                <w:rFonts w:ascii="Times New Roman" w:hAnsi="Times New Roman"/>
                <w:color w:val="000000"/>
                <w:sz w:val="18"/>
              </w:rPr>
              <w:t>MB 45/50/65%</w:t>
            </w:r>
          </w:p>
        </w:tc>
        <w:tc>
          <w:tcPr>
            <w:tcW w:w="2016" w:type="dxa"/>
            <w:shd w:val="clear" w:color="auto" w:fill="F2F5F9"/>
            <w:tcMar>
              <w:top w:w="100" w:type="dxa"/>
              <w:left w:w="130" w:type="dxa"/>
              <w:bottom w:w="100" w:type="dxa"/>
              <w:right w:w="130" w:type="dxa"/>
            </w:tcMar>
          </w:tcPr>
          <w:p w14:paraId="6B3EEFC8" w14:textId="77777777" w:rsidR="00F67131" w:rsidRDefault="00000000">
            <w:pPr>
              <w:spacing w:before="40" w:after="40" w:line="252" w:lineRule="auto"/>
              <w:jc w:val="right"/>
            </w:pPr>
            <w:r>
              <w:rPr>
                <w:rFonts w:ascii="Times New Roman" w:hAnsi="Times New Roman"/>
                <w:color w:val="000000"/>
                <w:sz w:val="18"/>
              </w:rPr>
              <w:t>Thiếu +3.660 tỷ (+9,8%)</w:t>
            </w:r>
            <w:r>
              <w:br/>
            </w:r>
            <w:r>
              <w:rPr>
                <w:rFonts w:ascii="Times New Roman" w:hAnsi="Times New Roman"/>
                <w:color w:val="000000"/>
                <w:sz w:val="18"/>
              </w:rPr>
              <w:t>CAR: 10,07% (−15 bps)</w:t>
            </w:r>
          </w:p>
        </w:tc>
        <w:tc>
          <w:tcPr>
            <w:tcW w:w="2016" w:type="dxa"/>
            <w:shd w:val="clear" w:color="auto" w:fill="F2F5F9"/>
            <w:tcMar>
              <w:top w:w="100" w:type="dxa"/>
              <w:left w:w="130" w:type="dxa"/>
              <w:bottom w:w="100" w:type="dxa"/>
              <w:right w:w="130" w:type="dxa"/>
            </w:tcMar>
          </w:tcPr>
          <w:p w14:paraId="6881AD36" w14:textId="77777777" w:rsidR="00F67131" w:rsidRDefault="00000000">
            <w:pPr>
              <w:spacing w:before="40" w:after="40" w:line="252" w:lineRule="auto"/>
              <w:jc w:val="right"/>
            </w:pPr>
            <w:r>
              <w:rPr>
                <w:rFonts w:ascii="Times New Roman" w:hAnsi="Times New Roman"/>
                <w:color w:val="000000"/>
                <w:sz w:val="18"/>
              </w:rPr>
              <w:t>Thiếu +14.006 tỷ (+106,5%)</w:t>
            </w:r>
            <w:r>
              <w:br/>
            </w:r>
            <w:r>
              <w:rPr>
                <w:rFonts w:ascii="Times New Roman" w:hAnsi="Times New Roman"/>
                <w:color w:val="000000"/>
                <w:sz w:val="18"/>
              </w:rPr>
              <w:t>CAR: 9,97% (−103 bps)</w:t>
            </w:r>
          </w:p>
        </w:tc>
        <w:tc>
          <w:tcPr>
            <w:tcW w:w="2448" w:type="dxa"/>
            <w:shd w:val="clear" w:color="auto" w:fill="F2F5F9"/>
            <w:tcMar>
              <w:top w:w="100" w:type="dxa"/>
              <w:left w:w="130" w:type="dxa"/>
              <w:bottom w:w="100" w:type="dxa"/>
              <w:right w:w="130" w:type="dxa"/>
            </w:tcMar>
          </w:tcPr>
          <w:p w14:paraId="51DEDDA3" w14:textId="77777777" w:rsidR="00F67131" w:rsidRDefault="00000000">
            <w:pPr>
              <w:spacing w:before="40" w:after="40" w:line="252" w:lineRule="auto"/>
            </w:pPr>
            <w:r>
              <w:rPr>
                <w:rFonts w:ascii="Times New Roman" w:hAnsi="Times New Roman"/>
                <w:color w:val="000000"/>
                <w:sz w:val="18"/>
              </w:rPr>
              <w:t>MB thiếu hụt lớn gấp 3,8 lần Agribank do áp lực trích lập Lifetime ECL Stage 2 và TPDN.</w:t>
            </w:r>
          </w:p>
        </w:tc>
      </w:tr>
      <w:tr w:rsidR="00F67131" w14:paraId="5F7EA7AF" w14:textId="77777777">
        <w:trPr>
          <w:cantSplit/>
          <w:jc w:val="center"/>
        </w:trPr>
        <w:tc>
          <w:tcPr>
            <w:tcW w:w="2016" w:type="dxa"/>
            <w:shd w:val="clear" w:color="auto" w:fill="FFFFFF"/>
            <w:tcMar>
              <w:top w:w="100" w:type="dxa"/>
              <w:left w:w="130" w:type="dxa"/>
              <w:bottom w:w="100" w:type="dxa"/>
              <w:right w:w="130" w:type="dxa"/>
            </w:tcMar>
          </w:tcPr>
          <w:p w14:paraId="35EEC7BF" w14:textId="77777777" w:rsidR="00F67131" w:rsidRDefault="00000000">
            <w:pPr>
              <w:spacing w:before="40" w:after="40" w:line="252" w:lineRule="auto"/>
            </w:pPr>
            <w:r>
              <w:rPr>
                <w:rFonts w:ascii="Times New Roman" w:hAnsi="Times New Roman"/>
                <w:b/>
                <w:color w:val="000000"/>
                <w:sz w:val="18"/>
              </w:rPr>
              <w:t>Kịch bản 2: SICR thấp (3%)</w:t>
            </w:r>
          </w:p>
        </w:tc>
        <w:tc>
          <w:tcPr>
            <w:tcW w:w="2016" w:type="dxa"/>
            <w:shd w:val="clear" w:color="auto" w:fill="FFFFFF"/>
            <w:tcMar>
              <w:top w:w="100" w:type="dxa"/>
              <w:left w:w="130" w:type="dxa"/>
              <w:bottom w:w="100" w:type="dxa"/>
              <w:right w:w="130" w:type="dxa"/>
            </w:tcMar>
          </w:tcPr>
          <w:p w14:paraId="2471CBDF" w14:textId="77777777" w:rsidR="00F67131" w:rsidRDefault="00000000">
            <w:pPr>
              <w:spacing w:before="40" w:after="40" w:line="252" w:lineRule="auto"/>
            </w:pPr>
            <w:r>
              <w:rPr>
                <w:rFonts w:ascii="Times New Roman" w:hAnsi="Times New Roman"/>
                <w:color w:val="000000"/>
                <w:sz w:val="18"/>
              </w:rPr>
              <w:t>SICR = 3,0% cả hai NH</w:t>
            </w:r>
            <w:r>
              <w:br/>
            </w:r>
            <w:r>
              <w:rPr>
                <w:rFonts w:ascii="Times New Roman" w:hAnsi="Times New Roman"/>
                <w:color w:val="000000"/>
                <w:sz w:val="18"/>
              </w:rPr>
              <w:t>LGD giữ nguyên cơ sở</w:t>
            </w:r>
          </w:p>
        </w:tc>
        <w:tc>
          <w:tcPr>
            <w:tcW w:w="2016" w:type="dxa"/>
            <w:shd w:val="clear" w:color="auto" w:fill="FFFFFF"/>
            <w:tcMar>
              <w:top w:w="100" w:type="dxa"/>
              <w:left w:w="130" w:type="dxa"/>
              <w:bottom w:w="100" w:type="dxa"/>
              <w:right w:w="130" w:type="dxa"/>
            </w:tcMar>
          </w:tcPr>
          <w:p w14:paraId="3CA6E98D" w14:textId="77777777" w:rsidR="00F67131" w:rsidRDefault="00000000">
            <w:pPr>
              <w:spacing w:before="40" w:after="40" w:line="252" w:lineRule="auto"/>
              <w:jc w:val="right"/>
            </w:pPr>
            <w:r>
              <w:rPr>
                <w:rFonts w:ascii="Times New Roman" w:hAnsi="Times New Roman"/>
                <w:color w:val="000000"/>
                <w:sz w:val="18"/>
              </w:rPr>
              <w:t>Thiếu +2 tỷ (+0,0%)</w:t>
            </w:r>
            <w:r>
              <w:br/>
            </w:r>
            <w:r>
              <w:rPr>
                <w:rFonts w:ascii="Times New Roman" w:hAnsi="Times New Roman"/>
                <w:color w:val="000000"/>
                <w:sz w:val="18"/>
              </w:rPr>
              <w:t>CAR: 10,22% (0 bps)</w:t>
            </w:r>
          </w:p>
        </w:tc>
        <w:tc>
          <w:tcPr>
            <w:tcW w:w="2016" w:type="dxa"/>
            <w:shd w:val="clear" w:color="auto" w:fill="FFFFFF"/>
            <w:tcMar>
              <w:top w:w="100" w:type="dxa"/>
              <w:left w:w="130" w:type="dxa"/>
              <w:bottom w:w="100" w:type="dxa"/>
              <w:right w:w="130" w:type="dxa"/>
            </w:tcMar>
          </w:tcPr>
          <w:p w14:paraId="6A5AA142" w14:textId="77777777" w:rsidR="00F67131" w:rsidRDefault="00000000">
            <w:pPr>
              <w:spacing w:before="40" w:after="40" w:line="252" w:lineRule="auto"/>
              <w:jc w:val="right"/>
            </w:pPr>
            <w:r>
              <w:rPr>
                <w:rFonts w:ascii="Times New Roman" w:hAnsi="Times New Roman"/>
                <w:color w:val="000000"/>
                <w:sz w:val="18"/>
              </w:rPr>
              <w:t>Thiếu +9.770 tỷ (+74,3%)</w:t>
            </w:r>
            <w:r>
              <w:br/>
            </w:r>
            <w:r>
              <w:rPr>
                <w:rFonts w:ascii="Times New Roman" w:hAnsi="Times New Roman"/>
                <w:color w:val="000000"/>
                <w:sz w:val="18"/>
              </w:rPr>
              <w:t>CAR: 10,28% (−72 bps)</w:t>
            </w:r>
          </w:p>
        </w:tc>
        <w:tc>
          <w:tcPr>
            <w:tcW w:w="2448" w:type="dxa"/>
            <w:shd w:val="clear" w:color="auto" w:fill="FFFFFF"/>
            <w:tcMar>
              <w:top w:w="100" w:type="dxa"/>
              <w:left w:w="130" w:type="dxa"/>
              <w:bottom w:w="100" w:type="dxa"/>
              <w:right w:w="130" w:type="dxa"/>
            </w:tcMar>
          </w:tcPr>
          <w:p w14:paraId="31E9556B" w14:textId="77777777" w:rsidR="00F67131" w:rsidRDefault="00000000">
            <w:pPr>
              <w:spacing w:before="40" w:after="40" w:line="252" w:lineRule="auto"/>
            </w:pPr>
            <w:r>
              <w:rPr>
                <w:rFonts w:ascii="Times New Roman" w:hAnsi="Times New Roman"/>
                <w:color w:val="000000"/>
                <w:sz w:val="18"/>
              </w:rPr>
              <w:t>Agribank đủ dự phòng nhờ bộ đệm VAS; MB vẫn thiếu gần 10.000 tỷ dù danh mục nhóm 1 tốt.</w:t>
            </w:r>
          </w:p>
        </w:tc>
      </w:tr>
      <w:tr w:rsidR="00F67131" w14:paraId="63754B40" w14:textId="77777777">
        <w:trPr>
          <w:cantSplit/>
          <w:jc w:val="center"/>
        </w:trPr>
        <w:tc>
          <w:tcPr>
            <w:tcW w:w="2016" w:type="dxa"/>
            <w:shd w:val="clear" w:color="auto" w:fill="F2F5F9"/>
            <w:tcMar>
              <w:top w:w="100" w:type="dxa"/>
              <w:left w:w="130" w:type="dxa"/>
              <w:bottom w:w="100" w:type="dxa"/>
              <w:right w:w="130" w:type="dxa"/>
            </w:tcMar>
          </w:tcPr>
          <w:p w14:paraId="18F3DF29" w14:textId="77777777" w:rsidR="00F67131" w:rsidRDefault="00000000">
            <w:pPr>
              <w:spacing w:before="40" w:after="40" w:line="252" w:lineRule="auto"/>
            </w:pPr>
            <w:r>
              <w:rPr>
                <w:rFonts w:ascii="Times New Roman" w:hAnsi="Times New Roman"/>
                <w:b/>
                <w:color w:val="000000"/>
                <w:sz w:val="18"/>
              </w:rPr>
              <w:t>Kịch bản 3: SICR trung bình (6%)</w:t>
            </w:r>
          </w:p>
        </w:tc>
        <w:tc>
          <w:tcPr>
            <w:tcW w:w="2016" w:type="dxa"/>
            <w:shd w:val="clear" w:color="auto" w:fill="F2F5F9"/>
            <w:tcMar>
              <w:top w:w="100" w:type="dxa"/>
              <w:left w:w="130" w:type="dxa"/>
              <w:bottom w:w="100" w:type="dxa"/>
              <w:right w:w="130" w:type="dxa"/>
            </w:tcMar>
          </w:tcPr>
          <w:p w14:paraId="5EC4E1AA" w14:textId="77777777" w:rsidR="00F67131" w:rsidRDefault="00000000">
            <w:pPr>
              <w:spacing w:before="40" w:after="40" w:line="252" w:lineRule="auto"/>
            </w:pPr>
            <w:r>
              <w:rPr>
                <w:rFonts w:ascii="Times New Roman" w:hAnsi="Times New Roman"/>
                <w:color w:val="000000"/>
                <w:sz w:val="18"/>
              </w:rPr>
              <w:t>SICR = 6,0% cả hai NH</w:t>
            </w:r>
            <w:r>
              <w:br/>
            </w:r>
            <w:r>
              <w:rPr>
                <w:rFonts w:ascii="Times New Roman" w:hAnsi="Times New Roman"/>
                <w:color w:val="000000"/>
                <w:sz w:val="18"/>
              </w:rPr>
              <w:t>LGD giữ nguyên cơ sở</w:t>
            </w:r>
          </w:p>
        </w:tc>
        <w:tc>
          <w:tcPr>
            <w:tcW w:w="2016" w:type="dxa"/>
            <w:shd w:val="clear" w:color="auto" w:fill="F2F5F9"/>
            <w:tcMar>
              <w:top w:w="100" w:type="dxa"/>
              <w:left w:w="130" w:type="dxa"/>
              <w:bottom w:w="100" w:type="dxa"/>
              <w:right w:w="130" w:type="dxa"/>
            </w:tcMar>
          </w:tcPr>
          <w:p w14:paraId="42121252" w14:textId="77777777" w:rsidR="00F67131" w:rsidRDefault="00000000">
            <w:pPr>
              <w:spacing w:before="40" w:after="40" w:line="252" w:lineRule="auto"/>
              <w:jc w:val="right"/>
            </w:pPr>
            <w:r>
              <w:rPr>
                <w:rFonts w:ascii="Times New Roman" w:hAnsi="Times New Roman"/>
                <w:color w:val="000000"/>
                <w:sz w:val="18"/>
              </w:rPr>
              <w:t>Thiếu +5.489 tỷ (+14,7%)</w:t>
            </w:r>
            <w:r>
              <w:br/>
            </w:r>
            <w:r>
              <w:rPr>
                <w:rFonts w:ascii="Times New Roman" w:hAnsi="Times New Roman"/>
                <w:color w:val="000000"/>
                <w:sz w:val="18"/>
              </w:rPr>
              <w:t>CAR: 10,00% (−22 bps)</w:t>
            </w:r>
          </w:p>
        </w:tc>
        <w:tc>
          <w:tcPr>
            <w:tcW w:w="2016" w:type="dxa"/>
            <w:shd w:val="clear" w:color="auto" w:fill="F2F5F9"/>
            <w:tcMar>
              <w:top w:w="100" w:type="dxa"/>
              <w:left w:w="130" w:type="dxa"/>
              <w:bottom w:w="100" w:type="dxa"/>
              <w:right w:w="130" w:type="dxa"/>
            </w:tcMar>
          </w:tcPr>
          <w:p w14:paraId="4A55AC47" w14:textId="77777777" w:rsidR="00F67131" w:rsidRDefault="00000000">
            <w:pPr>
              <w:spacing w:before="40" w:after="40" w:line="252" w:lineRule="auto"/>
              <w:jc w:val="right"/>
            </w:pPr>
            <w:r>
              <w:rPr>
                <w:rFonts w:ascii="Times New Roman" w:hAnsi="Times New Roman"/>
                <w:color w:val="000000"/>
                <w:sz w:val="18"/>
              </w:rPr>
              <w:t>Thiếu +14.006 tỷ (+106,5%)</w:t>
            </w:r>
            <w:r>
              <w:br/>
            </w:r>
            <w:r>
              <w:rPr>
                <w:rFonts w:ascii="Times New Roman" w:hAnsi="Times New Roman"/>
                <w:color w:val="000000"/>
                <w:sz w:val="18"/>
              </w:rPr>
              <w:t>CAR: 9,97% (−103 bps)</w:t>
            </w:r>
          </w:p>
        </w:tc>
        <w:tc>
          <w:tcPr>
            <w:tcW w:w="2448" w:type="dxa"/>
            <w:shd w:val="clear" w:color="auto" w:fill="F2F5F9"/>
            <w:tcMar>
              <w:top w:w="100" w:type="dxa"/>
              <w:left w:w="130" w:type="dxa"/>
              <w:bottom w:w="100" w:type="dxa"/>
              <w:right w:w="130" w:type="dxa"/>
            </w:tcMar>
          </w:tcPr>
          <w:p w14:paraId="53BF0D7D" w14:textId="77777777" w:rsidR="00F67131" w:rsidRDefault="00000000">
            <w:pPr>
              <w:spacing w:before="40" w:after="40" w:line="252" w:lineRule="auto"/>
            </w:pPr>
            <w:r>
              <w:rPr>
                <w:rFonts w:ascii="Times New Roman" w:hAnsi="Times New Roman"/>
                <w:color w:val="000000"/>
                <w:sz w:val="18"/>
              </w:rPr>
              <w:t>Cùng SICR 6%: Agribank giảm 22 bps (CAR 10,00%); MB giữ kết quả cơ sở, giảm 103 bps xuống 9,97%.</w:t>
            </w:r>
          </w:p>
        </w:tc>
      </w:tr>
      <w:tr w:rsidR="00F67131" w14:paraId="1DDDA652" w14:textId="77777777">
        <w:trPr>
          <w:cantSplit/>
          <w:jc w:val="center"/>
        </w:trPr>
        <w:tc>
          <w:tcPr>
            <w:tcW w:w="2016" w:type="dxa"/>
            <w:shd w:val="clear" w:color="auto" w:fill="FFFFFF"/>
            <w:tcMar>
              <w:top w:w="100" w:type="dxa"/>
              <w:left w:w="130" w:type="dxa"/>
              <w:bottom w:w="100" w:type="dxa"/>
              <w:right w:w="130" w:type="dxa"/>
            </w:tcMar>
          </w:tcPr>
          <w:p w14:paraId="25D4C419" w14:textId="77777777" w:rsidR="00F67131" w:rsidRDefault="00000000">
            <w:pPr>
              <w:spacing w:before="40" w:after="40" w:line="252" w:lineRule="auto"/>
            </w:pPr>
            <w:r>
              <w:rPr>
                <w:rFonts w:ascii="Times New Roman" w:hAnsi="Times New Roman"/>
                <w:b/>
                <w:color w:val="000000"/>
                <w:sz w:val="18"/>
              </w:rPr>
              <w:t>Kịch bản 4: SICR cao (9%)</w:t>
            </w:r>
          </w:p>
        </w:tc>
        <w:tc>
          <w:tcPr>
            <w:tcW w:w="2016" w:type="dxa"/>
            <w:shd w:val="clear" w:color="auto" w:fill="FFFFFF"/>
            <w:tcMar>
              <w:top w:w="100" w:type="dxa"/>
              <w:left w:w="130" w:type="dxa"/>
              <w:bottom w:w="100" w:type="dxa"/>
              <w:right w:w="130" w:type="dxa"/>
            </w:tcMar>
          </w:tcPr>
          <w:p w14:paraId="6E73B17F" w14:textId="77777777" w:rsidR="00F67131" w:rsidRDefault="00000000">
            <w:pPr>
              <w:spacing w:before="40" w:after="40" w:line="252" w:lineRule="auto"/>
            </w:pPr>
            <w:r>
              <w:rPr>
                <w:rFonts w:ascii="Times New Roman" w:hAnsi="Times New Roman"/>
                <w:color w:val="000000"/>
                <w:sz w:val="18"/>
              </w:rPr>
              <w:t>SICR = 9,0% cả hai NH</w:t>
            </w:r>
            <w:r>
              <w:br/>
            </w:r>
            <w:r>
              <w:rPr>
                <w:rFonts w:ascii="Times New Roman" w:hAnsi="Times New Roman"/>
                <w:color w:val="000000"/>
                <w:sz w:val="18"/>
              </w:rPr>
              <w:t>LGD giữ nguyên cơ sở</w:t>
            </w:r>
          </w:p>
        </w:tc>
        <w:tc>
          <w:tcPr>
            <w:tcW w:w="2016" w:type="dxa"/>
            <w:shd w:val="clear" w:color="auto" w:fill="FFFFFF"/>
            <w:tcMar>
              <w:top w:w="100" w:type="dxa"/>
              <w:left w:w="130" w:type="dxa"/>
              <w:bottom w:w="100" w:type="dxa"/>
              <w:right w:w="130" w:type="dxa"/>
            </w:tcMar>
          </w:tcPr>
          <w:p w14:paraId="676D3ABD" w14:textId="77777777" w:rsidR="00F67131" w:rsidRDefault="00000000">
            <w:pPr>
              <w:spacing w:before="40" w:after="40" w:line="252" w:lineRule="auto"/>
              <w:jc w:val="right"/>
            </w:pPr>
            <w:r>
              <w:rPr>
                <w:rFonts w:ascii="Times New Roman" w:hAnsi="Times New Roman"/>
                <w:color w:val="000000"/>
                <w:sz w:val="18"/>
              </w:rPr>
              <w:t>Thiếu +10.977 tỷ (+29,3%)</w:t>
            </w:r>
            <w:r>
              <w:br/>
            </w:r>
            <w:r>
              <w:rPr>
                <w:rFonts w:ascii="Times New Roman" w:hAnsi="Times New Roman"/>
                <w:color w:val="000000"/>
                <w:sz w:val="18"/>
              </w:rPr>
              <w:t>CAR: 9,78% (−44 bps)</w:t>
            </w:r>
          </w:p>
        </w:tc>
        <w:tc>
          <w:tcPr>
            <w:tcW w:w="2016" w:type="dxa"/>
            <w:shd w:val="clear" w:color="auto" w:fill="FFFFFF"/>
            <w:tcMar>
              <w:top w:w="100" w:type="dxa"/>
              <w:left w:w="130" w:type="dxa"/>
              <w:bottom w:w="100" w:type="dxa"/>
              <w:right w:w="130" w:type="dxa"/>
            </w:tcMar>
          </w:tcPr>
          <w:p w14:paraId="64734A30" w14:textId="77777777" w:rsidR="00F67131" w:rsidRDefault="00000000">
            <w:pPr>
              <w:spacing w:before="40" w:after="40" w:line="252" w:lineRule="auto"/>
              <w:jc w:val="right"/>
            </w:pPr>
            <w:r>
              <w:rPr>
                <w:rFonts w:ascii="Times New Roman" w:hAnsi="Times New Roman"/>
                <w:color w:val="000000"/>
                <w:sz w:val="18"/>
              </w:rPr>
              <w:t>Thiếu +18.243 tỷ (+138,7%)</w:t>
            </w:r>
            <w:r>
              <w:br/>
            </w:r>
            <w:r>
              <w:rPr>
                <w:rFonts w:ascii="Times New Roman" w:hAnsi="Times New Roman"/>
                <w:color w:val="000000"/>
                <w:sz w:val="18"/>
              </w:rPr>
              <w:t>CAR: 9,65% (−135 bps)</w:t>
            </w:r>
          </w:p>
        </w:tc>
        <w:tc>
          <w:tcPr>
            <w:tcW w:w="2448" w:type="dxa"/>
            <w:shd w:val="clear" w:color="auto" w:fill="FFFFFF"/>
            <w:tcMar>
              <w:top w:w="100" w:type="dxa"/>
              <w:left w:w="130" w:type="dxa"/>
              <w:bottom w:w="100" w:type="dxa"/>
              <w:right w:w="130" w:type="dxa"/>
            </w:tcMar>
          </w:tcPr>
          <w:p w14:paraId="35F1F1FF" w14:textId="77777777" w:rsidR="00F67131" w:rsidRDefault="00000000">
            <w:pPr>
              <w:spacing w:before="40" w:after="40" w:line="252" w:lineRule="auto"/>
            </w:pPr>
            <w:r>
              <w:rPr>
                <w:rFonts w:ascii="Times New Roman" w:hAnsi="Times New Roman"/>
                <w:color w:val="000000"/>
                <w:sz w:val="18"/>
              </w:rPr>
              <w:t>Suy giảm diện rộng: VCSH của MB giảm khoảng 10,3% (sau thuế); CAR hai ngân hàng còn 9,65%–9,78%, vẫn trên mức tối thiểu 8%.</w:t>
            </w:r>
          </w:p>
        </w:tc>
      </w:tr>
      <w:tr w:rsidR="00F67131" w14:paraId="6A5D1B62" w14:textId="77777777">
        <w:trPr>
          <w:cantSplit/>
          <w:jc w:val="center"/>
        </w:trPr>
        <w:tc>
          <w:tcPr>
            <w:tcW w:w="2016" w:type="dxa"/>
            <w:shd w:val="clear" w:color="auto" w:fill="F2F5F9"/>
            <w:tcMar>
              <w:top w:w="100" w:type="dxa"/>
              <w:left w:w="130" w:type="dxa"/>
              <w:bottom w:w="100" w:type="dxa"/>
              <w:right w:w="130" w:type="dxa"/>
            </w:tcMar>
          </w:tcPr>
          <w:p w14:paraId="5B4253BB" w14:textId="77777777" w:rsidR="00F67131" w:rsidRDefault="00000000">
            <w:pPr>
              <w:spacing w:before="40" w:after="40" w:line="252" w:lineRule="auto"/>
            </w:pPr>
            <w:r>
              <w:rPr>
                <w:rFonts w:ascii="Times New Roman" w:hAnsi="Times New Roman"/>
                <w:b/>
                <w:color w:val="000000"/>
                <w:sz w:val="18"/>
              </w:rPr>
              <w:lastRenderedPageBreak/>
              <w:t>Kịch bản 5: LGD giảm (−10%)</w:t>
            </w:r>
          </w:p>
        </w:tc>
        <w:tc>
          <w:tcPr>
            <w:tcW w:w="2016" w:type="dxa"/>
            <w:shd w:val="clear" w:color="auto" w:fill="F2F5F9"/>
            <w:tcMar>
              <w:top w:w="100" w:type="dxa"/>
              <w:left w:w="130" w:type="dxa"/>
              <w:bottom w:w="100" w:type="dxa"/>
              <w:right w:w="130" w:type="dxa"/>
            </w:tcMar>
          </w:tcPr>
          <w:p w14:paraId="1A9312C4" w14:textId="77777777" w:rsidR="00F67131" w:rsidRDefault="00000000">
            <w:pPr>
              <w:spacing w:before="40" w:after="40" w:line="252" w:lineRule="auto"/>
            </w:pPr>
            <w:r>
              <w:rPr>
                <w:rFonts w:ascii="Times New Roman" w:hAnsi="Times New Roman"/>
                <w:color w:val="000000"/>
                <w:sz w:val="18"/>
              </w:rPr>
              <w:t>SICR chuẩn cơ sở</w:t>
            </w:r>
            <w:r>
              <w:br/>
            </w:r>
            <w:r>
              <w:rPr>
                <w:rFonts w:ascii="Times New Roman" w:hAnsi="Times New Roman"/>
                <w:color w:val="000000"/>
                <w:sz w:val="18"/>
              </w:rPr>
              <w:t>LGD giảm 10 điểm % ở mọi Stage</w:t>
            </w:r>
          </w:p>
        </w:tc>
        <w:tc>
          <w:tcPr>
            <w:tcW w:w="2016" w:type="dxa"/>
            <w:shd w:val="clear" w:color="auto" w:fill="F2F5F9"/>
            <w:tcMar>
              <w:top w:w="100" w:type="dxa"/>
              <w:left w:w="130" w:type="dxa"/>
              <w:bottom w:w="100" w:type="dxa"/>
              <w:right w:w="130" w:type="dxa"/>
            </w:tcMar>
          </w:tcPr>
          <w:p w14:paraId="174396EA" w14:textId="77777777" w:rsidR="00F67131" w:rsidRDefault="00000000">
            <w:pPr>
              <w:spacing w:before="40" w:after="40" w:line="252" w:lineRule="auto"/>
              <w:jc w:val="right"/>
            </w:pPr>
            <w:r>
              <w:rPr>
                <w:rFonts w:ascii="Times New Roman" w:hAnsi="Times New Roman"/>
                <w:color w:val="000000"/>
                <w:sz w:val="18"/>
              </w:rPr>
              <w:t>Thặng dư −3.691 tỷ (−9,9%)</w:t>
            </w:r>
            <w:r>
              <w:br/>
            </w:r>
            <w:r>
              <w:rPr>
                <w:rFonts w:ascii="Times New Roman" w:hAnsi="Times New Roman"/>
                <w:color w:val="000000"/>
                <w:sz w:val="18"/>
              </w:rPr>
              <w:t>CAR: 10,22% (0 bps)</w:t>
            </w:r>
          </w:p>
        </w:tc>
        <w:tc>
          <w:tcPr>
            <w:tcW w:w="2016" w:type="dxa"/>
            <w:shd w:val="clear" w:color="auto" w:fill="F2F5F9"/>
            <w:tcMar>
              <w:top w:w="100" w:type="dxa"/>
              <w:left w:w="130" w:type="dxa"/>
              <w:bottom w:w="100" w:type="dxa"/>
              <w:right w:w="130" w:type="dxa"/>
            </w:tcMar>
          </w:tcPr>
          <w:p w14:paraId="17013AD8" w14:textId="77777777" w:rsidR="00F67131" w:rsidRDefault="00000000">
            <w:pPr>
              <w:spacing w:before="40" w:after="40" w:line="252" w:lineRule="auto"/>
              <w:jc w:val="right"/>
            </w:pPr>
            <w:r>
              <w:rPr>
                <w:rFonts w:ascii="Times New Roman" w:hAnsi="Times New Roman"/>
                <w:color w:val="000000"/>
                <w:sz w:val="18"/>
              </w:rPr>
              <w:t>Thiếu +8.846 tỷ (+67,3%)</w:t>
            </w:r>
            <w:r>
              <w:br/>
            </w:r>
            <w:r>
              <w:rPr>
                <w:rFonts w:ascii="Times New Roman" w:hAnsi="Times New Roman"/>
                <w:color w:val="000000"/>
                <w:sz w:val="18"/>
              </w:rPr>
              <w:t>CAR: 10,35% (−65 bps)</w:t>
            </w:r>
          </w:p>
        </w:tc>
        <w:tc>
          <w:tcPr>
            <w:tcW w:w="2448" w:type="dxa"/>
            <w:shd w:val="clear" w:color="auto" w:fill="F2F5F9"/>
            <w:tcMar>
              <w:top w:w="100" w:type="dxa"/>
              <w:left w:w="130" w:type="dxa"/>
              <w:bottom w:w="100" w:type="dxa"/>
              <w:right w:w="130" w:type="dxa"/>
            </w:tcMar>
          </w:tcPr>
          <w:p w14:paraId="253B2DE9" w14:textId="77777777" w:rsidR="00F67131" w:rsidRDefault="00000000">
            <w:pPr>
              <w:spacing w:before="40" w:after="40" w:line="252" w:lineRule="auto"/>
            </w:pPr>
            <w:r>
              <w:rPr>
                <w:rFonts w:ascii="Times New Roman" w:hAnsi="Times New Roman"/>
                <w:color w:val="000000"/>
                <w:sz w:val="18"/>
              </w:rPr>
              <w:t>Thanh khoản BĐS thuận lợi: Agribank thừa 3.691 tỷ dự phòng; MB vẫn thiếu hơn 8.800 tỷ.</w:t>
            </w:r>
          </w:p>
        </w:tc>
      </w:tr>
      <w:tr w:rsidR="00F67131" w14:paraId="6206A507" w14:textId="77777777">
        <w:trPr>
          <w:cantSplit/>
          <w:jc w:val="center"/>
        </w:trPr>
        <w:tc>
          <w:tcPr>
            <w:tcW w:w="2016" w:type="dxa"/>
            <w:shd w:val="clear" w:color="auto" w:fill="FFFFFF"/>
            <w:tcMar>
              <w:top w:w="100" w:type="dxa"/>
              <w:left w:w="130" w:type="dxa"/>
              <w:bottom w:w="100" w:type="dxa"/>
              <w:right w:w="130" w:type="dxa"/>
            </w:tcMar>
          </w:tcPr>
          <w:p w14:paraId="10F07358" w14:textId="77777777" w:rsidR="00F67131" w:rsidRDefault="00000000">
            <w:pPr>
              <w:spacing w:before="40" w:after="40" w:line="252" w:lineRule="auto"/>
            </w:pPr>
            <w:r>
              <w:rPr>
                <w:rFonts w:ascii="Times New Roman" w:hAnsi="Times New Roman"/>
                <w:b/>
                <w:color w:val="000000"/>
                <w:sz w:val="18"/>
              </w:rPr>
              <w:t>Kịch bản 6: LGD tăng (+10%)</w:t>
            </w:r>
          </w:p>
        </w:tc>
        <w:tc>
          <w:tcPr>
            <w:tcW w:w="2016" w:type="dxa"/>
            <w:shd w:val="clear" w:color="auto" w:fill="FFFFFF"/>
            <w:tcMar>
              <w:top w:w="100" w:type="dxa"/>
              <w:left w:w="130" w:type="dxa"/>
              <w:bottom w:w="100" w:type="dxa"/>
              <w:right w:w="130" w:type="dxa"/>
            </w:tcMar>
          </w:tcPr>
          <w:p w14:paraId="7385AA4B" w14:textId="77777777" w:rsidR="00F67131" w:rsidRDefault="00000000">
            <w:pPr>
              <w:spacing w:before="40" w:after="40" w:line="252" w:lineRule="auto"/>
            </w:pPr>
            <w:r>
              <w:rPr>
                <w:rFonts w:ascii="Times New Roman" w:hAnsi="Times New Roman"/>
                <w:color w:val="000000"/>
                <w:sz w:val="18"/>
              </w:rPr>
              <w:t>SICR chuẩn cơ sở</w:t>
            </w:r>
            <w:r>
              <w:br/>
            </w:r>
            <w:r>
              <w:rPr>
                <w:rFonts w:ascii="Times New Roman" w:hAnsi="Times New Roman"/>
                <w:color w:val="000000"/>
                <w:sz w:val="18"/>
              </w:rPr>
              <w:t>LGD tăng 10 điểm % ở mọi Stage</w:t>
            </w:r>
          </w:p>
        </w:tc>
        <w:tc>
          <w:tcPr>
            <w:tcW w:w="2016" w:type="dxa"/>
            <w:shd w:val="clear" w:color="auto" w:fill="FFFFFF"/>
            <w:tcMar>
              <w:top w:w="100" w:type="dxa"/>
              <w:left w:w="130" w:type="dxa"/>
              <w:bottom w:w="100" w:type="dxa"/>
              <w:right w:w="130" w:type="dxa"/>
            </w:tcMar>
          </w:tcPr>
          <w:p w14:paraId="69E2E958" w14:textId="77777777" w:rsidR="00F67131" w:rsidRDefault="00000000">
            <w:pPr>
              <w:spacing w:before="40" w:after="40" w:line="252" w:lineRule="auto"/>
              <w:jc w:val="right"/>
            </w:pPr>
            <w:r>
              <w:rPr>
                <w:rFonts w:ascii="Times New Roman" w:hAnsi="Times New Roman"/>
                <w:color w:val="000000"/>
                <w:sz w:val="18"/>
              </w:rPr>
              <w:t>Thiếu +11.011 tỷ (+29,4%)</w:t>
            </w:r>
            <w:r>
              <w:br/>
            </w:r>
            <w:r>
              <w:rPr>
                <w:rFonts w:ascii="Times New Roman" w:hAnsi="Times New Roman"/>
                <w:color w:val="000000"/>
                <w:sz w:val="18"/>
              </w:rPr>
              <w:t>CAR: 9,77% (−45 bps)</w:t>
            </w:r>
          </w:p>
        </w:tc>
        <w:tc>
          <w:tcPr>
            <w:tcW w:w="2016" w:type="dxa"/>
            <w:shd w:val="clear" w:color="auto" w:fill="FFFFFF"/>
            <w:tcMar>
              <w:top w:w="100" w:type="dxa"/>
              <w:left w:w="130" w:type="dxa"/>
              <w:bottom w:w="100" w:type="dxa"/>
              <w:right w:w="130" w:type="dxa"/>
            </w:tcMar>
          </w:tcPr>
          <w:p w14:paraId="411EB69A" w14:textId="77777777" w:rsidR="00F67131" w:rsidRDefault="00000000">
            <w:pPr>
              <w:spacing w:before="40" w:after="40" w:line="252" w:lineRule="auto"/>
              <w:jc w:val="right"/>
            </w:pPr>
            <w:r>
              <w:rPr>
                <w:rFonts w:ascii="Times New Roman" w:hAnsi="Times New Roman"/>
                <w:color w:val="000000"/>
                <w:sz w:val="18"/>
              </w:rPr>
              <w:t>Thiếu +19.166 tỷ (+145,7%)</w:t>
            </w:r>
            <w:r>
              <w:br/>
            </w:r>
            <w:r>
              <w:rPr>
                <w:rFonts w:ascii="Times New Roman" w:hAnsi="Times New Roman"/>
                <w:color w:val="000000"/>
                <w:sz w:val="18"/>
              </w:rPr>
              <w:t>CAR: 9,59% (−141 bps)</w:t>
            </w:r>
          </w:p>
        </w:tc>
        <w:tc>
          <w:tcPr>
            <w:tcW w:w="2448" w:type="dxa"/>
            <w:shd w:val="clear" w:color="auto" w:fill="FFFFFF"/>
            <w:tcMar>
              <w:top w:w="100" w:type="dxa"/>
              <w:left w:w="130" w:type="dxa"/>
              <w:bottom w:w="100" w:type="dxa"/>
              <w:right w:w="130" w:type="dxa"/>
            </w:tcMar>
          </w:tcPr>
          <w:p w14:paraId="524FFF6C" w14:textId="77777777" w:rsidR="00F67131" w:rsidRDefault="00000000">
            <w:pPr>
              <w:spacing w:before="40" w:after="40" w:line="252" w:lineRule="auto"/>
            </w:pPr>
            <w:r>
              <w:rPr>
                <w:rFonts w:ascii="Times New Roman" w:hAnsi="Times New Roman"/>
                <w:color w:val="000000"/>
                <w:sz w:val="18"/>
              </w:rPr>
              <w:t>Thị trường BĐS đóng băng: MB thiếu gần gấp 1,5 lần dự phòng hiện có; Agribank vẫn duy trì CAR 9,77%.</w:t>
            </w:r>
          </w:p>
        </w:tc>
      </w:tr>
    </w:tbl>
    <w:p w14:paraId="33F5F2BB" w14:textId="77777777" w:rsidR="00F67131" w:rsidRDefault="00000000">
      <w:pPr>
        <w:spacing w:before="60" w:after="120" w:line="300" w:lineRule="auto"/>
        <w:jc w:val="both"/>
      </w:pPr>
      <w:r>
        <w:rPr>
          <w:rFonts w:ascii="Times New Roman" w:hAnsi="Times New Roman"/>
          <w:i/>
          <w:sz w:val="19"/>
        </w:rPr>
        <w:t>Nguồn: Tính toán của nhóm nghiên cứu tại Bảng 4 sheet IFRS9_Simulation trên BCTC hợp nhất kiểm toán 2025 của Agribank và MB.</w:t>
      </w:r>
    </w:p>
    <w:p w14:paraId="7D6DCD11" w14:textId="77777777" w:rsidR="00F67131" w:rsidRDefault="00000000">
      <w:pPr>
        <w:spacing w:before="120" w:line="300" w:lineRule="auto"/>
        <w:jc w:val="both"/>
      </w:pPr>
      <w:r>
        <w:rPr>
          <w:rFonts w:ascii="Times New Roman" w:hAnsi="Times New Roman"/>
          <w:color w:val="000000"/>
        </w:rPr>
        <w:t>Ý nghĩa từ phân tích độ nhạy: Trong cả 6 kịch bản độ nhạy, khoảng cách thiếu hụt dự phòng IFRS 9 của MB luôn lớn hơn đáng kể so với Agribank (dao động từ +8.846 tỷ đến +19.166 tỷ đồng so với mức từ -3.691 tỷ đến +11.011 tỷ đồng của Agribank). Như vậy, kết luận về áp lực trích lập bổ sung tại Stage 2 và Stage 3 của MB ổn định trong phạm vi tham số được kiểm định (SICR 3%–9%, LGD ±10 điểm %); tuy nhiên kết quả vẫn phụ thuộc vào các giả định PD/LGD do nhóm đặt và cần được kiểm chứng thêm khi có dữ liệu PD/LGD nội bộ của ngân hàng.</w:t>
      </w:r>
      <w:r>
        <w:rPr>
          <w:rFonts w:ascii="Times New Roman" w:hAnsi="Times New Roman"/>
          <w:color w:val="000000"/>
        </w:rPr>
        <w:br/>
        <w:t>(Đồ thị so sánh tổng thể khoảng cách dự phòng và phân rã tổn thất tín dụng kỳ vọng ECL theo 3 Stage được trực quan hóa tại Hình 6 dưới đây).</w:t>
      </w:r>
    </w:p>
    <w:p>
      <w:pPr>
        <w:keepNext/>
        <w:spacing w:before="240" w:after="80"/>
        <w:jc w:val="center"/>
      </w:pPr>
      <w:r>
        <w:rPr>
          <w:rFonts w:ascii="Times New Roman" w:hAnsi="Times New Roman"/>
          <w:b/>
          <w:i w:val="0"/>
          <w:color w:val="002060"/>
          <w:sz w:val="21"/>
        </w:rPr>
        <w:t>Hình 6. Mô phỏng tác động chuyển đổi Chuẩn mực IFRS 9 năm 2025: Khoảng cách dự phòng và 3 Stage</w:t>
      </w:r>
    </w:p>
    <w:p>
      <w:pPr>
        <w:spacing w:before="80" w:after="80"/>
        <w:jc w:val="center"/>
      </w:pPr>
      <w:r>
        <w:drawing>
          <wp:inline xmlns:a="http://schemas.openxmlformats.org/drawingml/2006/main" xmlns:pic="http://schemas.openxmlformats.org/drawingml/2006/picture">
            <wp:extent cx="5669280" cy="2551176"/>
            <wp:docPr id="6" name="Picture 6"/>
            <wp:cNvGraphicFramePr>
              <a:graphicFrameLocks noChangeAspect="1"/>
            </wp:cNvGraphicFramePr>
            <a:graphic>
              <a:graphicData uri="http://schemas.openxmlformats.org/drawingml/2006/picture">
                <pic:pic>
                  <pic:nvPicPr>
                    <pic:cNvPr id="0" name="Hinh_6_IFRS9_ECL_Gap.png"/>
                    <pic:cNvPicPr/>
                  </pic:nvPicPr>
                  <pic:blipFill>
                    <a:blip r:embed="rId14"/>
                    <a:stretch>
                      <a:fillRect/>
                    </a:stretch>
                  </pic:blipFill>
                  <pic:spPr>
                    <a:xfrm>
                      <a:off x="0" y="0"/>
                      <a:ext cx="5669280" cy="2551176"/>
                    </a:xfrm>
                    <a:prstGeom prst="rect"/>
                  </pic:spPr>
                </pic:pic>
              </a:graphicData>
            </a:graphic>
          </wp:inline>
        </w:drawing>
      </w:r>
    </w:p>
    <w:p>
      <w:pPr>
        <w:spacing w:before="40" w:after="200"/>
        <w:jc w:val="center"/>
      </w:pPr>
      <w:r>
        <w:rPr>
          <w:rFonts w:ascii="Times New Roman" w:hAnsi="Times New Roman"/>
          <w:b w:val="0"/>
          <w:i/>
          <w:color w:val="505050"/>
          <w:sz w:val="18"/>
        </w:rPr>
        <w:t>Nguồn: Kết quả mô hình hóa định lượng của nhóm tác giả tại sheet IFRS9_Simulation.</w:t>
      </w:r>
    </w:p>
    <w:p>
      <w:pPr>
        <w:pStyle w:val="Heading1"/>
        <w:keepNext/>
        <w:pageBreakBefore/>
        <w:spacing w:before="320" w:after="120"/>
        <w:outlineLvl w:val="0"/>
      </w:pPr>
      <w:r>
        <w:rPr>
          <w:rFonts w:ascii="Times New Roman" w:hAnsi="Times New Roman"/>
          <w:b/>
          <w:i w:val="0"/>
          <w:color w:val="002060"/>
          <w:sz w:val="27"/>
        </w:rPr>
        <w:t>PHẦN V. PHÂN TÍCH TÌNH HUỐNG THỰC TIỄN CHUYÊN SÂU (CASE STUDIES)</w:t>
      </w:r>
    </w:p>
    <w:p>
      <w:pPr>
        <w:pStyle w:val="Heading2"/>
        <w:keepNext/>
        <w:spacing w:before="240" w:after="80"/>
        <w:outlineLvl w:val="1"/>
      </w:pPr>
      <w:r>
        <w:rPr>
          <w:rFonts w:ascii="Times New Roman" w:hAnsi="Times New Roman"/>
          <w:b/>
          <w:i w:val="0"/>
          <w:color w:val="0F4C81"/>
          <w:sz w:val="24"/>
        </w:rPr>
        <w:t>5.1. Agribank: Cú sốc thiên tai Yagi 2024, điểm nghẽn thanh khoản TSBĐ nợ nhóm 5 và vụ án Lifepro Việt Nam</w:t>
      </w:r>
    </w:p>
    <w:p w14:paraId="7379A251" w14:textId="77777777" w:rsidR="00F67131" w:rsidRDefault="00000000">
      <w:pPr>
        <w:spacing w:after="80" w:line="300" w:lineRule="auto"/>
        <w:jc w:val="both"/>
      </w:pPr>
      <w:r>
        <w:rPr>
          <w:rFonts w:ascii="Times New Roman" w:hAnsi="Times New Roman"/>
        </w:rPr>
        <w:t>1. Diễn biến và Dữ liệu thực chứng (2020–2025): Trong giai đoạn 2020–2025, thực tiễn rủi ro tín dụng tại Agribank nổi lên hai vấn đề đặc thù gắn liền với định vị ngân hàng phục vụ 'Tam nông' và thể chế NHTM Nhà nước: (i) Cú sốc rủi ro tín dụng nông nghiệp diện rộng do thiên tai bão số 3 (Yagi) tháng 9/2024 tàn phá nặng nề 26 tỉnh, thành phố phía Bắc, làm đứt gãy hoàn toàn dòng tiền của hàng chục nghìn hộ nuôi trồng thủy sản, trồng trọt và doanh nghiệp nông nghiệp vay vốn tại Agribank; và (ii) Tình trạng tồn đọng nợ nhóm 5 (nợ có khả năng mất vốn) ở mức rất cao xuyên suốt 6 năm: theo Thuyết minh 9 BCTC hợp nhất kiểm toán 2020–2025, nợ nhóm 5 của Agribank luôn chiếm từ 67,0% đến 79,0% tổng nợ xấu nội bảng (năm 2020: 16.357 / 21.527 tỷ đồng = 76,0%; năm 2023: 19.248 / 28.721 tỷ đồng = 67,0%; năm 2025: 20.220 / 25.610 tỷ đồng = 79,0%), bên cạnh 278.372 tỷ đồng nợ đã xử lý rủi ro đang theo dõi ngoại bảng (Thuyết minh 37 BCTC hợp nhất 2025, trang 58) và các tồn đọng lịch sử tại Công ty Cho thuê Tài chính II (ALC II – mất khả năng thanh toán từ 2018, được Kiểm toán Nhà nước và kiểm toán độc lập nhấn mạnh tại Thuyết minh 39 BCTC hợp nhất 2025, trang 69) hay vụ án Lifepro tại Chi nhánh Nam Hà Nội (vụ việc phát sinh trước giai đoạn nghiên cứu, xét xử năm 2015–2016; thiệt hại gần 2.500 tỷ đồng do giải ngân vượt thẩm quyền và nhận TSBĐ khống).</w:t>
      </w:r>
    </w:p>
    <w:p w14:paraId="1C54EA73" w14:textId="77777777" w:rsidR="00F67131" w:rsidRDefault="00000000">
      <w:pPr>
        <w:spacing w:after="80" w:line="300" w:lineRule="auto"/>
        <w:jc w:val="both"/>
      </w:pPr>
      <w:r>
        <w:rPr>
          <w:rFonts w:ascii="Times New Roman" w:hAnsi="Times New Roman"/>
          <w:b/>
        </w:rPr>
        <w:t>2. Nguyên nhân, Hậu quả và Biện pháp khắc phục Agribank đã triển khai:</w:t>
      </w:r>
      <w:r>
        <w:rPr>
          <w:rFonts w:ascii="Times New Roman" w:hAnsi="Times New Roman"/>
          <w:b/>
        </w:rPr>
        <w:br/>
      </w:r>
      <w:r>
        <w:rPr>
          <w:rFonts w:ascii="Times New Roman" w:hAnsi="Times New Roman"/>
        </w:rPr>
        <w:t xml:space="preserve">  • Nguyên nhân (Khách quan &amp; Chủ quan theo khung COSO 2013): Về khách quan, danh mục tín dụng của Agribank có tới 61,7%–70,0% dư nợ tập trung vào nông nghiệp – nông thôn (Thuyết minh 9 BCTC hợp nhất 2025 ghi nhận dư nợ ngành Nông, lâm, thủy sản đạt 506.223 tỷ đồng và cho vay cá nhân, hộ gia đình đạt 1.477.696 tỷ đồng), chịu rủi ro thiên tai, dịch bệnh và biến động giá nông sản mang tính hệ thống. Hơn nữa, 88,3%–91,7% tài sản bảo đảm của Agribank là bất động sản (năm 2025: 3.371.568 / 3.739.943 tỷ đồng), phần lớn là đất nông nghiệp, đất ở nông thôn có tính thanh khoản thứ cấp rất thấp; khi Nghị quyết 42/2017/QH14 hết hiệu lực vào ngày 31/12/2023, ngân hàng mất quyền thu giữ TSBĐ và phải chờ thủ tục khởi kiện – thi hành án kéo dài nhiều năm. Về chủ quan (theo 5 thành tố COSO 2013 trong các vụ việc như Lifepro và ALC II), cơ chế phân cấp hạn mức tín dụng rộng cho hơn 2.200 chi nhánh/PGD trong khi hệ thống công nghệ giám sát tập trung chưa đồng bộ đã từng tạo kẽ hở cho sự lạm quyền của người đứng đầu chi nhánh (Môi trường kiểm soát), thẩm định dựa dẫm vào tài sản thế chấp thay vì dòng tiền (Đánh giá rủi ro), vô hiệu hóa nguyên tắc phê duyệt kép (Hoạt động kiểm soát), độ trễ báo cáo rủi ro (Thông tin &amp; Truyền thông) và kiểm toán nội bộ hậu kiểm thụ động (Giám sát).</w:t>
      </w:r>
      <w:r w:rsidR="000770B1">
        <w:rPr>
          <w:rFonts w:ascii="Times New Roman" w:hAnsi="Times New Roman"/>
        </w:rPr>
        <w:tab/>
      </w:r>
      <w:r>
        <w:rPr>
          <w:rFonts w:ascii="Times New Roman" w:hAnsi="Times New Roman"/>
        </w:rPr>
        <w:br/>
        <w:t xml:space="preserve">  • Hậu quả định lượng: Làm đóng băng vốn trong các khoản nợ nhóm 5 kéo dài (20.220 tỷ đồng cuối năm 2025), buộc Agribank phải chi tới 145.765 tỷ đồng chi phí dự phòng rủi ro tín dụng lũy kế 6 năm (2020–2025) – chiếm từ 42,8% đến 59,1% lợi nhuận thuần trước dự phòng (PPOP) hằng năm – và sử dụng tổng cộng 127.831 tỷ đồng quỹ dự phòng để xóa nợ nội bảng, làm suy giảm khả năng tự tích lũy </w:t>
      </w:r>
      <w:r>
        <w:rPr>
          <w:rFonts w:ascii="Times New Roman" w:hAnsi="Times New Roman"/>
        </w:rPr>
        <w:lastRenderedPageBreak/>
        <w:t>vốn tự có và khiến RORAC proxy chỉ đạt 10,8%–16,7%.</w:t>
      </w:r>
      <w:r w:rsidR="000770B1">
        <w:rPr>
          <w:rFonts w:ascii="Times New Roman" w:hAnsi="Times New Roman"/>
        </w:rPr>
        <w:tab/>
      </w:r>
      <w:r>
        <w:rPr>
          <w:rFonts w:ascii="Times New Roman" w:hAnsi="Times New Roman"/>
        </w:rPr>
        <w:br/>
        <w:t xml:space="preserve">  • Biện pháp khắc phục Agribank đã triển khai: (1) Đối với cú sốc bão Yagi và Covid-19: Kịp thời cơ cấu lại thời hạn trả nợ, giữ nguyên nhóm nợ theo Thông tư 02/2023/TT-NHNN (37.876 tỷ đồng năm 2023, trích đủ 100% dự phòng bổ sung cuối năm 2024) và Thông tư 53/2024/TT-NHNN kết hợp Quyết định 1510/QĐ-TTg (giữ nguyên nhóm nợ; trích dự phòng cụ thể bổ sung tối thiểu 35% đến 31/12/2024 và 70% đến 31/12/2025), kết hợp giảm lãi suất cho vay hỗ trợ phục hồi sản xuất nông nghiệp; (2) Về xử lý và thu hồi nợ xấu: Đẩy mạnh trích lập dự phòng (năm 2025 trích 31.808 tỷ đồng, đưa LLCR hợp nhất lên 146,3%) và sử dụng 32.621 tỷ đồng dự phòng để xử lý rủi ro; đồng thời thành lập Ban chỉ đạo xử lý nợ xấu từ Hội sở xuống từng chi nhánh, phối hợp cơ quan thi hành án (từ 15/10/2025 có thêm cơ sở pháp lý tại Điều 198a Luật số 96/2025/QH15); thu hồi nợ đã xử lý rủi ro đạt 12.123 tỷ đồng trên BCTC năm 2025 (16.305 tỷ đồng tính cả thu từ xử lý tài sản theo BCTN 2025); (3) Về tái cấu trúc quản trị nội bộ: Siết chặt hạn mức phán quyết tín dụng của Giám đốc chi nhánh, chuẩn hóa định giá TSBĐ độc lập và bổ sung 17.100 tỷ đồng vốn điều lệ từ ngân sách Nhà nước (nâng vốn điều lệ lên 51.639 tỷ đồng cuối năm 2025).</w:t>
      </w:r>
    </w:p>
    <w:p>
      <w:pPr>
        <w:pStyle w:val="Heading2"/>
        <w:keepNext/>
        <w:spacing w:before="240" w:after="80"/>
        <w:outlineLvl w:val="1"/>
      </w:pPr>
      <w:r>
        <w:rPr>
          <w:rFonts w:ascii="Times New Roman" w:hAnsi="Times New Roman"/>
          <w:b/>
          <w:i w:val="0"/>
          <w:color w:val="0F4C81"/>
          <w:sz w:val="24"/>
        </w:rPr>
        <w:t>5.2. MB: Rủi ro tín dụng tiêu dùng tại MCredit và rủi ro đạo đức cấp chi nhánh (Vụ án Chi nhánh Gia Lai)</w:t>
      </w:r>
    </w:p>
    <w:p w14:paraId="6D878924" w14:textId="77777777" w:rsidR="00F67131" w:rsidRDefault="00000000">
      <w:pPr>
        <w:spacing w:after="80" w:line="300" w:lineRule="auto"/>
        <w:jc w:val="both"/>
      </w:pPr>
      <w:r>
        <w:rPr>
          <w:rFonts w:ascii="Times New Roman" w:hAnsi="Times New Roman"/>
          <w:b/>
        </w:rPr>
        <w:t xml:space="preserve">1. Diễn biến và Dữ liệu thực chứng (2020–2025): </w:t>
      </w:r>
      <w:r>
        <w:rPr>
          <w:rFonts w:ascii="Times New Roman" w:hAnsi="Times New Roman"/>
        </w:rPr>
        <w:t>Tại MB, chiến lược mở rộng sang phân khúc bán lẻ và tài chính tiêu dùng biên lợi nhuận cao trong giai đoạn 2020–2025 đã bộc lộ hai mặt rủi ro thực tiễn: (i) Ở cấp độ danh mục tập đoàn, khi bóc tách chênh lệch giữa BCTC Hợp nhất và BCTC Riêng lẻ ngân hàng mẹ (Thuyết minh 10.1 và 10.4), dư nợ cho vay tiêu dùng của khối công ty con (chủ yếu là Công ty Tài chính TNHH MB Shinsei – MCredit, cùng MBCambodia từ 2023) đã tăng gấp 2,9 lần từ 10.173 tỷ đồng (2020) lên 29.622 tỷ đồng (2025). Tuy nhiên, nợ xấu nhóm 3–5 của khối công ty con tăng vọt từ 649 tỷ đồng (2020) lên 1.406 tỷ (2022), 1.683 tỷ (2023), 2.092 tỷ (2024) và 2.509 tỷ đồng (2025) – tương ứng tỷ lệ NPL công ty con lên tới 6,2%–8,5% (cao gấp khoảng 5,6–9,1 lần NPL riêng lẻ của ngân hàng mẹ; năm 2025: 8,5% so với 1,12%), làm suy giảm lợi nhuận MCredit năm 2023–2024 trước khi phục hồi năm 2025; (ii) Ở cấp độ tác nghiệp chi nhánh, giai đoạn 2022–2023 phát sinh vụ việc cán bộ tín dụng tại MB Chi nhánh Gia Lai lợi dụng kẽ hở trong quy trình giải ngân bán lẻ và đảo nợ để lập khống hồ sơ vay vốn, giả mạo chữ ký khách hàng để chiếm đoạt tiền (theo thông tin báo chí, quy mô hàng chục tỷ đồng).</w:t>
      </w:r>
    </w:p>
    <w:p w14:paraId="03A52DBB" w14:textId="77777777" w:rsidR="00F67131" w:rsidRDefault="00000000">
      <w:pPr>
        <w:spacing w:after="80" w:line="300" w:lineRule="auto"/>
        <w:jc w:val="both"/>
      </w:pPr>
      <w:r>
        <w:rPr>
          <w:rFonts w:ascii="Times New Roman" w:hAnsi="Times New Roman"/>
          <w:b/>
        </w:rPr>
        <w:t>2. Nguyên nhân, Hậu quả và Biện pháp khắc phục MB đã triển khai:</w:t>
      </w:r>
      <w:r>
        <w:rPr>
          <w:rFonts w:ascii="Times New Roman" w:hAnsi="Times New Roman"/>
          <w:b/>
        </w:rPr>
        <w:br/>
      </w:r>
      <w:r>
        <w:rPr>
          <w:rFonts w:ascii="Times New Roman" w:hAnsi="Times New Roman"/>
        </w:rPr>
        <w:t xml:space="preserve">  • Nguyên nhân (Theo Mô hình Tam giác Gian lận của Cressey, 1953 và Khẩu vị rủi ro tín chấp): (1) Áp lực (Pressure): Chỉ tiêu KPI tăng trưởng dư nợ bán lẻ và biên lãi thuần (NIM) rất cao giao xuống từng RM và công ty con tạo áp lực giải ngân nhanh; tại MCredit, tệp khách hàng chủ đạo là người lao động thu nhập trung bình – thấp vay tín chấp (không có TSBĐ), nên khi kinh tế suy giảm và lạm phát tăng năm 2022–2024, khả năng trả nợ lập tức suy sụp; (2) Cơ hội (Opportunity): Tại các phòng giao dịch địa phương xa Hội sở (như vụ Gia Lai), quy trình xác thực thực địa, quản lý hồ sơ giải ngân và kiểm tra chéo sau cho vay từng bị buông lỏng; (3) Hợp lý hóa hành vi (Rationalization): Cán bộ tín dụng tự biện minh rằng việc hỗ trợ khách hàng đảo nợ tạm thời sẽ được khắc phục khi giải ngân khoản vay mới.</w:t>
      </w:r>
      <w:r w:rsidR="000770B1">
        <w:rPr>
          <w:rFonts w:ascii="Times New Roman" w:hAnsi="Times New Roman"/>
        </w:rPr>
        <w:tab/>
      </w:r>
      <w:r>
        <w:rPr>
          <w:rFonts w:ascii="Times New Roman" w:hAnsi="Times New Roman"/>
        </w:rPr>
        <w:br/>
      </w:r>
      <w:r>
        <w:rPr>
          <w:rFonts w:ascii="Times New Roman" w:hAnsi="Times New Roman"/>
        </w:rPr>
        <w:lastRenderedPageBreak/>
        <w:t xml:space="preserve">  • Hậu quả định lượng: Riêng khối công ty con (chủ yếu MCredit) đã tạo ra 2.509 tỷ đồng nợ xấu nội bảng cuối năm 2025 (chiếm 17,9% tổng nợ xấu hợp nhất của MB dù chỉ chiếm 2,7% tổng dư nợ), kéo tỷ lệ NPL hợp nhất của MB cao hơn NPL riêng lẻ từ 0,17 đến 0,26 điểm % mỗi năm (năm 2025: 1,29% so với 1,12%), đồng thời buộc khối công ty con phải sử dụng tới 4.362 tỷ đồng dự phòng để xóa nợ riêng trong năm 2025 (12.185 tỷ hợp nhất trừ 7.824 tỷ riêng lẻ).</w:t>
      </w:r>
      <w:r w:rsidR="000770B1">
        <w:rPr>
          <w:rFonts w:ascii="Times New Roman" w:hAnsi="Times New Roman"/>
        </w:rPr>
        <w:tab/>
      </w:r>
      <w:r>
        <w:rPr>
          <w:rFonts w:ascii="Times New Roman" w:hAnsi="Times New Roman"/>
        </w:rPr>
        <w:br/>
        <w:t xml:space="preserve">  • Biện pháp khắc phục MB đã triển khai: (1) Tái cấu trúc khẩu vị rủi ro và mô hình chấm điểm tại MCredit: Siết chặt tiêu chuẩn phê duyệt khoản vay tiền mặt (cash loan), tích hợp xác thực sinh trắc học eKYC kết nối cơ sở dữ liệu dân cư quốc gia (Đề án 06 – Bộ Công an) để triệt tiêu gian lận hồ sơ giả mạo; (2) Quyết liệt xử lý nợ xấu bằng dự phòng: Trong năm 2025, khối công ty con sử dụng 4.362 tỷ đồng dự phòng để xóa các khoản nợ tiêu dùng mất khả năng thu hồi, giúp MCredit làm sạch bảng cân đối và phục hồi lợi nhuận; (3) Kiện toàn 3 tuyến phòng vệ tại ngân hàng mẹ: Tách bạch hoàn toàn bộ phận quan hệ khách hàng (RM) tại chi nhánh với Trung tâm Thẩm định và Phê duyệt tín dụng tập trung (Hub/Hội sở), đồng thời áp dụng Kiểm toán nội bộ dựa trên dữ liệu lớn (Audit Analytics) để phát hiện sớm các giao dịch giải ngân bất thường.</w:t>
      </w:r>
    </w:p>
    <w:p>
      <w:pPr>
        <w:pStyle w:val="Heading2"/>
        <w:keepNext/>
        <w:spacing w:before="240" w:after="80"/>
        <w:outlineLvl w:val="1"/>
      </w:pPr>
      <w:r>
        <w:rPr>
          <w:rFonts w:ascii="Times New Roman" w:hAnsi="Times New Roman"/>
          <w:b/>
          <w:i w:val="0"/>
          <w:color w:val="0F4C81"/>
          <w:sz w:val="24"/>
        </w:rPr>
        <w:t>5.3. MB: Cú sốc chất lượng tài sản năm 2023: Khủng hoảng thanh khoản TPDN, Bất động sản và cơ chế lây lan chéo qua CIC</w:t>
      </w:r>
    </w:p>
    <w:p w14:paraId="68D67A54" w14:textId="77777777" w:rsidR="00F67131" w:rsidRDefault="00000000">
      <w:pPr>
        <w:spacing w:after="80" w:line="300" w:lineRule="auto"/>
        <w:jc w:val="both"/>
      </w:pPr>
      <w:r>
        <w:rPr>
          <w:rFonts w:ascii="Times New Roman" w:hAnsi="Times New Roman"/>
          <w:b/>
        </w:rPr>
        <w:t>Phân tích toàn diện (Diễn biến – Nguyên nhân – Hậu quả – Biện pháp khắc phục):</w:t>
      </w:r>
      <w:r>
        <w:rPr>
          <w:rFonts w:ascii="Times New Roman" w:hAnsi="Times New Roman"/>
          <w:b/>
        </w:rPr>
        <w:br/>
      </w:r>
      <w:r>
        <w:rPr>
          <w:rFonts w:ascii="Times New Roman" w:hAnsi="Times New Roman"/>
        </w:rPr>
        <w:t xml:space="preserve">  • 1. Diễn biến và Số liệu kiểm toán: Năm 2023 đánh dấu cú sốc chất lượng tài sản lớn nhất của MB trong giai đoạn 2020–2025: theo Thuyết minh 10.1 BCTC hợp nhất 2023, nợ xấu nội bảng hợp nhất của MB tăng vọt 94,9% từ 5.031 tỷ đồng (cuối 2022) lên 9.805 tỷ đồng (cuối 2023), đẩy tỷ lệ NPL hợp nhất từ 1,09% lên 1,60%; đồng thời nợ nhóm 2 tăng 78,2% từ 7.809 tỷ lên 13.918 tỷ đồng (chiếm 2,28% dư nợ), đưa Tỷ lệ nợ có vấn đề (Nhóm 2–5) lên đỉnh 3,88%.</w:t>
      </w:r>
      <w:r w:rsidR="000770B1">
        <w:rPr>
          <w:rFonts w:ascii="Times New Roman" w:hAnsi="Times New Roman"/>
        </w:rPr>
        <w:tab/>
      </w:r>
      <w:r>
        <w:rPr>
          <w:rFonts w:ascii="Times New Roman" w:hAnsi="Times New Roman"/>
        </w:rPr>
        <w:br/>
        <w:t xml:space="preserve">  • 2. Nguyên nhân: Xuất phát từ sự cộng hưởng của ba yếu tố: (i) Rủi ro tập trung vào chu kỳ Bất động sản – Xây dựng và Trái phiếu doanh nghiệp (TPDN): Đến cuối năm 2022, bên cạnh dư nợ cho vay BĐS &amp; Xây dựng chiếm 10,4% dư nợ, MB còn nắm giữ 46.870 tỷ đồng trái phiếu do các tổ chức kinh tế (TCKT) phát hành (theo Thuyết minh 12 BCTC hợp nhất 2022, chưa kể chứng khoán nợ do các TCTD phát hành). Khi thị trường TPDN đóng băng sau các sự kiện Tân Hoàng Minh (4/2022) và Vạn Thịnh Phát (10/2022) cùng mặt bằng lãi suất tăng cao, dòng tiền của các chủ đầu tư BĐS và năng lượng tái tạo bị tắc nghẽn; (ii) Hiệu ứng phân loại nợ liên đới qua CIC theo Điều 8 Thông tư 11/2021/TT-NHNN: Nhiều khách hàng doanh nghiệp dù vẫn trả nợ đúng hạn tại MB nhưng phát sinh nợ quá hạn tại ngân hàng khác nên buộc phải chuyển nhóm nợ đồng loạt tại MB; và (iii) Bộ đệm dự phòng không tăng tương ứng với nợ xấu: năm 2023, dù nợ xấu tăng 94,9%, chi phí dự phòng rủi ro tín dụng trên Báo cáo KQKD hợp nhất của MB giảm 24,4% (từ 8.048 tỷ xuống 6.087 tỷ đồng), làm khả năng hấp thụ tổn thất mỏng đi.</w:t>
      </w:r>
      <w:r w:rsidR="000770B1">
        <w:rPr>
          <w:rFonts w:ascii="Times New Roman" w:hAnsi="Times New Roman"/>
        </w:rPr>
        <w:tab/>
      </w:r>
      <w:r>
        <w:rPr>
          <w:rFonts w:ascii="Times New Roman" w:hAnsi="Times New Roman"/>
        </w:rPr>
        <w:br/>
        <w:t xml:space="preserve">  • 3. Hậu quả định lượng: Làm bào mòn nhanh chóng bộ đệm dự phòng mà MB đã tích lũy trong giai đoạn 2020–2022: tỷ lệ bao phủ nợ xấu (LLCR) hợp nhất của MB sụt giảm hơn một nửa từ 238,0% (cuối 2022) xuống 117,0% (cuối 2023) và rơi xuống dưới ngưỡng 100% trong hai năm tiếp theo (92,2% năm 2024 và 93,7% năm 2025).</w:t>
      </w:r>
      <w:r w:rsidR="000770B1">
        <w:rPr>
          <w:rFonts w:ascii="Times New Roman" w:hAnsi="Times New Roman"/>
        </w:rPr>
        <w:tab/>
      </w:r>
      <w:r>
        <w:rPr>
          <w:rFonts w:ascii="Times New Roman" w:hAnsi="Times New Roman"/>
        </w:rPr>
        <w:br/>
        <w:t xml:space="preserve">  • 4. Biện pháp khắc phục MB đã triển khai: (1) Chủ động thu hẹp mạnh danh mục TPDN: MB đã quyết liệt cơ cấu lại danh mục chứng khoán đầu tư, cắt giảm 50,1% số dư TPDN do TCKT phát hành </w:t>
      </w:r>
      <w:r>
        <w:rPr>
          <w:rFonts w:ascii="Times New Roman" w:hAnsi="Times New Roman"/>
        </w:rPr>
        <w:lastRenderedPageBreak/>
        <w:t>từ mức đỉnh 46.870 tỷ đồng (cuối 2022) xuống 38.448 tỷ đồng (2023), 33.443 tỷ đồng (2024) và chỉ còn 23.410 tỷ đồng vào cuối năm 2025 (tương đương chỉ còn 2,1% tổng dư nợ tín dụng theo Thuyết minh 12/13 BCTC hợp nhất 2025); (2) Chuyển dịch cấu trúc tài trợ BĐS: Tập trung tài trợ theo chuỗi cung ứng khép kín (nhà thầu – chủ đầu tư – người mua nhà cuối cùng có nhu cầu ở thực), kiểm soát dòng tiền qua tài khoản chuyên thu tại MB và tăng tỷ lệ tài sản bảo đảm là bất động sản từ 38,8% (2022) lên 50,5% tổng giá trị TSBĐ năm 2025 (1.025.681 / 2.030.363 tỷ đồng).</w:t>
      </w:r>
    </w:p>
    <w:p>
      <w:pPr>
        <w:pStyle w:val="Heading2"/>
        <w:keepNext/>
        <w:spacing w:before="240" w:after="80"/>
        <w:outlineLvl w:val="1"/>
      </w:pPr>
      <w:r>
        <w:rPr>
          <w:rFonts w:ascii="Times New Roman" w:hAnsi="Times New Roman"/>
          <w:b/>
          <w:i w:val="0"/>
          <w:color w:val="0F4C81"/>
          <w:sz w:val="24"/>
        </w:rPr>
        <w:t>5.4. MB: Biến động nợ xấu Quý III–IV/2025, xử lý rủi ro bằng dự phòng và quy chế pháp lý chuyển giao bắt buộc MBV</w:t>
      </w:r>
    </w:p>
    <w:p w14:paraId="6B4FCD9F" w14:textId="77777777" w:rsidR="00F67131" w:rsidRDefault="00000000">
      <w:pPr>
        <w:spacing w:after="80" w:line="300" w:lineRule="auto"/>
        <w:jc w:val="both"/>
      </w:pPr>
      <w:r>
        <w:rPr>
          <w:rFonts w:ascii="Times New Roman" w:hAnsi="Times New Roman"/>
          <w:b/>
        </w:rPr>
        <w:t>Phân tích toàn diện (Diễn biến – Nguyên nhân – Hậu quả – Biện pháp khắc phục):</w:t>
      </w:r>
      <w:r>
        <w:rPr>
          <w:rFonts w:ascii="Times New Roman" w:hAnsi="Times New Roman"/>
          <w:b/>
        </w:rPr>
        <w:br/>
      </w:r>
      <w:r>
        <w:rPr>
          <w:rFonts w:ascii="Times New Roman" w:hAnsi="Times New Roman"/>
        </w:rPr>
        <w:t xml:space="preserve">  • 1. Diễn biến và Số liệu kiểm toán: Theo số liệu BCTC Quý III/2025 được công bố, tổng nợ xấu nội bảng hợp nhất của MB tại thời điểm 30/9/2025 vọt lên mức đỉnh lịch sử 17.423 tỷ đồng, đẩy tỷ lệ NPL lên khoảng 1,87%. Tuy nhiên, chỉ trong vòng một quý (Quý IV/2025), báo cáo tài chính hợp nhất kiểm toán năm 2025 ghi nhận nợ xấu cuối năm giảm 3.396 tỷ đồng về mức 14.027 tỷ đồng, và tỷ lệ NPL hợp nhất giảm mạnh 0,58 điểm % về mức 1,29% (NPL riêng lẻ ngân hàng mẹ giảm về 1,12%).</w:t>
      </w:r>
      <w:r>
        <w:rPr>
          <w:rFonts w:ascii="Times New Roman" w:hAnsi="Times New Roman"/>
        </w:rPr>
        <w:br/>
        <w:t xml:space="preserve">  • 2. Nguyên nhân: Biến động mạnh của nợ xấu trong năm 2025 bắt nguồn từ hai cơ chế: (i) Áp lực nhảy nhóm nợ tự nhiên sau khi Thông tư 02/2023/TT-NHNN hết hiệu lực từ ngày 01/01/2025 khiến các khoản nợ cơ cấu không phục hồi kịp dòng tiền trong 9 tháng đầu năm phải chuyển sang nhóm nợ xấu theo quy định tại Thông tư 31/2024/TT-NHNN; và (ii) Tác động cuối năm của việc xử lý nợ bằng dự phòng kết hợp với tăng trưởng dư nợ (hiệu ứng mẫu số). Đặc biệt, như đã nêu tại Mục 4.1 theo Thuyết minh 3.4 BCTC hợp nhất 2025 (trang 148 PDF), căn cứ Điểm c Khoản 1 Điều 185 Luật Các TCTD 2024, MB không hợp nhất BCTC của Ngân hàng TNHH MTV Việt Nam Hiện Đại (MBV / OceanBank), nên biến động nợ xấu và dư nợ Quý III–IV/2025 hoàn toàn phản ánh hoạt động của MB và 7 công ty con hợp nhất.</w:t>
      </w:r>
      <w:r w:rsidR="000770B1">
        <w:rPr>
          <w:rFonts w:ascii="Times New Roman" w:hAnsi="Times New Roman"/>
        </w:rPr>
        <w:tab/>
      </w:r>
      <w:r>
        <w:rPr>
          <w:rFonts w:ascii="Times New Roman" w:hAnsi="Times New Roman"/>
        </w:rPr>
        <w:br/>
        <w:t xml:space="preserve">  • 3. Hậu quả định lượng: Mặc dù tỷ lệ NPL bề mặt giảm về 1,29% cuối năm 2025, nhưng xét trên toàn năm 2025, nợ xấu nội bảng tuyệt đối của MB vẫn tăng thêm +1.442 tỷ đồng (+11,5% so với mức 12.585 tỷ đồng cuối năm 2024), và tỷ lệ bao phủ nợ xấu (LLCR) hợp nhất chỉ đạt 93,7% (13.151 tỷ dự phòng / 14.027 tỷ nợ xấu) – thấp hơn đáng kể so với mức 146,3% của Agribank.</w:t>
      </w:r>
      <w:r w:rsidR="000770B1">
        <w:rPr>
          <w:rFonts w:ascii="Times New Roman" w:hAnsi="Times New Roman"/>
        </w:rPr>
        <w:tab/>
      </w:r>
      <w:r>
        <w:rPr>
          <w:rFonts w:ascii="Times New Roman" w:hAnsi="Times New Roman"/>
        </w:rPr>
        <w:br/>
        <w:t xml:space="preserve">  • 4. Biện pháp khắc phục MB đã triển khai: (1) Tăng mạnh trích lập và sử dụng dự phòng để làm sạch bảng cân đối: Trong năm 2025, MB đã tăng chi phí dự phòng rủi ro tín dụng hợp nhất thêm 43,5% lên mức kỷ lục 13.744 tỷ đồng (tương đương 28,6% lợi nhuận trước dự phòng PPOP), đồng thời sử dụng 12.185 tỷ đồng dự phòng để xóa nợ nội bảng (Thuyết minh 10 BCTC hợp nhất 2025); (2) Mở rộng tín dụng trong hạn mức tăng trưởng được NHNN nới khi tham gia nhận chuyển giao bắt buộc MBV: dư nợ tăng 307.361 tỷ đồng (+39,6%), nợ nhóm 1 đạt 1.059.782 tỷ đồng; về mặt số học, mức tăng này tạo hiệu ứng mẫu số −0,46 điểm % đối với NPL, còn chất lượng của phần dư nợ mới chỉ có thể đánh giá khi danh mục đi qua đủ chu kỳ; và (3) Đẩy mạnh thu hồi nợ đã xử lý rủi ro ngoại bảng đạt 4.142 tỷ đồng trong năm 2025 (tăng 68,9% so với mức 2.452 tỷ đồng năm 2024 theo Thuyết minh KQKD BCTC hợp nhất 2025).</w:t>
      </w:r>
    </w:p>
    <w:p>
      <w:pPr>
        <w:keepNext/>
        <w:pageBreakBefore w:val="0"/>
        <w:spacing w:before="200" w:after="80" w:line="276" w:lineRule="auto"/>
        <w:jc w:val="left"/>
      </w:pPr>
      <w:r>
        <w:rPr>
          <w:rFonts w:ascii="Times New Roman" w:hAnsi="Times New Roman"/>
          <w:b/>
          <w:i w:val="0"/>
          <w:color w:val="002060"/>
          <w:sz w:val="22"/>
        </w:rPr>
        <w:t>Bảng 10. Ma trận đánh giá lỗ hổng Kiểm soát Nội bộ COSO 2013 qua các tình huống thực tiễn</w:t>
      </w:r>
    </w:p>
    <w:tbl>
      <w:tblPr>
        <w:tblW w:w="0" w:type="auto"/>
        <w:jc w:val="center"/>
        <w:tblBorders>
          <w:top w:val="single" w:sz="6" w:space="0" w:color="1B365D"/>
          <w:bottom w:val="single" w:sz="6" w:space="0" w:color="1B365D"/>
          <w:insideH w:val="single" w:sz="4" w:space="0" w:color="E0E0E0"/>
        </w:tblBorders>
        <w:tblLook w:val="04A0" w:firstRow="1" w:lastRow="0" w:firstColumn="1" w:lastColumn="0" w:noHBand="0" w:noVBand="1"/>
      </w:tblPr>
      <w:tblGrid>
        <w:gridCol w:w="2448"/>
        <w:gridCol w:w="3394"/>
        <w:gridCol w:w="3430"/>
      </w:tblGrid>
      <w:tr w:rsidR="00F67131" w14:paraId="2F70D4C5" w14:textId="77777777">
        <w:trPr>
          <w:cantSplit/>
          <w:tblHeader/>
          <w:jc w:val="center"/>
        </w:trPr>
        <w:tc>
          <w:tcPr>
            <w:tcW w:w="2592" w:type="dxa"/>
            <w:shd w:val="clear" w:color="auto" w:fill="1B365D"/>
            <w:tcMar>
              <w:top w:w="70" w:type="dxa"/>
              <w:left w:w="100" w:type="dxa"/>
              <w:bottom w:w="70" w:type="dxa"/>
              <w:right w:w="100" w:type="dxa"/>
            </w:tcMar>
          </w:tcPr>
          <w:p w14:paraId="0AF4535D" w14:textId="77777777" w:rsidR="00F67131" w:rsidRDefault="00000000">
            <w:pPr>
              <w:spacing w:before="40" w:after="40" w:line="240" w:lineRule="auto"/>
              <w:jc w:val="both"/>
            </w:pPr>
            <w:r>
              <w:rPr>
                <w:rFonts w:ascii="Times New Roman" w:hAnsi="Times New Roman"/>
                <w:color w:val="FFFFFF"/>
                <w:sz w:val="19"/>
              </w:rPr>
              <w:lastRenderedPageBreak/>
              <w:t>Thành tố COSO 2013</w:t>
            </w:r>
          </w:p>
        </w:tc>
        <w:tc>
          <w:tcPr>
            <w:tcW w:w="3600" w:type="dxa"/>
            <w:shd w:val="clear" w:color="auto" w:fill="1B365D"/>
            <w:tcMar>
              <w:top w:w="70" w:type="dxa"/>
              <w:left w:w="100" w:type="dxa"/>
              <w:bottom w:w="70" w:type="dxa"/>
              <w:right w:w="100" w:type="dxa"/>
            </w:tcMar>
          </w:tcPr>
          <w:p w14:paraId="5A2ED666" w14:textId="77777777" w:rsidR="00F67131" w:rsidRDefault="00000000">
            <w:pPr>
              <w:spacing w:before="40" w:after="40" w:line="240" w:lineRule="auto"/>
              <w:jc w:val="both"/>
            </w:pPr>
            <w:r>
              <w:rPr>
                <w:rFonts w:ascii="Times New Roman" w:hAnsi="Times New Roman"/>
                <w:color w:val="FFFFFF"/>
                <w:sz w:val="19"/>
              </w:rPr>
              <w:t>Agribank (Cú sốc Yagi, Nợ nhóm 5 &amp; Vụ Lifepro)</w:t>
            </w:r>
          </w:p>
        </w:tc>
        <w:tc>
          <w:tcPr>
            <w:tcW w:w="3600" w:type="dxa"/>
            <w:shd w:val="clear" w:color="auto" w:fill="1B365D"/>
            <w:tcMar>
              <w:top w:w="70" w:type="dxa"/>
              <w:left w:w="100" w:type="dxa"/>
              <w:bottom w:w="70" w:type="dxa"/>
              <w:right w:w="100" w:type="dxa"/>
            </w:tcMar>
          </w:tcPr>
          <w:p w14:paraId="51E3E90F" w14:textId="77777777" w:rsidR="00F67131" w:rsidRDefault="00000000">
            <w:pPr>
              <w:spacing w:before="40" w:after="40" w:line="240" w:lineRule="auto"/>
              <w:jc w:val="both"/>
            </w:pPr>
            <w:r>
              <w:rPr>
                <w:rFonts w:ascii="Times New Roman" w:hAnsi="Times New Roman"/>
                <w:color w:val="FFFFFF"/>
                <w:sz w:val="19"/>
              </w:rPr>
              <w:t>MB (MCredit, Cú sốc TPDN 2023 &amp; Vụ Gia Lai)</w:t>
            </w:r>
          </w:p>
        </w:tc>
      </w:tr>
      <w:tr w:rsidR="00F67131" w14:paraId="5AABD1CF" w14:textId="77777777">
        <w:trPr>
          <w:cantSplit/>
          <w:jc w:val="center"/>
        </w:trPr>
        <w:tc>
          <w:tcPr>
            <w:tcW w:w="2592" w:type="dxa"/>
            <w:tcMar>
              <w:top w:w="70" w:type="dxa"/>
              <w:left w:w="100" w:type="dxa"/>
              <w:bottom w:w="70" w:type="dxa"/>
              <w:right w:w="100" w:type="dxa"/>
            </w:tcMar>
          </w:tcPr>
          <w:p w14:paraId="169F47C2" w14:textId="77777777" w:rsidR="00F67131" w:rsidRDefault="00000000">
            <w:pPr>
              <w:spacing w:before="40" w:after="40" w:line="240" w:lineRule="auto"/>
              <w:jc w:val="both"/>
            </w:pPr>
            <w:r>
              <w:rPr>
                <w:rFonts w:ascii="Times New Roman" w:hAnsi="Times New Roman"/>
                <w:color w:val="262626"/>
                <w:sz w:val="18"/>
              </w:rPr>
              <w:t>1. Môi trường kiểm soát</w:t>
            </w:r>
          </w:p>
        </w:tc>
        <w:tc>
          <w:tcPr>
            <w:tcW w:w="3600" w:type="dxa"/>
            <w:tcMar>
              <w:top w:w="70" w:type="dxa"/>
              <w:left w:w="100" w:type="dxa"/>
              <w:bottom w:w="70" w:type="dxa"/>
              <w:right w:w="100" w:type="dxa"/>
            </w:tcMar>
          </w:tcPr>
          <w:p w14:paraId="7790AE2C" w14:textId="77777777" w:rsidR="00F67131" w:rsidRDefault="00000000">
            <w:pPr>
              <w:spacing w:before="40" w:after="40" w:line="240" w:lineRule="auto"/>
              <w:jc w:val="both"/>
            </w:pPr>
            <w:r>
              <w:rPr>
                <w:rFonts w:ascii="Times New Roman" w:hAnsi="Times New Roman"/>
                <w:color w:val="262626"/>
                <w:sz w:val="18"/>
              </w:rPr>
              <w:t>Mạng lưới &gt;2.200 CN/PGD phân cấp rộng; vụ Lifepro cho thấy nguy cơ lạm quyền cấp chi nhánh, đã được xử lý bằng việc siết hạn mức phán quyết.</w:t>
            </w:r>
          </w:p>
        </w:tc>
        <w:tc>
          <w:tcPr>
            <w:tcW w:w="3600" w:type="dxa"/>
            <w:tcMar>
              <w:top w:w="70" w:type="dxa"/>
              <w:left w:w="100" w:type="dxa"/>
              <w:bottom w:w="70" w:type="dxa"/>
              <w:right w:w="100" w:type="dxa"/>
            </w:tcMar>
          </w:tcPr>
          <w:p w14:paraId="0476BFE1" w14:textId="77777777" w:rsidR="00F67131" w:rsidRDefault="00000000">
            <w:pPr>
              <w:spacing w:before="40" w:after="40" w:line="240" w:lineRule="auto"/>
              <w:jc w:val="both"/>
            </w:pPr>
            <w:r>
              <w:rPr>
                <w:rFonts w:ascii="Times New Roman" w:hAnsi="Times New Roman"/>
                <w:color w:val="262626"/>
                <w:sz w:val="18"/>
              </w:rPr>
              <w:t>Áp lực KPI tăng trưởng tín dụng và ROE cao; tách bạch RM và Phê duyệt tập trung (Hub) giúp kiểm soát rủi ro đạo đức cấp cơ sở.</w:t>
            </w:r>
          </w:p>
        </w:tc>
      </w:tr>
      <w:tr w:rsidR="00F67131" w14:paraId="0F182C51" w14:textId="77777777">
        <w:trPr>
          <w:cantSplit/>
          <w:jc w:val="center"/>
        </w:trPr>
        <w:tc>
          <w:tcPr>
            <w:tcW w:w="2592" w:type="dxa"/>
            <w:tcMar>
              <w:top w:w="70" w:type="dxa"/>
              <w:left w:w="100" w:type="dxa"/>
              <w:bottom w:w="70" w:type="dxa"/>
              <w:right w:w="100" w:type="dxa"/>
            </w:tcMar>
          </w:tcPr>
          <w:p w14:paraId="0C9CDF73" w14:textId="77777777" w:rsidR="00F67131" w:rsidRDefault="00000000">
            <w:pPr>
              <w:spacing w:before="40" w:after="40" w:line="240" w:lineRule="auto"/>
              <w:jc w:val="both"/>
            </w:pPr>
            <w:r>
              <w:rPr>
                <w:rFonts w:ascii="Times New Roman" w:hAnsi="Times New Roman"/>
                <w:color w:val="262626"/>
                <w:sz w:val="18"/>
              </w:rPr>
              <w:t>2. Đánh giá rủi ro</w:t>
            </w:r>
          </w:p>
        </w:tc>
        <w:tc>
          <w:tcPr>
            <w:tcW w:w="3600" w:type="dxa"/>
            <w:tcMar>
              <w:top w:w="70" w:type="dxa"/>
              <w:left w:w="100" w:type="dxa"/>
              <w:bottom w:w="70" w:type="dxa"/>
              <w:right w:w="100" w:type="dxa"/>
            </w:tcMar>
          </w:tcPr>
          <w:p w14:paraId="7934EBCE" w14:textId="77777777" w:rsidR="00F67131" w:rsidRDefault="00000000">
            <w:pPr>
              <w:spacing w:before="40" w:after="40" w:line="240" w:lineRule="auto"/>
              <w:jc w:val="both"/>
            </w:pPr>
            <w:r>
              <w:rPr>
                <w:rFonts w:ascii="Times New Roman" w:hAnsi="Times New Roman"/>
                <w:color w:val="262626"/>
                <w:sz w:val="18"/>
              </w:rPr>
              <w:t>Tập trung 61,7%–70% vào Tam nông nên nhạy cảm với cú sốc thiên tai (bão Yagi 2024); phụ thuộc cao vào TSBĐ đất nông nghiệp thanh khoản thấp.</w:t>
            </w:r>
          </w:p>
        </w:tc>
        <w:tc>
          <w:tcPr>
            <w:tcW w:w="3600" w:type="dxa"/>
            <w:tcMar>
              <w:top w:w="70" w:type="dxa"/>
              <w:left w:w="100" w:type="dxa"/>
              <w:bottom w:w="70" w:type="dxa"/>
              <w:right w:w="100" w:type="dxa"/>
            </w:tcMar>
          </w:tcPr>
          <w:p w14:paraId="7E474467" w14:textId="77777777" w:rsidR="00F67131" w:rsidRDefault="00000000">
            <w:pPr>
              <w:spacing w:before="40" w:after="40" w:line="240" w:lineRule="auto"/>
              <w:jc w:val="both"/>
            </w:pPr>
            <w:r>
              <w:rPr>
                <w:rFonts w:ascii="Times New Roman" w:hAnsi="Times New Roman"/>
                <w:color w:val="262626"/>
                <w:sz w:val="18"/>
              </w:rPr>
              <w:t>Giai đoạn 2020–2022 mở rộng nhanh vào TPDN (46.870 tỷ năm 2022) và tín chấp MCredit (NPL 6,2%–8,5%); đã cắt giảm 50,1% TPDN đến 2025.</w:t>
            </w:r>
          </w:p>
        </w:tc>
      </w:tr>
      <w:tr w:rsidR="00F67131" w14:paraId="58EC4383" w14:textId="77777777">
        <w:trPr>
          <w:cantSplit/>
          <w:jc w:val="center"/>
        </w:trPr>
        <w:tc>
          <w:tcPr>
            <w:tcW w:w="2592" w:type="dxa"/>
            <w:tcMar>
              <w:top w:w="70" w:type="dxa"/>
              <w:left w:w="100" w:type="dxa"/>
              <w:bottom w:w="70" w:type="dxa"/>
              <w:right w:w="100" w:type="dxa"/>
            </w:tcMar>
          </w:tcPr>
          <w:p w14:paraId="2D68CD82" w14:textId="77777777" w:rsidR="00F67131" w:rsidRDefault="00000000">
            <w:pPr>
              <w:spacing w:before="40" w:after="40" w:line="240" w:lineRule="auto"/>
              <w:jc w:val="both"/>
            </w:pPr>
            <w:r>
              <w:rPr>
                <w:rFonts w:ascii="Times New Roman" w:hAnsi="Times New Roman"/>
                <w:color w:val="262626"/>
                <w:sz w:val="18"/>
              </w:rPr>
              <w:t>3. Hoạt động kiểm soát</w:t>
            </w:r>
          </w:p>
        </w:tc>
        <w:tc>
          <w:tcPr>
            <w:tcW w:w="3600" w:type="dxa"/>
            <w:tcMar>
              <w:top w:w="70" w:type="dxa"/>
              <w:left w:w="100" w:type="dxa"/>
              <w:bottom w:w="70" w:type="dxa"/>
              <w:right w:w="100" w:type="dxa"/>
            </w:tcMar>
          </w:tcPr>
          <w:p w14:paraId="28A0C2E7" w14:textId="77777777" w:rsidR="00F67131" w:rsidRDefault="00000000">
            <w:pPr>
              <w:spacing w:before="40" w:after="40" w:line="240" w:lineRule="auto"/>
              <w:jc w:val="both"/>
            </w:pPr>
            <w:r>
              <w:rPr>
                <w:rFonts w:ascii="Times New Roman" w:hAnsi="Times New Roman"/>
                <w:color w:val="262626"/>
                <w:sz w:val="18"/>
              </w:rPr>
              <w:t>Nợ nhóm 5 chiếm 67%–79% nợ xấu do thủ tục phát mại TSBĐ kéo dài; trích lập dự phòng dày (LLCR 146,3%) và xóa nợ 32.621 tỷ năm 2025.</w:t>
            </w:r>
          </w:p>
        </w:tc>
        <w:tc>
          <w:tcPr>
            <w:tcW w:w="3600" w:type="dxa"/>
            <w:tcMar>
              <w:top w:w="70" w:type="dxa"/>
              <w:left w:w="100" w:type="dxa"/>
              <w:bottom w:w="70" w:type="dxa"/>
              <w:right w:w="100" w:type="dxa"/>
            </w:tcMar>
          </w:tcPr>
          <w:p w14:paraId="3A61E71E" w14:textId="77777777" w:rsidR="00F67131" w:rsidRDefault="00000000">
            <w:pPr>
              <w:spacing w:before="40" w:after="40" w:line="240" w:lineRule="auto"/>
              <w:jc w:val="both"/>
            </w:pPr>
            <w:r>
              <w:rPr>
                <w:rFonts w:ascii="Times New Roman" w:hAnsi="Times New Roman"/>
                <w:color w:val="262626"/>
                <w:sz w:val="18"/>
              </w:rPr>
              <w:t>Tự động hóa chấm điểm Scorecard và eKYC tại MCredit; xóa nợ hợp nhất 12.185 tỷ năm 2025 nhưng để LLCR hợp nhất giảm về 92,2%–93,7%.</w:t>
            </w:r>
          </w:p>
        </w:tc>
      </w:tr>
      <w:tr w:rsidR="00F67131" w14:paraId="42BBE0A2" w14:textId="77777777">
        <w:trPr>
          <w:cantSplit/>
          <w:jc w:val="center"/>
        </w:trPr>
        <w:tc>
          <w:tcPr>
            <w:tcW w:w="2592" w:type="dxa"/>
            <w:tcMar>
              <w:top w:w="70" w:type="dxa"/>
              <w:left w:w="100" w:type="dxa"/>
              <w:bottom w:w="70" w:type="dxa"/>
              <w:right w:w="100" w:type="dxa"/>
            </w:tcMar>
          </w:tcPr>
          <w:p w14:paraId="7AE6DBB7" w14:textId="77777777" w:rsidR="00F67131" w:rsidRDefault="00000000">
            <w:pPr>
              <w:spacing w:before="40" w:after="40" w:line="240" w:lineRule="auto"/>
              <w:jc w:val="both"/>
            </w:pPr>
            <w:r>
              <w:rPr>
                <w:rFonts w:ascii="Times New Roman" w:hAnsi="Times New Roman"/>
                <w:color w:val="262626"/>
                <w:sz w:val="18"/>
              </w:rPr>
              <w:t>4. Thông tin &amp; Truyền thông</w:t>
            </w:r>
          </w:p>
        </w:tc>
        <w:tc>
          <w:tcPr>
            <w:tcW w:w="3600" w:type="dxa"/>
            <w:tcMar>
              <w:top w:w="70" w:type="dxa"/>
              <w:left w:w="100" w:type="dxa"/>
              <w:bottom w:w="70" w:type="dxa"/>
              <w:right w:w="100" w:type="dxa"/>
            </w:tcMar>
          </w:tcPr>
          <w:p w14:paraId="0588079A" w14:textId="77777777" w:rsidR="00F67131" w:rsidRDefault="00000000">
            <w:pPr>
              <w:spacing w:before="40" w:after="40" w:line="240" w:lineRule="auto"/>
              <w:jc w:val="both"/>
            </w:pPr>
            <w:r>
              <w:rPr>
                <w:rFonts w:ascii="Times New Roman" w:hAnsi="Times New Roman"/>
                <w:color w:val="262626"/>
                <w:sz w:val="18"/>
              </w:rPr>
              <w:t>Hiện đại hóa hệ thống cảnh báo sớm nhưng dữ liệu khách hàng nông hộ nhỏ lẻ vẫn phân tán, chưa lượng hóa đầy đủ PD/LGD theo chuẩn IRB.</w:t>
            </w:r>
          </w:p>
        </w:tc>
        <w:tc>
          <w:tcPr>
            <w:tcW w:w="3600" w:type="dxa"/>
            <w:tcMar>
              <w:top w:w="70" w:type="dxa"/>
              <w:left w:w="100" w:type="dxa"/>
              <w:bottom w:w="70" w:type="dxa"/>
              <w:right w:w="100" w:type="dxa"/>
            </w:tcMar>
          </w:tcPr>
          <w:p w14:paraId="4E9845D5" w14:textId="77777777" w:rsidR="00F67131" w:rsidRDefault="00000000">
            <w:pPr>
              <w:spacing w:before="40" w:after="40" w:line="240" w:lineRule="auto"/>
              <w:jc w:val="both"/>
            </w:pPr>
            <w:r>
              <w:rPr>
                <w:rFonts w:ascii="Times New Roman" w:hAnsi="Times New Roman"/>
                <w:color w:val="262626"/>
                <w:sz w:val="18"/>
              </w:rPr>
              <w:t>Hệ thống OFSAA/ICAAP hiện đại; tuy nhiên năm 2023 chịu tác động mạnh từ hiệu ứng nhảy nhóm nợ liên đới qua hệ thống CIC.</w:t>
            </w:r>
          </w:p>
        </w:tc>
      </w:tr>
      <w:tr w:rsidR="00F67131" w14:paraId="6B33AAB4" w14:textId="77777777">
        <w:trPr>
          <w:cantSplit/>
          <w:jc w:val="center"/>
        </w:trPr>
        <w:tc>
          <w:tcPr>
            <w:tcW w:w="2592" w:type="dxa"/>
            <w:tcMar>
              <w:top w:w="70" w:type="dxa"/>
              <w:left w:w="100" w:type="dxa"/>
              <w:bottom w:w="70" w:type="dxa"/>
              <w:right w:w="100" w:type="dxa"/>
            </w:tcMar>
          </w:tcPr>
          <w:p w14:paraId="3CA5820A" w14:textId="77777777" w:rsidR="00F67131" w:rsidRDefault="00000000">
            <w:pPr>
              <w:spacing w:before="40" w:after="40" w:line="240" w:lineRule="auto"/>
              <w:jc w:val="both"/>
            </w:pPr>
            <w:r>
              <w:rPr>
                <w:rFonts w:ascii="Times New Roman" w:hAnsi="Times New Roman"/>
                <w:color w:val="262626"/>
                <w:sz w:val="18"/>
              </w:rPr>
              <w:t>5. Hoạt động giám sát</w:t>
            </w:r>
          </w:p>
        </w:tc>
        <w:tc>
          <w:tcPr>
            <w:tcW w:w="3600" w:type="dxa"/>
            <w:tcMar>
              <w:top w:w="70" w:type="dxa"/>
              <w:left w:w="100" w:type="dxa"/>
              <w:bottom w:w="70" w:type="dxa"/>
              <w:right w:w="100" w:type="dxa"/>
            </w:tcMar>
          </w:tcPr>
          <w:p w14:paraId="347A95A5" w14:textId="77777777" w:rsidR="00F67131" w:rsidRDefault="00000000">
            <w:pPr>
              <w:spacing w:before="40" w:after="40" w:line="240" w:lineRule="auto"/>
              <w:jc w:val="both"/>
            </w:pPr>
            <w:r>
              <w:rPr>
                <w:rFonts w:ascii="Times New Roman" w:hAnsi="Times New Roman"/>
                <w:color w:val="262626"/>
                <w:sz w:val="18"/>
              </w:rPr>
              <w:t>Chịu sự giám sát chặt của NHNN và Kiểm toán Nhà nước (điều chỉnh hồi tố BCTC 2021–2024); thu hồi nợ ngoại bảng đạt 12.123–16.305 tỷ năm 2025.</w:t>
            </w:r>
          </w:p>
        </w:tc>
        <w:tc>
          <w:tcPr>
            <w:tcW w:w="3600" w:type="dxa"/>
            <w:tcMar>
              <w:top w:w="70" w:type="dxa"/>
              <w:left w:w="100" w:type="dxa"/>
              <w:bottom w:w="70" w:type="dxa"/>
              <w:right w:w="100" w:type="dxa"/>
            </w:tcMar>
          </w:tcPr>
          <w:p w14:paraId="5DCBB6E0" w14:textId="77777777" w:rsidR="00F67131" w:rsidRDefault="00000000">
            <w:pPr>
              <w:spacing w:before="40" w:after="40" w:line="240" w:lineRule="auto"/>
              <w:jc w:val="both"/>
            </w:pPr>
            <w:r>
              <w:rPr>
                <w:rFonts w:ascii="Times New Roman" w:hAnsi="Times New Roman"/>
                <w:color w:val="262626"/>
                <w:sz w:val="18"/>
              </w:rPr>
              <w:t>Kiểm toán nội bộ dựa trên dữ liệu (Audit Analytics); BCTC hợp nhất không bao gồm MBV (Điều 185 Luật Các TCTD 2024) nên cần giám sát rủi ro liên đới ngoài phạm vi hợp nhất.</w:t>
            </w:r>
          </w:p>
        </w:tc>
      </w:tr>
    </w:tbl>
    <w:p w14:paraId="3828BAD8" w14:textId="77777777" w:rsidR="00F67131" w:rsidRDefault="00000000">
      <w:pPr>
        <w:spacing w:after="80" w:line="300" w:lineRule="auto"/>
        <w:jc w:val="both"/>
      </w:pPr>
      <w:r>
        <w:rPr>
          <w:rFonts w:ascii="Times New Roman" w:hAnsi="Times New Roman"/>
          <w:b/>
          <w:i/>
          <w:sz w:val="21"/>
        </w:rPr>
        <w:t xml:space="preserve">Nguồn: </w:t>
      </w:r>
      <w:r>
        <w:rPr>
          <w:rFonts w:ascii="Times New Roman" w:hAnsi="Times New Roman"/>
          <w:i/>
          <w:sz w:val="21"/>
        </w:rPr>
        <w:t>Tổng hợp và phân tích của nhóm nghiên cứu theo Khung Kiểm soát Nội bộ COSO (2013) từ dữ liệu BCTC kiểm toán 2020–2025 và hồ sơ các vụ việc thực tiễn.</w:t>
      </w:r>
    </w:p>
    <w:p>
      <w:pPr>
        <w:pStyle w:val="Heading1"/>
        <w:keepNext/>
        <w:pageBreakBefore/>
        <w:spacing w:before="320" w:after="120"/>
        <w:outlineLvl w:val="0"/>
      </w:pPr>
      <w:r>
        <w:rPr>
          <w:rFonts w:ascii="Times New Roman" w:hAnsi="Times New Roman"/>
          <w:b/>
          <w:i w:val="0"/>
          <w:color w:val="002060"/>
          <w:sz w:val="27"/>
        </w:rPr>
        <w:t>PHẦN VI. SO SÁNH HAI MÔ HÌNH VÀ HỆ THỐNG KHUYẾN NGHỊ QUẢN TRỊ NÂNG CAO</w:t>
      </w:r>
    </w:p>
    <w:p>
      <w:pPr>
        <w:pStyle w:val="Heading2"/>
        <w:keepNext/>
        <w:spacing w:before="240" w:after="80"/>
        <w:outlineLvl w:val="1"/>
      </w:pPr>
      <w:r>
        <w:rPr>
          <w:rFonts w:ascii="Times New Roman" w:hAnsi="Times New Roman"/>
          <w:b/>
          <w:i w:val="0"/>
          <w:color w:val="0F4C81"/>
          <w:sz w:val="24"/>
        </w:rPr>
        <w:t>6.1. Ma trận đối thoại học thuật: Mô hình Phòng thủ Thể chế vs Mô hình Đổi mới Tối ưu hóa Lợi nhuận</w:t>
      </w:r>
    </w:p>
    <w:p w14:paraId="1FF9CC2F" w14:textId="77777777" w:rsidR="00F67131" w:rsidRDefault="00000000">
      <w:pPr>
        <w:spacing w:after="80" w:line="300" w:lineRule="auto"/>
        <w:jc w:val="both"/>
      </w:pPr>
      <w:r>
        <w:rPr>
          <w:rFonts w:ascii="Times New Roman" w:hAnsi="Times New Roman"/>
          <w:b/>
          <w:color w:val="262626"/>
        </w:rPr>
        <w:t xml:space="preserve">Tổng hợp Đối thoại Học thuật: </w:t>
      </w:r>
      <w:r>
        <w:rPr>
          <w:rFonts w:ascii="Times New Roman" w:hAnsi="Times New Roman"/>
          <w:color w:val="262626"/>
        </w:rPr>
        <w:t>Từ các phân tích thực chứng và mô hình hóa định lượng, nghiên cứu đúc kết cuộc đối thoại học thuật giữa hai mô hình quản trị rủi ro tín dụng đại diện cho hai triết lý ngân hàng tại Việt Nam:</w:t>
      </w:r>
    </w:p>
    <w:p>
      <w:pPr>
        <w:keepNext/>
        <w:pageBreakBefore w:val="0"/>
        <w:spacing w:before="200" w:after="80" w:line="276" w:lineRule="auto"/>
        <w:jc w:val="left"/>
      </w:pPr>
      <w:r>
        <w:rPr>
          <w:rFonts w:ascii="Times New Roman" w:hAnsi="Times New Roman"/>
          <w:b/>
          <w:i w:val="0"/>
          <w:color w:val="002060"/>
          <w:sz w:val="22"/>
        </w:rPr>
        <w:t>Bảng 11. So sánh đối chiếu toàn diện hai triết lý quản trị rủi ro tín dụng (Agribank vs MB)</w:t>
      </w:r>
    </w:p>
    <w:tbl>
      <w:tblPr>
        <w:tblW w:w="0" w:type="auto"/>
        <w:jc w:val="center"/>
        <w:tblBorders>
          <w:top w:val="single" w:sz="6" w:space="0" w:color="1B365D"/>
          <w:bottom w:val="single" w:sz="6" w:space="0" w:color="1B365D"/>
          <w:insideH w:val="single" w:sz="4" w:space="0" w:color="E0E0E0"/>
        </w:tblBorders>
        <w:tblLook w:val="04A0" w:firstRow="1" w:lastRow="0" w:firstColumn="1" w:lastColumn="0" w:noHBand="0" w:noVBand="1"/>
      </w:tblPr>
      <w:tblGrid>
        <w:gridCol w:w="2725"/>
        <w:gridCol w:w="3279"/>
        <w:gridCol w:w="3268"/>
      </w:tblGrid>
      <w:tr w:rsidR="00F67131" w14:paraId="37A377CD" w14:textId="77777777">
        <w:trPr>
          <w:cantSplit/>
          <w:tblHeader/>
          <w:jc w:val="center"/>
        </w:trPr>
        <w:tc>
          <w:tcPr>
            <w:tcW w:w="2880" w:type="dxa"/>
            <w:shd w:val="clear" w:color="auto" w:fill="1B365D"/>
            <w:tcMar>
              <w:top w:w="70" w:type="dxa"/>
              <w:left w:w="100" w:type="dxa"/>
              <w:bottom w:w="70" w:type="dxa"/>
              <w:right w:w="100" w:type="dxa"/>
            </w:tcMar>
          </w:tcPr>
          <w:p w14:paraId="1D13844F" w14:textId="77777777" w:rsidR="00F67131" w:rsidRDefault="00000000">
            <w:pPr>
              <w:spacing w:before="40" w:after="40" w:line="240" w:lineRule="auto"/>
              <w:jc w:val="both"/>
            </w:pPr>
            <w:r>
              <w:rPr>
                <w:rFonts w:ascii="Times New Roman" w:hAnsi="Times New Roman"/>
                <w:b/>
                <w:color w:val="FFFFFF"/>
                <w:sz w:val="19"/>
              </w:rPr>
              <w:t>Khía cạnh học thuật</w:t>
            </w:r>
          </w:p>
        </w:tc>
        <w:tc>
          <w:tcPr>
            <w:tcW w:w="3456" w:type="dxa"/>
            <w:shd w:val="clear" w:color="auto" w:fill="1B365D"/>
            <w:tcMar>
              <w:top w:w="70" w:type="dxa"/>
              <w:left w:w="100" w:type="dxa"/>
              <w:bottom w:w="70" w:type="dxa"/>
              <w:right w:w="100" w:type="dxa"/>
            </w:tcMar>
          </w:tcPr>
          <w:p w14:paraId="10C77B08" w14:textId="77777777" w:rsidR="00F67131" w:rsidRDefault="00000000">
            <w:pPr>
              <w:spacing w:before="40" w:after="40" w:line="240" w:lineRule="auto"/>
              <w:jc w:val="both"/>
            </w:pPr>
            <w:r>
              <w:rPr>
                <w:rFonts w:ascii="Times New Roman" w:hAnsi="Times New Roman"/>
                <w:b/>
                <w:color w:val="FFFFFF"/>
                <w:sz w:val="19"/>
              </w:rPr>
              <w:t>Agribank (Mô hình Phòng thủ Thể chế)</w:t>
            </w:r>
          </w:p>
        </w:tc>
        <w:tc>
          <w:tcPr>
            <w:tcW w:w="3456" w:type="dxa"/>
            <w:shd w:val="clear" w:color="auto" w:fill="1B365D"/>
            <w:tcMar>
              <w:top w:w="70" w:type="dxa"/>
              <w:left w:w="100" w:type="dxa"/>
              <w:bottom w:w="70" w:type="dxa"/>
              <w:right w:w="100" w:type="dxa"/>
            </w:tcMar>
          </w:tcPr>
          <w:p w14:paraId="4FC79B73" w14:textId="77777777" w:rsidR="00F67131" w:rsidRDefault="00000000">
            <w:pPr>
              <w:spacing w:before="40" w:after="40" w:line="240" w:lineRule="auto"/>
              <w:jc w:val="both"/>
            </w:pPr>
            <w:r>
              <w:rPr>
                <w:rFonts w:ascii="Times New Roman" w:hAnsi="Times New Roman"/>
                <w:b/>
                <w:color w:val="FFFFFF"/>
                <w:sz w:val="19"/>
              </w:rPr>
              <w:t>MB (Mô hình Đổi mới Thị trường)</w:t>
            </w:r>
          </w:p>
        </w:tc>
      </w:tr>
      <w:tr w:rsidR="00F67131" w14:paraId="1DCC6428" w14:textId="77777777">
        <w:trPr>
          <w:cantSplit/>
          <w:jc w:val="center"/>
        </w:trPr>
        <w:tc>
          <w:tcPr>
            <w:tcW w:w="2880" w:type="dxa"/>
            <w:tcMar>
              <w:top w:w="70" w:type="dxa"/>
              <w:left w:w="100" w:type="dxa"/>
              <w:bottom w:w="70" w:type="dxa"/>
              <w:right w:w="100" w:type="dxa"/>
            </w:tcMar>
          </w:tcPr>
          <w:p w14:paraId="1537B1F7" w14:textId="77777777" w:rsidR="00F67131" w:rsidRDefault="00000000">
            <w:pPr>
              <w:spacing w:before="40" w:after="40" w:line="240" w:lineRule="auto"/>
              <w:jc w:val="both"/>
            </w:pPr>
            <w:r>
              <w:rPr>
                <w:rFonts w:ascii="Times New Roman" w:hAnsi="Times New Roman"/>
                <w:color w:val="262626"/>
                <w:sz w:val="18"/>
              </w:rPr>
              <w:t>1. Triết lý quản trị cốt lõi</w:t>
            </w:r>
          </w:p>
        </w:tc>
        <w:tc>
          <w:tcPr>
            <w:tcW w:w="3456" w:type="dxa"/>
            <w:tcMar>
              <w:top w:w="70" w:type="dxa"/>
              <w:left w:w="100" w:type="dxa"/>
              <w:bottom w:w="70" w:type="dxa"/>
              <w:right w:w="100" w:type="dxa"/>
            </w:tcMar>
          </w:tcPr>
          <w:p w14:paraId="14B316F1" w14:textId="77777777" w:rsidR="00F67131" w:rsidRDefault="00000000">
            <w:pPr>
              <w:spacing w:before="40" w:after="40" w:line="240" w:lineRule="auto"/>
              <w:jc w:val="both"/>
            </w:pPr>
            <w:r>
              <w:rPr>
                <w:rFonts w:ascii="Times New Roman" w:hAnsi="Times New Roman"/>
                <w:color w:val="262626"/>
                <w:sz w:val="18"/>
              </w:rPr>
              <w:t>Bảo toàn vốn và tuân thủ; chấp nhận chi phí vận hành cao để duy trì mạng lưới.</w:t>
            </w:r>
          </w:p>
        </w:tc>
        <w:tc>
          <w:tcPr>
            <w:tcW w:w="3456" w:type="dxa"/>
            <w:tcMar>
              <w:top w:w="70" w:type="dxa"/>
              <w:left w:w="100" w:type="dxa"/>
              <w:bottom w:w="70" w:type="dxa"/>
              <w:right w:w="100" w:type="dxa"/>
            </w:tcMar>
          </w:tcPr>
          <w:p w14:paraId="3583D698" w14:textId="77777777" w:rsidR="00F67131" w:rsidRDefault="00000000">
            <w:pPr>
              <w:spacing w:before="40" w:after="40" w:line="240" w:lineRule="auto"/>
              <w:jc w:val="both"/>
            </w:pPr>
            <w:r>
              <w:rPr>
                <w:rFonts w:ascii="Times New Roman" w:hAnsi="Times New Roman"/>
                <w:color w:val="262626"/>
                <w:sz w:val="18"/>
              </w:rPr>
              <w:t>Tối đa hóa giá trị cổ đông (ROE); chấp nhận rủi ro tín dụng để đạt lợi nhuận biên.</w:t>
            </w:r>
          </w:p>
        </w:tc>
      </w:tr>
      <w:tr w:rsidR="00F67131" w14:paraId="42862809" w14:textId="77777777">
        <w:trPr>
          <w:cantSplit/>
          <w:jc w:val="center"/>
        </w:trPr>
        <w:tc>
          <w:tcPr>
            <w:tcW w:w="2880" w:type="dxa"/>
            <w:tcMar>
              <w:top w:w="70" w:type="dxa"/>
              <w:left w:w="100" w:type="dxa"/>
              <w:bottom w:w="70" w:type="dxa"/>
              <w:right w:w="100" w:type="dxa"/>
            </w:tcMar>
          </w:tcPr>
          <w:p w14:paraId="452B0B54" w14:textId="77777777" w:rsidR="00F67131" w:rsidRDefault="00000000">
            <w:pPr>
              <w:spacing w:before="40" w:after="40" w:line="240" w:lineRule="auto"/>
              <w:jc w:val="both"/>
            </w:pPr>
            <w:r>
              <w:rPr>
                <w:rFonts w:ascii="Times New Roman" w:hAnsi="Times New Roman"/>
                <w:color w:val="262626"/>
                <w:sz w:val="18"/>
              </w:rPr>
              <w:t>2. Cấu trúc danh mục</w:t>
            </w:r>
          </w:p>
        </w:tc>
        <w:tc>
          <w:tcPr>
            <w:tcW w:w="3456" w:type="dxa"/>
            <w:tcMar>
              <w:top w:w="70" w:type="dxa"/>
              <w:left w:w="100" w:type="dxa"/>
              <w:bottom w:w="70" w:type="dxa"/>
              <w:right w:w="100" w:type="dxa"/>
            </w:tcMar>
          </w:tcPr>
          <w:p w14:paraId="1F5E6338" w14:textId="77777777" w:rsidR="00F67131" w:rsidRDefault="00000000">
            <w:pPr>
              <w:spacing w:before="40" w:after="40" w:line="240" w:lineRule="auto"/>
              <w:jc w:val="both"/>
            </w:pPr>
            <w:r>
              <w:rPr>
                <w:rFonts w:ascii="Times New Roman" w:hAnsi="Times New Roman"/>
                <w:color w:val="262626"/>
                <w:sz w:val="18"/>
              </w:rPr>
              <w:t>Phân tán cao (Granular); 64% nông nghiệp; TSBĐ là đất đai tính thanh khoản chậm.</w:t>
            </w:r>
          </w:p>
        </w:tc>
        <w:tc>
          <w:tcPr>
            <w:tcW w:w="3456" w:type="dxa"/>
            <w:tcMar>
              <w:top w:w="70" w:type="dxa"/>
              <w:left w:w="100" w:type="dxa"/>
              <w:bottom w:w="70" w:type="dxa"/>
              <w:right w:w="100" w:type="dxa"/>
            </w:tcMar>
          </w:tcPr>
          <w:p w14:paraId="03111CAF" w14:textId="77777777" w:rsidR="00F67131" w:rsidRDefault="00000000">
            <w:pPr>
              <w:spacing w:before="40" w:after="40" w:line="240" w:lineRule="auto"/>
              <w:jc w:val="both"/>
            </w:pPr>
            <w:r>
              <w:rPr>
                <w:rFonts w:ascii="Times New Roman" w:hAnsi="Times New Roman"/>
                <w:color w:val="262626"/>
                <w:sz w:val="18"/>
              </w:rPr>
              <w:t>Tập trung vào hệ sinh thái bán lẻ, chuỗi BĐS và TPDN; danh mục nhạy cảm vĩ mô.</w:t>
            </w:r>
          </w:p>
        </w:tc>
      </w:tr>
      <w:tr w:rsidR="00F67131" w14:paraId="301C3B8C" w14:textId="77777777">
        <w:trPr>
          <w:cantSplit/>
          <w:jc w:val="center"/>
        </w:trPr>
        <w:tc>
          <w:tcPr>
            <w:tcW w:w="2880" w:type="dxa"/>
            <w:tcMar>
              <w:top w:w="70" w:type="dxa"/>
              <w:left w:w="100" w:type="dxa"/>
              <w:bottom w:w="70" w:type="dxa"/>
              <w:right w:w="100" w:type="dxa"/>
            </w:tcMar>
          </w:tcPr>
          <w:p w14:paraId="2FBABF88" w14:textId="77777777" w:rsidR="00F67131" w:rsidRDefault="00000000">
            <w:pPr>
              <w:spacing w:before="40" w:after="40" w:line="240" w:lineRule="auto"/>
              <w:jc w:val="both"/>
            </w:pPr>
            <w:r>
              <w:rPr>
                <w:rFonts w:ascii="Times New Roman" w:hAnsi="Times New Roman"/>
                <w:color w:val="262626"/>
                <w:sz w:val="18"/>
              </w:rPr>
              <w:t>3. Hành vi trích lập dự phòng</w:t>
            </w:r>
          </w:p>
        </w:tc>
        <w:tc>
          <w:tcPr>
            <w:tcW w:w="3456" w:type="dxa"/>
            <w:tcMar>
              <w:top w:w="70" w:type="dxa"/>
              <w:left w:w="100" w:type="dxa"/>
              <w:bottom w:w="70" w:type="dxa"/>
              <w:right w:w="100" w:type="dxa"/>
            </w:tcMar>
          </w:tcPr>
          <w:p w14:paraId="2A52A238" w14:textId="77777777" w:rsidR="00F67131" w:rsidRDefault="00000000">
            <w:pPr>
              <w:spacing w:before="40" w:after="40" w:line="240" w:lineRule="auto"/>
              <w:jc w:val="both"/>
            </w:pPr>
            <w:r>
              <w:rPr>
                <w:rFonts w:ascii="Times New Roman" w:hAnsi="Times New Roman"/>
                <w:color w:val="262626"/>
                <w:sz w:val="18"/>
              </w:rPr>
              <w:t>Duy trì bộ đệm LLCR Hợp nhất vững chắc 113,6%–146,3%; xóa nợ 127.831 tỷ đồng lũy kế 6 năm và thu hồi nợ ngoại bảng tạo dòng tiền thật.</w:t>
            </w:r>
          </w:p>
        </w:tc>
        <w:tc>
          <w:tcPr>
            <w:tcW w:w="3456" w:type="dxa"/>
            <w:tcMar>
              <w:top w:w="70" w:type="dxa"/>
              <w:left w:w="100" w:type="dxa"/>
              <w:bottom w:w="70" w:type="dxa"/>
              <w:right w:w="100" w:type="dxa"/>
            </w:tcMar>
          </w:tcPr>
          <w:p w14:paraId="3F2601B4" w14:textId="77777777" w:rsidR="00F67131" w:rsidRDefault="00000000">
            <w:pPr>
              <w:spacing w:before="40" w:after="40" w:line="240" w:lineRule="auto"/>
              <w:jc w:val="both"/>
            </w:pPr>
            <w:r>
              <w:rPr>
                <w:rFonts w:ascii="Times New Roman" w:hAnsi="Times New Roman"/>
                <w:color w:val="262626"/>
                <w:sz w:val="18"/>
              </w:rPr>
              <w:t>Biến động mạnh theo chu kỳ: tích lũy dự phòng đỉnh 268,0% năm 2021 (Riêng lẻ 348,7%) rồi giảm trích lập năm 2023 và hạ LLCR về 92,2%–93,7% (2024–2025).</w:t>
            </w:r>
          </w:p>
        </w:tc>
      </w:tr>
      <w:tr w:rsidR="00F67131" w14:paraId="547E7495" w14:textId="77777777">
        <w:trPr>
          <w:cantSplit/>
          <w:jc w:val="center"/>
        </w:trPr>
        <w:tc>
          <w:tcPr>
            <w:tcW w:w="2880" w:type="dxa"/>
            <w:tcMar>
              <w:top w:w="70" w:type="dxa"/>
              <w:left w:w="100" w:type="dxa"/>
              <w:bottom w:w="70" w:type="dxa"/>
              <w:right w:w="100" w:type="dxa"/>
            </w:tcMar>
          </w:tcPr>
          <w:p w14:paraId="46252594" w14:textId="77777777" w:rsidR="00F67131" w:rsidRDefault="00000000">
            <w:pPr>
              <w:spacing w:before="40" w:after="40" w:line="240" w:lineRule="auto"/>
              <w:jc w:val="both"/>
            </w:pPr>
            <w:r>
              <w:rPr>
                <w:rFonts w:ascii="Times New Roman" w:hAnsi="Times New Roman"/>
                <w:color w:val="262626"/>
                <w:sz w:val="18"/>
              </w:rPr>
              <w:t>4. Cơ chế hấp thụ cú sốc</w:t>
            </w:r>
          </w:p>
        </w:tc>
        <w:tc>
          <w:tcPr>
            <w:tcW w:w="3456" w:type="dxa"/>
            <w:tcMar>
              <w:top w:w="70" w:type="dxa"/>
              <w:left w:w="100" w:type="dxa"/>
              <w:bottom w:w="70" w:type="dxa"/>
              <w:right w:w="100" w:type="dxa"/>
            </w:tcMar>
          </w:tcPr>
          <w:p w14:paraId="1A1F6FB1" w14:textId="77777777" w:rsidR="00F67131" w:rsidRDefault="00000000">
            <w:pPr>
              <w:spacing w:before="40" w:after="40" w:line="240" w:lineRule="auto"/>
              <w:jc w:val="both"/>
            </w:pPr>
            <w:r>
              <w:rPr>
                <w:rFonts w:ascii="Times New Roman" w:hAnsi="Times New Roman"/>
                <w:color w:val="262626"/>
                <w:sz w:val="18"/>
              </w:rPr>
              <w:t>Danh mục phân tán giảm nguy cơ vỡ nợ diện rộng; CAR 9,20%–11,36% (TT 41, 2023–2025) phụ thuộc vốn cấp từ ngân sách.</w:t>
            </w:r>
          </w:p>
        </w:tc>
        <w:tc>
          <w:tcPr>
            <w:tcW w:w="3456" w:type="dxa"/>
            <w:tcMar>
              <w:top w:w="70" w:type="dxa"/>
              <w:left w:w="100" w:type="dxa"/>
              <w:bottom w:w="70" w:type="dxa"/>
              <w:right w:w="100" w:type="dxa"/>
            </w:tcMar>
          </w:tcPr>
          <w:p w14:paraId="430C935F" w14:textId="77777777" w:rsidR="00F67131" w:rsidRDefault="00000000">
            <w:pPr>
              <w:spacing w:before="40" w:after="40" w:line="240" w:lineRule="auto"/>
              <w:jc w:val="both"/>
            </w:pPr>
            <w:r>
              <w:rPr>
                <w:rFonts w:ascii="Times New Roman" w:hAnsi="Times New Roman"/>
                <w:color w:val="262626"/>
                <w:sz w:val="18"/>
              </w:rPr>
              <w:t>CAR 10,42%–11,80% (TT 41), tự bổ sung vốn từ lợi nhuận giữ lại; lợi nhuận giảm mạnh khi có cú sốc.</w:t>
            </w:r>
          </w:p>
        </w:tc>
      </w:tr>
      <w:tr w:rsidR="00F67131" w14:paraId="40C56D14" w14:textId="77777777">
        <w:trPr>
          <w:cantSplit/>
          <w:jc w:val="center"/>
        </w:trPr>
        <w:tc>
          <w:tcPr>
            <w:tcW w:w="2880" w:type="dxa"/>
            <w:tcMar>
              <w:top w:w="70" w:type="dxa"/>
              <w:left w:w="100" w:type="dxa"/>
              <w:bottom w:w="70" w:type="dxa"/>
              <w:right w:w="100" w:type="dxa"/>
            </w:tcMar>
          </w:tcPr>
          <w:p w14:paraId="124B6680" w14:textId="77777777" w:rsidR="00F67131" w:rsidRDefault="00000000">
            <w:pPr>
              <w:spacing w:before="40" w:after="40" w:line="240" w:lineRule="auto"/>
              <w:jc w:val="both"/>
            </w:pPr>
            <w:r>
              <w:rPr>
                <w:rFonts w:ascii="Times New Roman" w:hAnsi="Times New Roman"/>
                <w:color w:val="262626"/>
                <w:sz w:val="18"/>
              </w:rPr>
              <w:t>5. Độ nhạy trước IFRS 9</w:t>
            </w:r>
          </w:p>
        </w:tc>
        <w:tc>
          <w:tcPr>
            <w:tcW w:w="3456" w:type="dxa"/>
            <w:tcMar>
              <w:top w:w="70" w:type="dxa"/>
              <w:left w:w="100" w:type="dxa"/>
              <w:bottom w:w="70" w:type="dxa"/>
              <w:right w:w="100" w:type="dxa"/>
            </w:tcMar>
          </w:tcPr>
          <w:p w14:paraId="71A80554" w14:textId="77777777" w:rsidR="00F67131" w:rsidRDefault="00000000">
            <w:pPr>
              <w:spacing w:before="40" w:after="40" w:line="240" w:lineRule="auto"/>
              <w:jc w:val="both"/>
            </w:pPr>
            <w:r>
              <w:rPr>
                <w:rFonts w:ascii="Times New Roman" w:hAnsi="Times New Roman"/>
                <w:color w:val="262626"/>
                <w:sz w:val="18"/>
              </w:rPr>
              <w:t>Ít bị ảnh hưởng (thiếu hụt +9,8% tương đương +3.660 tỷ DP, CAR chỉ giảm 15 bps từ 10,22% về 10,07%) nhờ LLCR hiện hữu 146,3% và 88%–92% TSBĐ là bất động sản.</w:t>
            </w:r>
          </w:p>
        </w:tc>
        <w:tc>
          <w:tcPr>
            <w:tcW w:w="3456" w:type="dxa"/>
            <w:tcMar>
              <w:top w:w="70" w:type="dxa"/>
              <w:left w:w="100" w:type="dxa"/>
              <w:bottom w:w="70" w:type="dxa"/>
              <w:right w:w="100" w:type="dxa"/>
            </w:tcMar>
          </w:tcPr>
          <w:p w14:paraId="55E156A2" w14:textId="77777777" w:rsidR="00F67131" w:rsidRDefault="00000000">
            <w:pPr>
              <w:spacing w:before="40" w:after="40" w:line="240" w:lineRule="auto"/>
              <w:jc w:val="both"/>
            </w:pPr>
            <w:r>
              <w:rPr>
                <w:rFonts w:ascii="Times New Roman" w:hAnsi="Times New Roman"/>
                <w:color w:val="262626"/>
                <w:sz w:val="18"/>
              </w:rPr>
              <w:t>Chịu tác động lớn (thiếu hụt +106,5% tương đương +14.006 tỷ DP, CAR giảm 103 bps từ 11,00% về 9,97%) do LLCR hiện hữu 93,7%, danh mục tín chấp MCredit và TPDN.</w:t>
            </w:r>
          </w:p>
        </w:tc>
      </w:tr>
      <w:tr w:rsidR="00F67131" w14:paraId="29D43AEC" w14:textId="77777777">
        <w:trPr>
          <w:cantSplit/>
          <w:jc w:val="center"/>
        </w:trPr>
        <w:tc>
          <w:tcPr>
            <w:tcW w:w="2880" w:type="dxa"/>
            <w:tcMar>
              <w:top w:w="70" w:type="dxa"/>
              <w:left w:w="100" w:type="dxa"/>
              <w:bottom w:w="70" w:type="dxa"/>
              <w:right w:w="100" w:type="dxa"/>
            </w:tcMar>
          </w:tcPr>
          <w:p w14:paraId="70F66524" w14:textId="77777777" w:rsidR="00F67131" w:rsidRDefault="00000000">
            <w:pPr>
              <w:spacing w:before="40" w:after="40" w:line="240" w:lineRule="auto"/>
              <w:jc w:val="both"/>
            </w:pPr>
            <w:r>
              <w:rPr>
                <w:rFonts w:ascii="Times New Roman" w:hAnsi="Times New Roman"/>
                <w:color w:val="262626"/>
                <w:sz w:val="18"/>
              </w:rPr>
              <w:t>6. Đánh đổi chiến lược (Trade-off)</w:t>
            </w:r>
          </w:p>
        </w:tc>
        <w:tc>
          <w:tcPr>
            <w:tcW w:w="3456" w:type="dxa"/>
            <w:tcMar>
              <w:top w:w="70" w:type="dxa"/>
              <w:left w:w="100" w:type="dxa"/>
              <w:bottom w:w="70" w:type="dxa"/>
              <w:right w:w="100" w:type="dxa"/>
            </w:tcMar>
          </w:tcPr>
          <w:p w14:paraId="3792FDDB" w14:textId="77777777" w:rsidR="00F67131" w:rsidRDefault="00000000">
            <w:pPr>
              <w:spacing w:before="40" w:after="40" w:line="240" w:lineRule="auto"/>
              <w:jc w:val="both"/>
            </w:pPr>
            <w:r>
              <w:rPr>
                <w:rFonts w:ascii="Times New Roman" w:hAnsi="Times New Roman"/>
                <w:color w:val="262626"/>
                <w:sz w:val="18"/>
              </w:rPr>
              <w:t>RORAC proxy thấp hơn (10,8%–16,7%) để đổi lấy danh mục phân tán và LLCR trên 110%.</w:t>
            </w:r>
          </w:p>
        </w:tc>
        <w:tc>
          <w:tcPr>
            <w:tcW w:w="3456" w:type="dxa"/>
            <w:tcMar>
              <w:top w:w="70" w:type="dxa"/>
              <w:left w:w="100" w:type="dxa"/>
              <w:bottom w:w="70" w:type="dxa"/>
              <w:right w:w="100" w:type="dxa"/>
            </w:tcMar>
          </w:tcPr>
          <w:p w14:paraId="1D218411" w14:textId="77777777" w:rsidR="00F67131" w:rsidRDefault="00000000">
            <w:pPr>
              <w:spacing w:before="40" w:after="40" w:line="240" w:lineRule="auto"/>
              <w:jc w:val="both"/>
            </w:pPr>
            <w:r>
              <w:rPr>
                <w:rFonts w:ascii="Times New Roman" w:hAnsi="Times New Roman"/>
                <w:color w:val="262626"/>
                <w:sz w:val="18"/>
              </w:rPr>
              <w:t>RORAC proxy cao hơn (31,6%–49,3%) nhưng LLCR hợp nhất giảm xuống dưới 100% trong 2024–2025.</w:t>
            </w:r>
          </w:p>
        </w:tc>
      </w:tr>
      <w:tr w:rsidR="00F67131" w14:paraId="1AAC45E8" w14:textId="77777777">
        <w:trPr>
          <w:cantSplit/>
          <w:jc w:val="center"/>
        </w:trPr>
        <w:tc>
          <w:tcPr>
            <w:tcW w:w="2880" w:type="dxa"/>
            <w:tcMar>
              <w:top w:w="70" w:type="dxa"/>
              <w:left w:w="100" w:type="dxa"/>
              <w:bottom w:w="70" w:type="dxa"/>
              <w:right w:w="100" w:type="dxa"/>
            </w:tcMar>
          </w:tcPr>
          <w:p w14:paraId="4DE532CB" w14:textId="77777777" w:rsidR="00F67131" w:rsidRDefault="00000000">
            <w:pPr>
              <w:spacing w:before="40" w:after="40" w:line="240" w:lineRule="auto"/>
              <w:jc w:val="both"/>
            </w:pPr>
            <w:r>
              <w:rPr>
                <w:rFonts w:ascii="Times New Roman" w:hAnsi="Times New Roman"/>
                <w:color w:val="262626"/>
                <w:sz w:val="18"/>
              </w:rPr>
              <w:t>7. Rủi ro mô hình lớn nhất</w:t>
            </w:r>
          </w:p>
        </w:tc>
        <w:tc>
          <w:tcPr>
            <w:tcW w:w="3456" w:type="dxa"/>
            <w:tcMar>
              <w:top w:w="70" w:type="dxa"/>
              <w:left w:w="100" w:type="dxa"/>
              <w:bottom w:w="70" w:type="dxa"/>
              <w:right w:w="100" w:type="dxa"/>
            </w:tcMar>
          </w:tcPr>
          <w:p w14:paraId="6CDA8563" w14:textId="77777777" w:rsidR="00F67131" w:rsidRDefault="00000000">
            <w:pPr>
              <w:spacing w:before="40" w:after="40" w:line="240" w:lineRule="auto"/>
              <w:jc w:val="both"/>
            </w:pPr>
            <w:r>
              <w:rPr>
                <w:rFonts w:ascii="Times New Roman" w:hAnsi="Times New Roman"/>
                <w:color w:val="262626"/>
                <w:sz w:val="18"/>
              </w:rPr>
              <w:t>Rủi ro thanh khoản tài sản bảo đảm và rủi ro chậm trễ công nghệ số hóa.</w:t>
            </w:r>
          </w:p>
        </w:tc>
        <w:tc>
          <w:tcPr>
            <w:tcW w:w="3456" w:type="dxa"/>
            <w:tcMar>
              <w:top w:w="70" w:type="dxa"/>
              <w:left w:w="100" w:type="dxa"/>
              <w:bottom w:w="70" w:type="dxa"/>
              <w:right w:w="100" w:type="dxa"/>
            </w:tcMar>
          </w:tcPr>
          <w:p w14:paraId="163C1988" w14:textId="77777777" w:rsidR="00F67131" w:rsidRDefault="00000000">
            <w:pPr>
              <w:spacing w:before="40" w:after="40" w:line="240" w:lineRule="auto"/>
              <w:jc w:val="both"/>
            </w:pPr>
            <w:r>
              <w:rPr>
                <w:rFonts w:ascii="Times New Roman" w:hAnsi="Times New Roman"/>
                <w:color w:val="262626"/>
                <w:sz w:val="18"/>
              </w:rPr>
              <w:t>Rủi ro tập trung ngành chu kỳ và rủi ro vỡ nợ dây chuyền tại các công ty con.</w:t>
            </w:r>
          </w:p>
        </w:tc>
      </w:tr>
    </w:tbl>
    <w:p w14:paraId="5E02A467" w14:textId="77777777" w:rsidR="00F67131" w:rsidRDefault="00000000">
      <w:pPr>
        <w:spacing w:after="80" w:line="300" w:lineRule="auto"/>
        <w:jc w:val="both"/>
      </w:pPr>
      <w:r>
        <w:rPr>
          <w:rFonts w:ascii="Times New Roman" w:hAnsi="Times New Roman"/>
          <w:b/>
          <w:i/>
          <w:sz w:val="21"/>
        </w:rPr>
        <w:t xml:space="preserve">Nguồn: </w:t>
      </w:r>
      <w:r>
        <w:rPr>
          <w:rFonts w:ascii="Times New Roman" w:hAnsi="Times New Roman"/>
          <w:i/>
          <w:sz w:val="21"/>
        </w:rPr>
        <w:t>Tổng hợp kết quả nghiên cứu thực chứng và mô hình hóa định lượng giai đoạn 2020–2025 của nhóm tác giả.</w:t>
      </w:r>
    </w:p>
    <w:p>
      <w:pPr>
        <w:pStyle w:val="Heading3"/>
        <w:keepNext/>
        <w:spacing w:before="160" w:after="40"/>
        <w:outlineLvl w:val="2"/>
      </w:pPr>
      <w:r>
        <w:rPr>
          <w:rFonts w:ascii="Times New Roman" w:hAnsi="Times New Roman"/>
          <w:b/>
          <w:i/>
          <w:color w:val="000000"/>
          <w:sz w:val="22"/>
        </w:rPr>
        <w:t>Đánh giá tổng hợp công tác quản trị rủi ro tín dụng tại Agribank (2020–2025)</w:t>
      </w:r>
    </w:p>
    <w:p w14:paraId="4B05C8D9" w14:textId="77777777" w:rsidR="00F67131" w:rsidRDefault="00000000">
      <w:pPr>
        <w:spacing w:after="80" w:line="300" w:lineRule="auto"/>
        <w:jc w:val="both"/>
      </w:pPr>
      <w:r>
        <w:rPr>
          <w:rFonts w:ascii="Times New Roman" w:hAnsi="Times New Roman"/>
          <w:sz w:val="24"/>
        </w:rPr>
        <w:t xml:space="preserve">  • Kết quả đạt được: (1) Kiểm soát tỷ lệ nợ xấu nội bảng giảm thực chất về cuối chu kỳ: tính trên cùng cơ sở dư nợ cho vay hợp nhất, NPL của Agribank giảm từ 1,85% (2023) xuống 1,68% (2024) và 1,30% (2025 – tương ứng 1,17% theo chuẩn TT31 tại BCTN); nợ nhóm 2 giảm mạnh từ đỉnh 35.280 tỷ đồng năm 2022 (2,44% dư nợ) về 21.282 tỷ đồng năm 2025 (1,08%), đưa Tỷ lệ nợ có vấn đề (Nhóm 2–5) về mức thấp nhất 6 năm là 2,37%; (2) Xây dựng bộ đệm dự phòng vững chắc và nhất quán: Agribank duy trì tỷ lệ bao phủ nợ xấu (LLCR) hợp </w:t>
      </w:r>
      <w:r>
        <w:rPr>
          <w:rFonts w:ascii="Times New Roman" w:hAnsi="Times New Roman"/>
          <w:sz w:val="24"/>
        </w:rPr>
        <w:lastRenderedPageBreak/>
        <w:t>nhất luôn trên 113% suốt 6 năm và đạt đỉnh 146,3% năm 2025 (37.465 tỷ dự phòng / 25.610 tỷ nợ xấu), giúp ngân hàng chỉ thiếu hụt +9,8% dự phòng (+3.660 tỷ đồng) khi mô phỏng theo chuẩn IFRS 9; (3) Năng lực thu hồi nợ ngoại bảng tạo dòng tiền thực lớn: lũy kế 2020–2025, Agribank thu hồi được 59.453 tỷ đồng từ các khoản nợ đã xử lý rủi ro trên BCTC hợp nhất (riêng năm 2025 đạt 12.123 tỷ đồng trên BCTC và 16.305 tỷ đồng nếu tính cả thu từ xử lý tài sản tại BCTN).</w:t>
      </w:r>
      <w:r w:rsidR="004B291A">
        <w:rPr>
          <w:rFonts w:ascii="Times New Roman" w:hAnsi="Times New Roman"/>
          <w:sz w:val="24"/>
        </w:rPr>
        <w:tab/>
      </w:r>
      <w:r>
        <w:rPr>
          <w:rFonts w:ascii="Times New Roman" w:hAnsi="Times New Roman"/>
          <w:sz w:val="24"/>
        </w:rPr>
        <w:br/>
        <w:t xml:space="preserve">  • Hạn chế tồn tại: (1) Tỷ trọng nợ nhóm 5 (nợ có khả năng mất vốn) quá cao và kéo dài: nợ nhóm 5 luôn chiếm từ 67,0% đến 79,0% tổng nợ xấu nội bảng (năm 2025: 20.220 / 25.610 tỷ đồng), phản ánh tốc độ giải phóng nợ xấu qua phát mại tài sản rất chậm; (2) Gánh nặng chi phí dự phòng bào mòn hiệu quả sinh lời: chi phí dự phòng chiếm tới 42,8%–59,1% lợi nhuận thuần trước dự phòng (PPOP), khiến tỷ suất lợi nhuận trên vốn rủi ro ước tính (RORAC proxy) chỉ đạt 10,8%–16,7% (thấp hơn 15,8–33,8 điểm % so với MB); (3) Bộ đệm an toàn vốn (CAR) mỏng và nhạy cảm cao trước cú sốc: CAR theo Thông tư 41 của Agribank chỉ đạt 9,20%–11,36% (năm 2025: 10,22%) và giảm xuống 8,67% trong kịch bản Stress Test cực đoan 2026.</w:t>
      </w:r>
      <w:r w:rsidR="004B291A">
        <w:rPr>
          <w:rFonts w:ascii="Times New Roman" w:hAnsi="Times New Roman"/>
          <w:sz w:val="24"/>
        </w:rPr>
        <w:tab/>
      </w:r>
      <w:r>
        <w:rPr>
          <w:rFonts w:ascii="Times New Roman" w:hAnsi="Times New Roman"/>
          <w:sz w:val="24"/>
        </w:rPr>
        <w:br/>
        <w:t xml:space="preserve">  • Nguyên nhân (Khách quan &amp; Chủ quan): Về khách quan, Agribank thực hiện sứ mệnh chính trị tài trợ 'Tam nông' (chiếm 61,7%–70% dư nợ), thường xuyên đối mặt với rủi ro thiên tai, dịch bệnh (như bão Yagi 2024); 88,3%–91,7% tài sản bảo đảm là đất nông nghiệp, đất ở nông thôn có thanh khoản thấp, lại bị vướng khoảng trống pháp lý khi Nghị quyết 42 hết hiệu lực (01/01/2024–14/10/2025); đồng thời cơ chế tăng vốn điều lệ phụ thuộc vào quy trình phê duyệt ngân sách Nhà nước. Về chủ quan, mạng lưới hơn 2.200 chi nhánh/PGD phân tán rộng làm tăng chi phí vận hành, tốc độ chuyển đổi số và tự động hóa chấm điểm tín dụng theo chuẩn Basel II IRB còn chậm hơn khối NHTMCP.</w:t>
      </w:r>
    </w:p>
    <w:p>
      <w:pPr>
        <w:pStyle w:val="Heading3"/>
        <w:keepNext/>
        <w:spacing w:before="160" w:after="40"/>
        <w:outlineLvl w:val="2"/>
      </w:pPr>
      <w:r>
        <w:rPr>
          <w:rFonts w:ascii="Times New Roman" w:hAnsi="Times New Roman"/>
          <w:b/>
          <w:i/>
          <w:color w:val="000000"/>
          <w:sz w:val="22"/>
        </w:rPr>
        <w:t>Đánh giá tổng hợp công tác quản trị rủi ro tín dụng tại MB (2020–2025)</w:t>
      </w:r>
    </w:p>
    <w:p w14:paraId="1C82723E" w14:textId="77777777" w:rsidR="00F67131" w:rsidRDefault="00000000">
      <w:pPr>
        <w:spacing w:after="80" w:line="300" w:lineRule="auto"/>
        <w:jc w:val="both"/>
      </w:pPr>
      <w:r>
        <w:rPr>
          <w:rFonts w:ascii="Times New Roman" w:hAnsi="Times New Roman"/>
          <w:sz w:val="24"/>
        </w:rPr>
        <w:t xml:space="preserve">  • Kết quả đạt được: (1) Đạt hiệu quả sinh lời điều chỉnh theo rủi ro (RORAC proxy) và khả năng tự tích lũy vốn vượt trội: RORAC proxy của MB đạt 31,6%–49,3% trong suốt giai đoạn 2020–2025, giúp ngân hàng tự bổ sung vốn tự có từ lợi nhuận giữ lại và duy trì hệ số CAR hợp nhất theo Thông tư 41 ổn định ở mức 10,42%–11,80% (ngay cả trong kịch bản Stress Test cực đoan 2026, CAR vẫn đạt 9,73%); (2) Tiên phong hiện đại hóa hạ tầng quản trị rủi ro tập trung: MB vận hành thành công mô hình 3 tuyến phòng vệ độc lập, tách bạch hoàn toàn bộ phận kinh doanh (RM) và phê duyệt tập trung (Hub/Hội sở), ứng dụng nền tảng OFSAA/ICAAP và chấm điểm tín dụng tự động; (3) Năng lực điều chỉnh danh mục linh hoạt sau cú sốc: MB đã chủ động cắt giảm 50,1% quy mô trái phiếu doanh nghiệp TCKT từ đỉnh 46.870 tỷ đồng (2022) về 23.410 tỷ đồng (2025) và giữ NPL riêng lẻ ngân hàng mẹ ở mức thấp (0,68%–1,43%, năm 2025 là 1,12%).</w:t>
      </w:r>
      <w:r w:rsidR="004B291A">
        <w:rPr>
          <w:rFonts w:ascii="Times New Roman" w:hAnsi="Times New Roman"/>
          <w:sz w:val="24"/>
        </w:rPr>
        <w:tab/>
      </w:r>
      <w:r>
        <w:rPr>
          <w:rFonts w:ascii="Times New Roman" w:hAnsi="Times New Roman"/>
          <w:sz w:val="24"/>
        </w:rPr>
        <w:br/>
        <w:t xml:space="preserve">  • Hạn chế tồn tại: (1) Chất lượng tài sản biến động mạnh theo chu kỳ vĩ mô và phụ thuộc vào </w:t>
      </w:r>
      <w:r>
        <w:rPr>
          <w:rFonts w:ascii="Times New Roman" w:hAnsi="Times New Roman"/>
          <w:sz w:val="24"/>
        </w:rPr>
        <w:lastRenderedPageBreak/>
        <w:t>hiệu ứng mẫu số: năm 2023, nợ xấu hợp nhất tăng 94,9% và nợ nhóm 2 tăng 78,2% (đẩy Tỷ lệ nợ có vấn đề lên 3,88%); năm 2025, dù NPL giảm về 1,29% nhờ dư nợ tăng 39,6%, nợ xấu tuyệt đối vẫn tăng 11,5% lên 14.027 tỷ đồng; (2) Sự suy giảm mạnh của bộ đệm bao phủ nợ xấu (LLCR): LLCR hợp nhất của MB giảm từ mức đỉnh 268,0% (2021) và 238,0% (2022) xuống dưới 100% trong hai năm 2024–2025 (92,2% và 93,7%), khiến MB đối mặt với khoảng cách thiếu hụt dự phòng lớn (+14.006 tỷ đồng, tương đương +106,5%) khi mô phỏng theo chuẩn IFRS 9; (3) Rủi ro cao tại phân khúc tài chính tiêu dùng công ty con (MCredit): khối công ty con có tỷ lệ NPL lên tới 6,2%–8,5% (2.509 tỷ đồng nợ xấu cuối năm 2025) và phải xóa nợ tới 4.362 tỷ đồng trong năm 2025.</w:t>
      </w:r>
      <w:r w:rsidR="004B291A">
        <w:rPr>
          <w:rFonts w:ascii="Times New Roman" w:hAnsi="Times New Roman"/>
          <w:sz w:val="24"/>
        </w:rPr>
        <w:tab/>
      </w:r>
      <w:r>
        <w:rPr>
          <w:rFonts w:ascii="Times New Roman" w:hAnsi="Times New Roman"/>
          <w:sz w:val="24"/>
        </w:rPr>
        <w:br/>
        <w:t xml:space="preserve">  • Nguyên nhân (Khách quan &amp; Chủ quan): Về khách quan, cú sốc đóng băng thị trường TPDN và bất động sản giai đoạn 2022–2023 cùng quy định phân loại nợ liên đới qua CIC (Thông tư 11/2021) và sự suy giảm thu nhập của nhóm khách hàng vay tiêu dùng sau dịch Covid-19 đã tác động trực diện vào các phân khúc trọng tâm của MB. Về chủ quan, khẩu vị rủi ro theo đuổi mục tiêu tăng trưởng tín dụng cao (CAGR 29,4%/năm) và tối đa hóa ROE đã thúc đẩy MB mở rộng tỷ trọng cho vay BĐS &amp; Xây dựng (tăng từ 9,2% năm 2020 lên 15,4% năm 2025), đầu tư TPDN giai đoạn 2020–2022 và đẩy mạnh cho vay tín chấp tại MCredit, đồng thời mức trích lập dự phòng giai đoạn 2023–2025 không theo kịp tốc độ tăng nợ xấu, khiến LLCR hợp nhất giảm xuống dưới 100%.</w:t>
      </w:r>
    </w:p>
    <w:p>
      <w:pPr>
        <w:pStyle w:val="Heading2"/>
        <w:keepNext/>
        <w:spacing w:before="240" w:after="80"/>
        <w:outlineLvl w:val="1"/>
      </w:pPr>
      <w:r>
        <w:rPr>
          <w:rFonts w:ascii="Times New Roman" w:hAnsi="Times New Roman"/>
          <w:b/>
          <w:i w:val="0"/>
          <w:color w:val="0F4C81"/>
          <w:sz w:val="24"/>
        </w:rPr>
        <w:t>6.2. Hệ thống khuyến nghị và hàm ý chính sách quản trị nâng cao</w:t>
      </w:r>
    </w:p>
    <w:p>
      <w:pPr>
        <w:pStyle w:val="Heading3"/>
        <w:keepNext/>
        <w:spacing w:before="160" w:after="40"/>
        <w:outlineLvl w:val="2"/>
      </w:pPr>
      <w:r>
        <w:rPr>
          <w:rFonts w:ascii="Times New Roman" w:hAnsi="Times New Roman"/>
          <w:b/>
          <w:i/>
          <w:color w:val="000000"/>
          <w:sz w:val="22"/>
        </w:rPr>
        <w:t>Đối với Ngân hàng Nhà nước (Cơ quan Thanh tra Giám sát)</w:t>
      </w:r>
    </w:p>
    <w:p w14:paraId="7CF183F1" w14:textId="77777777" w:rsidR="00F67131" w:rsidRDefault="00000000">
      <w:pPr>
        <w:spacing w:after="80" w:line="300" w:lineRule="auto"/>
        <w:jc w:val="both"/>
      </w:pPr>
      <w:r>
        <w:rPr>
          <w:rFonts w:ascii="Times New Roman" w:hAnsi="Times New Roman"/>
        </w:rPr>
        <w:t>1. Ban hành Lộ trình Bắt buộc áp dụng Chuẩn mực IFRS 9: NHNN và Bộ Tài chính cần ban hành thông tư hướng dẫn triển khai chuẩn mực IFRS 9 (mô hình tổn thất tín dụng kỳ vọng ECL) theo lộ trình phân tầng đối với các NHTM quy mô lớn, khắc phục độ trễ ghi nhận rủi ro tại Stage 2 của mô hình tổn thất đã phát sinh hiện hành.</w:t>
      </w:r>
      <w:r w:rsidR="004B291A">
        <w:rPr>
          <w:rFonts w:ascii="Times New Roman" w:hAnsi="Times New Roman"/>
        </w:rPr>
        <w:tab/>
      </w:r>
      <w:r>
        <w:rPr>
          <w:rFonts w:ascii="Times New Roman" w:hAnsi="Times New Roman"/>
        </w:rPr>
        <w:br/>
        <w:t>2. Hướng dẫn thực thi hiệu quả Luật số 96/2025/QH15 về thu giữ và xử lý tài sản bảo đảm: Sau khi Luật số 96/2025/QH15 (có hiệu lực từ 15/10/2025) chính thức luật hóa quyền thu giữ tài sản bảo đảm (Điều 198a) và cơ chế hoàn trả TSBĐ là vật chứng (Điều 198b, 198c), Chính phủ và NHNN cần sớm ban hành quy chế phối hợp liên ngành với Bộ Công an, Tòa án và Cơ quan Thi hành án địa phương để tháo gỡ triệt để khối nợ nhóm 5 tồn đọng (như 20.220 tỷ đồng nợ nhóm 5 và 278.372 tỷ đồng nợ ngoại bảng tại Agribank).</w:t>
      </w:r>
      <w:r w:rsidR="004B291A">
        <w:rPr>
          <w:rFonts w:ascii="Times New Roman" w:hAnsi="Times New Roman"/>
        </w:rPr>
        <w:tab/>
      </w:r>
      <w:r>
        <w:rPr>
          <w:rFonts w:ascii="Times New Roman" w:hAnsi="Times New Roman"/>
        </w:rPr>
        <w:br/>
        <w:t>3. Giám sát Rủi ro Tập trung Đa chiều và Lộ trình giảm giới hạn cấp tín dụng theo Luật Các TCTD 2024: Giám sát chặt chẽ lộ trình giảm giới hạn cấp tín dụng theo Điều 136 và Điều 210 Luật Các TCTD 2024 (từ 14%/23% vốn tự có năm 2024–2025 về 10%/15% năm 2029), đồng thời tính gộp cả dư nợ cho vay, đầu tư trái phiếu doanh nghiệp (TPDN) và cam kết ngoại bảng vào tổng mức phơi nhiễm rủi ro của một nhóm khách hàng liên quan.</w:t>
      </w:r>
    </w:p>
    <w:p>
      <w:pPr>
        <w:pStyle w:val="Heading3"/>
        <w:keepNext/>
        <w:spacing w:before="160" w:after="40"/>
        <w:outlineLvl w:val="2"/>
      </w:pPr>
      <w:r>
        <w:rPr>
          <w:rFonts w:ascii="Times New Roman" w:hAnsi="Times New Roman"/>
          <w:b/>
          <w:i/>
          <w:color w:val="000000"/>
          <w:sz w:val="22"/>
        </w:rPr>
        <w:t>Đối với Ngân hàng Nông nghiệp và Phát triển Nông thôn Việt Nam (Agribank)</w:t>
      </w:r>
    </w:p>
    <w:p w14:paraId="6A38E6C6" w14:textId="77777777" w:rsidR="00F67131" w:rsidRDefault="00000000">
      <w:pPr>
        <w:spacing w:after="80" w:line="300" w:lineRule="auto"/>
        <w:jc w:val="both"/>
      </w:pPr>
      <w:r>
        <w:rPr>
          <w:rFonts w:ascii="Times New Roman" w:hAnsi="Times New Roman"/>
          <w:color w:val="262626"/>
        </w:rPr>
        <w:t>1. Xây dựng Hệ thống Cảnh báo sớm (Early Warning System - EWS) bằng Trí tuệ Nhân tạo: Ứng dụng Machine Learning trên dữ liệu lớn dòng tiền chu kỳ nông nghiệp để phát hiện sớm dấu hiệu suy giảm khả năng trả nợ trước khi chuyển nhóm 2.</w:t>
      </w:r>
      <w:r w:rsidR="004B291A">
        <w:rPr>
          <w:rFonts w:ascii="Times New Roman" w:hAnsi="Times New Roman"/>
          <w:color w:val="262626"/>
        </w:rPr>
        <w:tab/>
      </w:r>
      <w:r>
        <w:rPr>
          <w:rFonts w:ascii="Times New Roman" w:hAnsi="Times New Roman"/>
          <w:color w:val="262626"/>
        </w:rPr>
        <w:br/>
        <w:t>2. Kiểm tra Sức chịu đựng Rủi ro Khí hậu và Thiên tai (Climate Stress Testing): Tích hợp kịch bản biến đổi khí hậu (hạn hán, xâm nhập mặn, bão lũ) vào mô hình định giá tín dụng nông nghiệp theo tiêu chuẩn ESG.</w:t>
      </w:r>
      <w:r w:rsidR="004B291A">
        <w:rPr>
          <w:rFonts w:ascii="Times New Roman" w:hAnsi="Times New Roman"/>
          <w:color w:val="262626"/>
        </w:rPr>
        <w:tab/>
      </w:r>
      <w:r>
        <w:rPr>
          <w:rFonts w:ascii="Times New Roman" w:hAnsi="Times New Roman"/>
          <w:color w:val="262626"/>
        </w:rPr>
        <w:br/>
        <w:t>3. Đẩy mạnh Áp dụng Phương pháp Xếp hạng Nội bộ (Basel II FIRB/AIRB): Từng bước chuyển đổi từ phương pháp chuẩn hóa sang IRB nhằm tối ưu hóa trọng số rủi ro RWA cho danh mục nông nghiệp phân tán, giải tỏa áp lực tiêu hao vốn tự có.</w:t>
      </w:r>
      <w:r w:rsidR="004B291A">
        <w:rPr>
          <w:rFonts w:ascii="Times New Roman" w:hAnsi="Times New Roman"/>
          <w:color w:val="262626"/>
        </w:rPr>
        <w:tab/>
      </w:r>
      <w:r>
        <w:rPr>
          <w:rFonts w:ascii="Times New Roman" w:hAnsi="Times New Roman"/>
          <w:color w:val="262626"/>
        </w:rPr>
        <w:br/>
        <w:t>4. Thành lập Trung tâm Khai thác và Bán đấu giá Tài sản Chuyên biệt: Số hóa toàn bộ danh mục tài sản bảo đảm là đất nông nghiệp, liên kết với các sàn giao dịch bất động sản để rút ngắn thời gian phát mại nợ nhóm 5.</w:t>
      </w:r>
    </w:p>
    <w:p>
      <w:pPr>
        <w:pStyle w:val="Heading3"/>
        <w:keepNext/>
        <w:spacing w:before="160" w:after="40"/>
        <w:outlineLvl w:val="2"/>
      </w:pPr>
      <w:r>
        <w:rPr>
          <w:rFonts w:ascii="Times New Roman" w:hAnsi="Times New Roman"/>
          <w:b/>
          <w:i/>
          <w:color w:val="000000"/>
          <w:sz w:val="22"/>
        </w:rPr>
        <w:t>Đối với Ngân hàng TMCP Quân đội (MB)</w:t>
      </w:r>
    </w:p>
    <w:p w14:paraId="4D480D8E" w14:textId="77777777" w:rsidR="00F67131" w:rsidRDefault="00000000">
      <w:pPr>
        <w:spacing w:after="80" w:line="300" w:lineRule="auto"/>
        <w:jc w:val="both"/>
      </w:pPr>
      <w:r>
        <w:rPr>
          <w:rFonts w:ascii="Times New Roman" w:hAnsi="Times New Roman"/>
          <w:color w:val="262626"/>
        </w:rPr>
        <w:t>1. Tái thiết lập Khẩu vị Rủi ro Tập trung đối với Bất động sản và TPDN: Áp dụng trần tỷ trọng cứng cho danh mục TPDN phi ngân hàng (không vượt quá 5% tổng tài sản sinh lời) và danh mục tài trợ dự án BĐS.</w:t>
      </w:r>
      <w:r w:rsidR="004B291A">
        <w:rPr>
          <w:rFonts w:ascii="Times New Roman" w:hAnsi="Times New Roman"/>
          <w:color w:val="262626"/>
        </w:rPr>
        <w:tab/>
      </w:r>
      <w:r>
        <w:rPr>
          <w:rFonts w:ascii="Times New Roman" w:hAnsi="Times New Roman"/>
          <w:color w:val="262626"/>
        </w:rPr>
        <w:br/>
        <w:t xml:space="preserve">2. Hoàn thiện Mô hình Định giá Bù đắp Rủi ro (Risk-based Pricing) tại MCredit: Tăng biên lãi suất tương ứng với xác suất vỡ nợ thực tế của từng phân khúc khách hàng tiêu dùng tín chấp, kiểm soát </w:t>
      </w:r>
      <w:r>
        <w:rPr>
          <w:rFonts w:ascii="Times New Roman" w:hAnsi="Times New Roman"/>
          <w:color w:val="262626"/>
        </w:rPr>
        <w:lastRenderedPageBreak/>
        <w:t>chặt chẽ tỷ lệ chuyển nhóm từ Stage 1 sang Stage 2.</w:t>
      </w:r>
      <w:r w:rsidR="004B291A">
        <w:rPr>
          <w:rFonts w:ascii="Times New Roman" w:hAnsi="Times New Roman"/>
          <w:color w:val="262626"/>
        </w:rPr>
        <w:tab/>
      </w:r>
      <w:r>
        <w:rPr>
          <w:rFonts w:ascii="Times New Roman" w:hAnsi="Times New Roman"/>
          <w:color w:val="262626"/>
        </w:rPr>
        <w:br/>
        <w:t>3. Nâng cấp Bộ đệm Dự phòng LLCR trở lại trên 120%: Duy trì chính sách trích lập ổn định, ngược chu kỳ, tránh để chi phí dự phòng giảm trong năm nợ xấu tăng mạnh như năm 2023, bảo đảm quỹ dự phòng đủ sức hấp thụ tổn thất trong kịch bản kinh tế tiêu cực.</w:t>
      </w:r>
      <w:r w:rsidR="004B291A">
        <w:rPr>
          <w:rFonts w:ascii="Times New Roman" w:hAnsi="Times New Roman"/>
          <w:color w:val="262626"/>
        </w:rPr>
        <w:tab/>
      </w:r>
      <w:r>
        <w:rPr>
          <w:rFonts w:ascii="Times New Roman" w:hAnsi="Times New Roman"/>
          <w:color w:val="262626"/>
        </w:rPr>
        <w:br/>
        <w:t>4. Tăng cường Kiểm toán Thuật toán Phê duyệt Tự động: Thiết lập cơ chế kiểm định độc lập (Model Validation) định kỳ đối với các mô hình chấm điểm tín dụng scorecard để ngăn ngừa sai lệch hệ thống.</w:t>
      </w:r>
    </w:p>
    <w:p>
      <w:pPr>
        <w:pStyle w:val="Heading1"/>
        <w:keepNext/>
        <w:pageBreakBefore/>
        <w:spacing w:before="320" w:after="120"/>
        <w:outlineLvl w:val="0"/>
      </w:pPr>
      <w:r>
        <w:rPr>
          <w:rFonts w:ascii="Times New Roman" w:hAnsi="Times New Roman"/>
          <w:b/>
          <w:i w:val="0"/>
          <w:color w:val="002060"/>
          <w:sz w:val="27"/>
        </w:rPr>
        <w:t>PHẦN VII. KỊCH BẢN THUYẾT TRÌNH CHI TIẾT VÀ BỘ HƯỚNG DẪN BẢO VỆ PHẢN BIỆN (SPEAKER NOTES)</w:t>
      </w:r>
    </w:p>
    <w:p>
      <w:pPr>
        <w:pStyle w:val="Heading2"/>
        <w:keepNext/>
        <w:spacing w:before="240" w:after="80"/>
        <w:outlineLvl w:val="1"/>
      </w:pPr>
      <w:r>
        <w:rPr>
          <w:rFonts w:ascii="Times New Roman" w:hAnsi="Times New Roman"/>
          <w:b/>
          <w:i w:val="0"/>
          <w:color w:val="0F4C81"/>
          <w:sz w:val="24"/>
        </w:rPr>
        <w:t>7.1. Khung thời lượng và Kịch bản lời thoại thuyết trình từng phần (Khung báo cáo 15–20 phút)</w:t>
      </w:r>
    </w:p>
    <w:p>
      <w:pPr>
        <w:pageBreakBefore w:val="0"/>
        <w:spacing w:before="40" w:after="60" w:line="276" w:lineRule="auto"/>
        <w:jc w:val="left"/>
      </w:pPr>
      <w:r>
        <w:rPr>
          <w:rFonts w:ascii="Times New Roman" w:hAnsi="Times New Roman"/>
          <w:b w:val="0"/>
          <w:i w:val="0"/>
          <w:color w:val="000000"/>
          <w:sz w:val="22"/>
        </w:rPr>
        <w:t>Để phục vụ tốt nhất cho buổi báo cáo và thuyết trình nhóm học phần Quản trị rủi ro trên lớp, nhóm nghiên cứu thiết kế kịch bản chi tiết bao gồm: mục tiêu trình bày, phân bổ thời gian tối ưu cho từng phần, lời thoại dẫn dắt (Verbatim Script) giúp người thuyết trình tự tin làm chủ sân khấu, và các chỉ dẫn nhấn mạnh số liệu cốt lõi (Data Callouts) nhằm thu hút sự tập trung của giảng viên và lớp học.</w:t>
      </w:r>
    </w:p>
    <w:p>
      <w:pPr>
        <w:pageBreakBefore w:val="0"/>
        <w:spacing w:before="120" w:after="40" w:line="276" w:lineRule="auto"/>
        <w:jc w:val="left"/>
      </w:pPr>
      <w:r>
        <w:rPr>
          <w:rFonts w:ascii="Times New Roman" w:hAnsi="Times New Roman"/>
          <w:b/>
          <w:i w:val="0"/>
          <w:color w:val="002060"/>
          <w:sz w:val="22"/>
        </w:rPr>
        <w:t>1. Mở đầu &amp; Phần I: Thể chế &amp; Khẩu vị rủi ro đối lập (Thời lượng: 2 phút)</w:t>
      </w:r>
    </w:p>
    <w:p>
      <w:pPr>
        <w:pageBreakBefore w:val="0"/>
        <w:spacing w:before="40" w:after="60" w:line="276" w:lineRule="auto"/>
        <w:jc w:val="left"/>
      </w:pPr>
      <w:r>
        <w:rPr>
          <w:rFonts w:ascii="Times New Roman" w:hAnsi="Times New Roman"/>
          <w:b w:val="0"/>
          <w:i w:val="0"/>
          <w:color w:val="000000"/>
          <w:sz w:val="22"/>
        </w:rPr>
        <w:t>• Mục tiêu: Tạo ấn tượng ban đầu mạnh mẽ bằng sự tương phản thể chế sở hữu: 100% Nhà nước vs Cổ phần hóa tập đoàn quân đội; phê duyệt phân tán tại chi nhánh vs phê duyệt tập trung tại Hội sở qua hệ thống phê duyệt tự động BPM.</w:t>
        <w:br/>
        <w:t>• Lời thoại gợi ý: 'Kính thưa Thầy và các anh chị học viên, khi nghiên cứu về quản trị rủi ro tín dụng tại Việt Nam, câu hỏi thú vị nhất là: Tại sao hai định chế cùng thuộc Top đầu hệ thống ngân hàng nhưng lại lựa chọn hai triết lý quản trị rủi ro hoàn toàn trái ngược? Một bên là Agribank với thể chế 100% vốn nhà nước, vận hành mạng lưới hơn 2.200 chi nhánh với cơ chế phê duyệt phân tán, gánh vác sứ mệnh chính sách nông nghiệp nông thôn. Một bên là MB – một tập đoàn tài chính cổ phần quân đội tiên phong chuyển đổi số, áp dụng mô hình phê duyệt tín dụng tập trung tại Hội sở. Khẩu vị rủi ro đối lập này đã định hình trực tiếp toàn bộ danh mục cho vay và cách thức hai ngân hàng đối mặt với chu kỳ nợ xấu giai đoạn 2020–2025.'</w:t>
      </w:r>
    </w:p>
    <w:p>
      <w:pPr>
        <w:pageBreakBefore w:val="0"/>
        <w:spacing w:before="120" w:after="40" w:line="276" w:lineRule="auto"/>
        <w:jc w:val="left"/>
      </w:pPr>
      <w:r>
        <w:rPr>
          <w:rFonts w:ascii="Times New Roman" w:hAnsi="Times New Roman"/>
          <w:b/>
          <w:i w:val="0"/>
          <w:color w:val="002060"/>
          <w:sz w:val="22"/>
        </w:rPr>
        <w:t>2. Phần II: Thực trạng định lượng &amp; Phân rã biến động nợ xấu (Thời lượng: 6 phút — Trọng tâm)</w:t>
      </w:r>
    </w:p>
    <w:p>
      <w:pPr>
        <w:pageBreakBefore w:val="0"/>
        <w:spacing w:before="40" w:after="60" w:line="276" w:lineRule="auto"/>
        <w:jc w:val="left"/>
      </w:pPr>
      <w:r>
        <w:rPr>
          <w:rFonts w:ascii="Times New Roman" w:hAnsi="Times New Roman"/>
          <w:b w:val="0"/>
          <w:i w:val="0"/>
          <w:color w:val="000000"/>
          <w:sz w:val="22"/>
        </w:rPr>
        <w:t>• Mục tiêu: Chỉ ra 3 phát hiện định lượng đắt giá: (1) Hiện tượng hội tụ NPL bề mặt (1,30% vs 1,29%); (2) Phân rã toán học NPL vạch trần hiệu ứng pha loãng mẫu số của MB; (3) Kỹ thuật xóa nợ bằng dự phòng và sự đánh đổi chu kỳ LLCR.</w:t>
        <w:br/>
        <w:t>• Lời thoại gợi ý: 'Đi sâu vào bức tranh định lượng tại Bảng 2 và Hình 1, nhóm xin nhấn mạnh phát hiện then chốt đầu tiên: Nếu chỉ nhìn vào Báo cáo thường niên công bố năm 2025, chúng ta sẽ lầm tưởng Agribank kiểm soát nợ xấu tốt hơn MB (1,17% so với 1,29%). Tuy nhiên, đây là sự so sánh khập khiễng do khác biệt mẫu số Thông tư 11. Khi đưa về cùng mẫu số chuẩn mực theo thông lệ quốc tế là Dư nợ cho vay khách hàng hợp nhất (Thuyết minh 9), NPL thực tế của Agribank là 1,30%, gần như ngang bằng MB (1,29%).</w:t>
        <w:br/>
        <w:t>Đặc biệt, tại Hình 2, khi áp dụng công thức phân rã biến động nợ xấu (Decomposition), nhóm chứng minh rằng mức giảm 0,33 điểm % NPL của MB năm 2025 hoàn toàn đến từ Hiệu ứng mẫu số: tín dụng tăng trưởng tới 39,6% đã làm loãng nợ xấu (-0,46 điểm %), trong khi nợ xấu tuyệt đối thực tế vẫn tăng thêm +1.442 tỷ đồng. Đồng thời, cả hai ngân hàng đều dựa rất lớn vào kỹ thuật xóa nợ bằng dự phòng: năm 2025 Agribank đã xóa nợ nội bảng tới 32.621 tỷ đồng và MB xóa 12.185 tỷ đồng. Nếu cộng lại số nợ đã xóa này, NPL thực chất trước xử lý rủi ro lên tới 2,95% tại Agribank và 2,42% tại MB.</w:t>
        <w:br/>
        <w:t>Về bộ đệm dự phòng (Hình 3), MB đã chủ động xả bộ đệm LLCR từ đỉnh 268% năm 2021 xuống 93,7% năm 2025 để bảo vệ tăng trưởng lợi nhuận trước áp lực cổ đông, trong khi Agribank duy trì bộ đệm phòng thủ thể chế bền vững với LLCR đạt 146,3%.'</w:t>
      </w:r>
    </w:p>
    <w:p>
      <w:pPr>
        <w:pageBreakBefore w:val="0"/>
        <w:spacing w:before="120" w:after="40" w:line="276" w:lineRule="auto"/>
        <w:jc w:val="left"/>
      </w:pPr>
      <w:r>
        <w:rPr>
          <w:rFonts w:ascii="Times New Roman" w:hAnsi="Times New Roman"/>
          <w:b/>
          <w:i w:val="0"/>
          <w:color w:val="002060"/>
          <w:sz w:val="22"/>
        </w:rPr>
        <w:t>3. Phần III: Mô hình Kiểm tra sức chịu đựng vĩ mô (Stress Testing 2026) (Thời lượng: 3 phút)</w:t>
      </w:r>
    </w:p>
    <w:p>
      <w:pPr>
        <w:pageBreakBefore w:val="0"/>
        <w:spacing w:before="40" w:after="60" w:line="276" w:lineRule="auto"/>
        <w:jc w:val="left"/>
      </w:pPr>
      <w:r>
        <w:rPr>
          <w:rFonts w:ascii="Times New Roman" w:hAnsi="Times New Roman"/>
          <w:b w:val="0"/>
          <w:i w:val="0"/>
          <w:color w:val="000000"/>
          <w:sz w:val="22"/>
        </w:rPr>
        <w:t>• Mục tiêu: Trình bày kết quả ICAAP với ma trận chuyển nhóm nợ dưới 3 kịch bản; làm nổi bật sự phân hóa tổn thương bất đối xứng (CAR vs LNTT).</w:t>
        <w:br/>
        <w:t>• Lời thoại gợi ý: 'Để lượng hóa sức chống chịu trước các cú sốc tương lai, nhóm đã thiết lập mô hình Stress Testing năm 2026 chuẩn Basel II/III. Kết quả tại Bảng 7 và Hình 5 bóc tách hai điểm yếu mang tính bất đối xứng rất sâu sắc: Agribank do bộ đệm vốn mỏng phụ thuộc ngân sách nhà nước, nên dưới kịch bản Cực đoan (GDP 3,5%, Lãi suất +300 bps, BĐS giảm -25%), hệ số an toàn vốn CAR tụt từ 10,22% xuống 8,67%, sát ngưỡng sàn bắt buộc 8,0% – đây là rủi ro sống còn về vốn. Ngược lại, MB có CAR dồi dào (11,04%) nhưng danh mục nhạy cảm chu kỳ khiến chi phí dự phòng bổ sung vọt lên 22.402 tỷ đồng, ăn mòn gần hết thu nhập và khiến LNTT sụt giảm tới -69,3% – một cú sốc trực diện vào lợi nhuận.'</w:t>
      </w:r>
    </w:p>
    <w:p>
      <w:pPr>
        <w:pageBreakBefore w:val="0"/>
        <w:spacing w:before="120" w:after="40" w:line="276" w:lineRule="auto"/>
        <w:jc w:val="left"/>
      </w:pPr>
      <w:r>
        <w:rPr>
          <w:rFonts w:ascii="Times New Roman" w:hAnsi="Times New Roman"/>
          <w:b/>
          <w:i w:val="0"/>
          <w:color w:val="002060"/>
          <w:sz w:val="22"/>
        </w:rPr>
        <w:t>4. Phần IV: Mô phỏng Chuẩn mực Quốc tế IFRS 9 ECL (Thời lượng: 3 phút)</w:t>
      </w:r>
    </w:p>
    <w:p>
      <w:pPr>
        <w:pageBreakBefore w:val="0"/>
        <w:spacing w:before="40" w:after="60" w:line="276" w:lineRule="auto"/>
        <w:jc w:val="left"/>
      </w:pPr>
      <w:r>
        <w:rPr>
          <w:rFonts w:ascii="Times New Roman" w:hAnsi="Times New Roman"/>
          <w:b w:val="0"/>
          <w:i w:val="0"/>
          <w:color w:val="000000"/>
          <w:sz w:val="22"/>
        </w:rPr>
        <w:t>• Mục tiêu: Giải thích bước nhảy từ Incurred Loss sang Lifetime ECL; chỉ rõ khoảng cách dự phòng của MB (+106,5%) và cú sốc Stage 2.</w:t>
        <w:br/>
        <w:t>• Lời thoại gợi ý: 'Tại Phần IV, nhóm tiên phong mô phỏng định lượng tác động khi Việt Nam chính thức chuyển đổi sang Chuẩn mực Quốc tế IFRS 9. Kết quả tại Bảng 8 và Hình 6 cho thấy khoảng cách dự phòng trích thiếu của MB lên tới 14.006 tỷ đồng (+106,5%), làm vốn CSH giảm -7,9% và CAR tụt 103 điểm cơ bản. Cú sốc này bắt nguồn từ Giai đoạn 2 (Stage 2) khi danh mục cho vay tiêu dùng tín chấp tại MCredit và 30% trái phiếu doanh nghiệp bị phân loại vào diện rủi ro tín dụng tăng đáng kể (SICR), bắt buộc phải trích lập dự phòng trọn vòng đời. Trong khi đó, Agribank chỉ thiếu hụt 9,8% nhờ 90,2% tài sản bảo đảm là bất động sản thanh khoản thực, giúp kiềm chế tỷ lệ tổn thất khi vỡ nợ (LGD) ở mức rất thấp.'</w:t>
      </w:r>
    </w:p>
    <w:p>
      <w:pPr>
        <w:pageBreakBefore w:val="0"/>
        <w:spacing w:before="120" w:after="40" w:line="276" w:lineRule="auto"/>
        <w:jc w:val="left"/>
      </w:pPr>
      <w:r>
        <w:rPr>
          <w:rFonts w:ascii="Times New Roman" w:hAnsi="Times New Roman"/>
          <w:b/>
          <w:i w:val="0"/>
          <w:color w:val="002060"/>
          <w:sz w:val="22"/>
        </w:rPr>
        <w:t>5. Phần V: Phân tích 4 Case Studies thực tế &amp; Đánh giá COSO 2013 (Thời lượng: 3 phút)</w:t>
      </w:r>
    </w:p>
    <w:p>
      <w:pPr>
        <w:pageBreakBefore w:val="0"/>
        <w:spacing w:before="40" w:after="60" w:line="276" w:lineRule="auto"/>
        <w:jc w:val="left"/>
      </w:pPr>
      <w:r>
        <w:rPr>
          <w:rFonts w:ascii="Times New Roman" w:hAnsi="Times New Roman"/>
          <w:b w:val="0"/>
          <w:i w:val="0"/>
          <w:color w:val="000000"/>
          <w:sz w:val="22"/>
        </w:rPr>
        <w:t>• Mục tiêu: Minh họa số liệu qua các biến cố thực tế: Yagi 2024, Nợ nhóm 5 Agribank, MCredit, Khủng hoảng TPDN 2023 và cơ chế khoanh vùng MBV.</w:t>
        <w:br/>
        <w:t>• Lời thoại gợi ý: 'Phần V kết nối các con số định lượng với thực tiễn ngân hàng sinh động qua 4 bài học tình huống. Agribank bộc lộ tính tổn thương trước thiên tai (bão Yagi ảnh hưởng 30.000 tỷ dư nợ) và điểm nghẽn nợ nhóm 5 kéo dài do vướng mắc thủ tục phát mại tài sản bảo đảm nông thôn. Về phía MB, bài học quản trị đến từ rủi ro tín dụng tiêu dùng MCredit (nợ xấu trên 7%), khủng hoảng trái phiếu doanh nghiệp 2023 gây lây lan nợ xấu chéo qua CIC, và đặc biệt là cơ chế tiếp nhận ngân hàng 0 đồng (MBV). Theo Điều 185 Luật các TCTD 2024, MBV được khoanh vùng tài chính độc lập và không hợp nhất BCTC nên không làm sai lệch số liệu nợ xấu của MB.'</w:t>
      </w:r>
    </w:p>
    <w:p>
      <w:pPr>
        <w:pageBreakBefore w:val="0"/>
        <w:spacing w:before="120" w:after="40" w:line="276" w:lineRule="auto"/>
        <w:jc w:val="left"/>
      </w:pPr>
      <w:r>
        <w:rPr>
          <w:rFonts w:ascii="Times New Roman" w:hAnsi="Times New Roman"/>
          <w:b/>
          <w:i w:val="0"/>
          <w:color w:val="002060"/>
          <w:sz w:val="22"/>
        </w:rPr>
        <w:t>6. Phần VI: So sánh hai mô hình &amp; Khuyến nghị chính sách (Thời lượng: 3 phút)</w:t>
      </w:r>
    </w:p>
    <w:p>
      <w:pPr>
        <w:pageBreakBefore w:val="0"/>
        <w:spacing w:before="40" w:after="60" w:line="276" w:lineRule="auto"/>
        <w:jc w:val="left"/>
      </w:pPr>
      <w:r>
        <w:rPr>
          <w:rFonts w:ascii="Times New Roman" w:hAnsi="Times New Roman"/>
          <w:b w:val="0"/>
          <w:i w:val="0"/>
          <w:color w:val="000000"/>
          <w:sz w:val="22"/>
        </w:rPr>
        <w:t>• Mục tiêu: Tổng kết triết lý quản trị (Bảng 11); đưa ra thông điệp chốt hạ và hệ thống khuyến nghị sắc bén cho NHNN, Agribank và MB.</w:t>
        <w:br/>
        <w:t>• Lời thoại gợi ý: 'Tóm lại, bài tiểu luận không nhằm kết luận mô hình nào vượt trội hơn, mà chỉ ra sự đánh đổi mang tính quy luật: Agribank chấp nhận hy sinh tốc độ tăng trưởng và hiệu quả vốn để đổi lấy sự an toàn thể chế và bảo toàn vốn nhà nước; MB chấp nhận rủi ro chu kỳ cao hơn để tối đa hóa lợi suất cho cổ đông và tiên phong về công nghệ số. Nhóm xin đề xuất 3 nhóm khuyến nghị trọng tâm: NHNN cần sớm ban hành lộ trình áp dụng IFRS 9 bắt buộc; Agribank cần số hóa hệ thống cảnh báo sớm EWS để xử lý nợ nhóm 2 trước khi chuyển thành nợ nhóm 5; và MB cần siết chặt khẩu vị rủi ro tập trung đối với bất động sản và trái phiếu doanh nghiệp. Xin trân trọng cảm ơn Thầy và các anh chị học viên đã chú ý theo dõi!'</w:t>
      </w:r>
    </w:p>
    <w:p>
      <w:pPr>
        <w:pStyle w:val="Heading2"/>
        <w:keepNext/>
        <w:spacing w:before="240" w:after="80"/>
        <w:outlineLvl w:val="1"/>
      </w:pPr>
      <w:r>
        <w:rPr>
          <w:rFonts w:ascii="Times New Roman" w:hAnsi="Times New Roman"/>
          <w:b/>
          <w:i w:val="0"/>
          <w:color w:val="0F4C81"/>
          <w:sz w:val="24"/>
        </w:rPr>
        <w:t>7.2. Bộ 5 câu hỏi phản biện kinh điển của giảng viên và chiến lược trả lời xuất sắc (Q&amp;A Defense Guide)</w:t>
      </w:r>
    </w:p>
    <w:p>
      <w:pPr>
        <w:pageBreakBefore w:val="0"/>
        <w:spacing w:before="80" w:after="60" w:line="276" w:lineRule="auto"/>
        <w:jc w:val="left"/>
      </w:pPr>
      <w:r>
        <w:rPr>
          <w:rFonts w:ascii="Times New Roman" w:hAnsi="Times New Roman"/>
          <w:b/>
          <w:i w:val="0"/>
          <w:color w:val="002060"/>
          <w:sz w:val="22"/>
        </w:rPr>
        <w:t>• Câu hỏi 1: Tại sao Báo cáo thường niên Agribank công bố tỷ lệ NPL 2025 là 1,17%, nhưng nhóm lại tính ra 1,30% và cho rằng tương đương MB (1,29%)?</w:t>
        <w:br/>
      </w:r>
      <w:r>
        <w:rPr>
          <w:rFonts w:ascii="Times New Roman" w:hAnsi="Times New Roman"/>
          <w:b w:val="0"/>
          <w:i w:val="0"/>
          <w:color w:val="000000"/>
          <w:sz w:val="22"/>
        </w:rPr>
        <w:t>Gợi ý trả lời chuẩn xác: Thưa Thầy, sự chênh lệch này xuất phát từ khác biệt về mẫu số phân tích. Tỷ lệ 1,17% công bố trên Báo cáo thường niên của Agribank được tính theo Thông tư 11/2021 và Thông tư 31/2024, trong đó mẫu số là 'Tổng cấp tín dụng' (bao gồm cả cho vay khách hàng, bảo lãnh, cam kết ngoại bảng và đầu tư trái phiếu). Khi nhóm đưa về cùng một mẫu số chuẩn mực theo thông lệ quốc tế là 'Dư nợ cho vay khách hàng hợp nhất' tại Thuyết minh 9 BCTC kiểm toán (1.976.381 tỷ đồng), nợ nhóm 3–5 là 25.669 tỷ đồng thì tỷ lệ NPL thực tế của Agribank là 1,30%. Cách tính like-for-like này bảo đảm sự khách quan và nhất quán tuyệt đối khi so sánh trực diện với MB (1,29%).</w:t>
      </w:r>
    </w:p>
    <w:p>
      <w:pPr>
        <w:pageBreakBefore w:val="0"/>
        <w:spacing w:before="80" w:after="60" w:line="276" w:lineRule="auto"/>
        <w:jc w:val="left"/>
      </w:pPr>
      <w:r>
        <w:rPr>
          <w:rFonts w:ascii="Times New Roman" w:hAnsi="Times New Roman"/>
          <w:b/>
          <w:i w:val="0"/>
          <w:color w:val="002060"/>
          <w:sz w:val="22"/>
        </w:rPr>
        <w:t>• Câu hỏi 2: MB tiếp nhận chuyển giao bắt buộc OceanBank (MBV), liệu nợ xấu của ngân hàng 0 đồng này có làm sai lệch các chỉ tiêu tài chính của MB năm 2025 không?</w:t>
        <w:br/>
      </w:r>
      <w:r>
        <w:rPr>
          <w:rFonts w:ascii="Times New Roman" w:hAnsi="Times New Roman"/>
          <w:b w:val="0"/>
          <w:i w:val="0"/>
          <w:color w:val="000000"/>
          <w:sz w:val="22"/>
        </w:rPr>
        <w:t>Gợi ý trả lời chuẩn xác: Thưa Thầy, hoàn toàn không làm sai lệch. Căn cứ theo Điều 185 Luật Các tổ chức tín dụng năm 2024 (số 32/2024/QH15) và phương án chuyển giao bắt buộc đã được phê duyệt, MBV hoạt động dưới hình thức ngân hàng thương mại TNHH MTV độc lập do MB sở hữu 100% vốn nhưng áp dụng cơ chế khoanh vùng tài chính đặc biệt (Ring-fencing). Cụ thể, MB không phải hợp nhất Báo cáo tài chính của MBV vào BCTC hợp nhất của MB; các khoản lỗ lũy kế, nợ xấu cũ và tài sản có rủi ro của MBV được hạch toán tách biệt, không tính vào hệ số an toàn vốn (CAR) và tỷ lệ nợ xấu của MB. Do đó, toàn bộ số liệu năm 2025 của MB phản ánh trung thực năng lực nội tại của MB.</w:t>
      </w:r>
    </w:p>
    <w:p>
      <w:pPr>
        <w:pageBreakBefore w:val="0"/>
        <w:spacing w:before="80" w:after="60" w:line="276" w:lineRule="auto"/>
        <w:jc w:val="left"/>
      </w:pPr>
      <w:r>
        <w:rPr>
          <w:rFonts w:ascii="Times New Roman" w:hAnsi="Times New Roman"/>
          <w:b/>
          <w:i w:val="0"/>
          <w:color w:val="002060"/>
          <w:sz w:val="22"/>
        </w:rPr>
        <w:t>• Câu hỏi 3: Tại sao trong chu kỳ 2021–2025, tỷ lệ bao phủ nợ xấu (LLCR) của MB lại giảm mạnh từ 268% xuống 93,7%, trong khi Agribank vẫn duy trì ổn định trên 113%–146%?</w:t>
        <w:br/>
      </w:r>
      <w:r>
        <w:rPr>
          <w:rFonts w:ascii="Times New Roman" w:hAnsi="Times New Roman"/>
          <w:b w:val="0"/>
          <w:i w:val="0"/>
          <w:color w:val="000000"/>
          <w:sz w:val="22"/>
        </w:rPr>
        <w:t>Gợi ý trả lời chuẩn xác: Thưa Thầy, đây là minh chứng rõ nét cho sự phân kỳ về mục tiêu thể chế: MB chịu áp lực rất lớn từ cổ đông và thị trường chứng khoán về chỉ tiêu tăng trưởng lợi nhuận và ROE. Khi nợ xấu nội bảng tăng trong giai đoạn 2023–2025, nếu MB tiếp tục duy trì LLCR ở mức cực cao 200%–260% thì chi phí trích lập dự phòng sẽ ăn mòn toàn bộ lợi nhuận. Do đó, MB đã chủ động 'xả bộ đệm dự phòng' tích lũy từ giai đoạn trước để hấp thu nợ xấu và bảo vệ kế hoạch lợi nhuận trước thuế trên 28.000 tỷ đồng. Ngược lại, Agribank là ngân hàng 100% vốn nhà nước, không chịu áp lực giá cổ phiếu, mục tiêu tối thượng là bảo toàn vốn công, chấp nhận trích chi phí dự phòng bình quân 1,66%/năm để giữ LLCR phòng thủ vững chắc trên 113%.</w:t>
      </w:r>
    </w:p>
    <w:p>
      <w:pPr>
        <w:pageBreakBefore w:val="0"/>
        <w:spacing w:before="80" w:after="60" w:line="276" w:lineRule="auto"/>
        <w:jc w:val="left"/>
      </w:pPr>
      <w:r>
        <w:rPr>
          <w:rFonts w:ascii="Times New Roman" w:hAnsi="Times New Roman"/>
          <w:b/>
          <w:i w:val="0"/>
          <w:color w:val="002060"/>
          <w:sz w:val="22"/>
        </w:rPr>
        <w:t>• Câu hỏi 4: Mô phỏng IFRS 9 cho thấy MB thiếu hụt dự phòng tới 14.006 tỷ (+106,5%), nếu bắt buộc áp dụng ngay thì MB có bị vi phạm hệ số an toàn vốn không?</w:t>
        <w:br/>
      </w:r>
      <w:r>
        <w:rPr>
          <w:rFonts w:ascii="Times New Roman" w:hAnsi="Times New Roman"/>
          <w:b w:val="0"/>
          <w:i w:val="0"/>
          <w:color w:val="000000"/>
          <w:sz w:val="22"/>
        </w:rPr>
        <w:t>Gợi ý trả lời chuẩn xác: Thưa Thầy, kết quả mô phỏng lượng hóa rằng vốn chủ sở hữu của MB sẽ giảm 7,9% và hệ số CAR giảm khoảng 103 điểm cơ bản (từ 11,04% xuống 9,97%). Mặc dù đệm vốn sụt giảm đáng kể nhưng mức CAR 9,97% vẫn nằm trên ngưỡng sàn quy định tối thiểu của NHNN là 8,0% (Thông tư 41/2016/TT-NHNN), do đó MB không bị vi phạm an toàn vốn và không đe dọa khả năng thanh toán. Tuy nhiên, việc mất đi hơn 100 bps đệm vốn sẽ làm thu hẹp trần tăng trưởng tín dụng. Đây chính là lý do nhóm khuyến nghị MB cần sớm sàng lọc các khoản nợ có dấu hiệu SICR (Stage 2) và giảm tỷ trọng cho vay tiêu dùng tín chấp tại MCredit ngay từ bây giờ.</w:t>
      </w:r>
    </w:p>
    <w:p>
      <w:pPr>
        <w:pageBreakBefore w:val="0"/>
        <w:spacing w:before="80" w:after="60" w:line="276" w:lineRule="auto"/>
        <w:jc w:val="left"/>
      </w:pPr>
      <w:r>
        <w:rPr>
          <w:rFonts w:ascii="Times New Roman" w:hAnsi="Times New Roman"/>
          <w:b/>
          <w:i w:val="0"/>
          <w:color w:val="002060"/>
          <w:sz w:val="22"/>
        </w:rPr>
        <w:t>• Câu hỏi 5: Tại sao nợ nhóm 5 của Agribank luôn chiếm tỷ trọng áp đảo trên 65% tổng nợ xấu, và rủi ro lớn nhất đối với các khoản nợ này là gì?</w:t>
        <w:br/>
      </w:r>
      <w:r>
        <w:rPr>
          <w:rFonts w:ascii="Times New Roman" w:hAnsi="Times New Roman"/>
          <w:b w:val="0"/>
          <w:i w:val="0"/>
          <w:color w:val="000000"/>
          <w:sz w:val="22"/>
        </w:rPr>
        <w:t>Gợi ý trả lời chuẩn xác: Thưa Thầy, nguyên nhân xuất phát từ tính chất đặc thù của tín dụng nông nghiệp: tài sản bảo đảm của Agribank chủ yếu là đất nông nghiệp, đất nuôi trồng thủy sản và nhà xưởng ở khu vực nông thôn có tính thanh khoản rất thấp. Khi nợ rơi vào nhóm 5, ngân hàng gặp khó khăn rất lớn trong việc phát mại thu hồi vốn. Đặc biệt sau khi Nghị quyết 42/2017/QH14 hết hiệu lực, quyền thu giữ tài sản bảo đảm bị hạn chế khiến nợ nhóm 5 bị đọng lại nội bảng kéo dài. Phải đến khi Luật số 96/2025/QH15 sửa đổi Luật các TCTD có hiệu lực từ đầu năm 2026 khôi phục quyền thu giữ tài sản bảo đảm thì nút thắt pháp lý xử lý nợ nhóm 5 của Agribank mới có cơ sở được tháo gỡ triệt để.</w:t>
      </w:r>
    </w:p>
    <w:p>
      <w:pPr>
        <w:pStyle w:val="Heading1"/>
        <w:keepNext/>
        <w:pageBreakBefore/>
        <w:spacing w:before="320" w:after="120"/>
        <w:outlineLvl w:val="0"/>
      </w:pPr>
      <w:r>
        <w:rPr>
          <w:rFonts w:ascii="Times New Roman" w:hAnsi="Times New Roman"/>
          <w:b/>
          <w:i w:val="0"/>
          <w:color w:val="002060"/>
          <w:sz w:val="27"/>
        </w:rPr>
        <w:t>KẾT LUẬN</w:t>
      </w:r>
    </w:p>
    <w:p w14:paraId="1A54F09B" w14:textId="77777777" w:rsidR="00F67131" w:rsidRDefault="00000000">
      <w:pPr>
        <w:spacing w:after="80" w:line="300" w:lineRule="auto"/>
        <w:jc w:val="both"/>
      </w:pPr>
      <w:r>
        <w:rPr>
          <w:rFonts w:ascii="Times New Roman" w:hAnsi="Times New Roman"/>
        </w:rPr>
        <w:t>Giai đoạn 2020–2025 là một giai đoạn bản lề phản ánh sự thích ứng và phân kỳ chiến lược sâu sắc trong quản trị rủi ro tín dụng giữa Agribank và MB. Kết quả nghiên cứu cho thấy: không thể kết luận một cách đơn giản 'MB quản trị tốt hơn Agribank' hay ngược lại chỉ dựa vào con số NPL bề mặt. Mỗi mô hình đại diện cho một sự đánh đổi kinh tế học sâu sắc giữa Tăng trưởng - Lợi nhuận - Rủi ro tín dụng trong các cấu trúc thể chế khác nhau. Agribank chọn triết lý phòng thủ, chấp nhận tỷ suất lợi nhuận trên vốn rủi ro ước tính thấp hơn (10,8%–16,7%) nhưng duy trì được sự bền vững danh mục nông nghiệp và bộ đệm LLCR dày dặn. MB chọn triết lý đổi mới thị trường, đạt tỷ suất lợi nhuận trên vốn rủi ro ước tính cao hơn (31,6%–49,3%) nhưng phải đánh đổi bằng sự suy giảm bộ đệm dự phòng và mức độ nhạy cảm lớn hơn trước các cú sốc vĩ mô của thị trường bất động sản và TPDN. Khi hệ thống ngân hàng Việt Nam bước vào kỷ nguyên áp dụng Basel III và IFRS 9, sự dung hòa giữa năng lực quản trị rủi ro tập trung, số hóa của MB và văn hóa thẩm định thận trọng, an toàn của Agribank sẽ là chìa khóa định hình chuẩn mực quản trị ngân hàng hiện đại.</w:t>
      </w:r>
    </w:p>
    <w:p>
      <w:pPr>
        <w:pStyle w:val="Heading1"/>
        <w:keepNext/>
        <w:pageBreakBefore/>
        <w:spacing w:before="320" w:after="120"/>
        <w:outlineLvl w:val="0"/>
      </w:pPr>
      <w:r>
        <w:rPr>
          <w:rFonts w:ascii="Times New Roman" w:hAnsi="Times New Roman"/>
          <w:b/>
          <w:i w:val="0"/>
          <w:color w:val="002060"/>
          <w:sz w:val="27"/>
        </w:rPr>
        <w:t>TÀI LIỆU THAM KHẢO CHỌN LỌC</w:t>
      </w:r>
    </w:p>
    <w:p w14:paraId="42D2A551" w14:textId="77777777" w:rsidR="00F67131" w:rsidRDefault="00000000">
      <w:pPr>
        <w:spacing w:before="40" w:after="60"/>
      </w:pPr>
      <w:r>
        <w:rPr>
          <w:rFonts w:ascii="Times New Roman" w:hAnsi="Times New Roman"/>
          <w:sz w:val="19"/>
        </w:rPr>
        <w:t>[1] Agribank (2021, 2022, 2023, 2024, 2025, 2026), Báo cáo tài chính hợp nhất và Báo cáo tài chính riêng lẻ kiểm toán các năm 2020–2025 (kiểm toán bởi Deloitte Việt Nam, KPMG Việt Nam và Ernst &amp; Young Việt Nam).</w:t>
      </w:r>
    </w:p>
    <w:p w14:paraId="261CDA69" w14:textId="77777777" w:rsidR="00F67131" w:rsidRDefault="00000000">
      <w:pPr>
        <w:spacing w:before="40" w:after="60"/>
      </w:pPr>
      <w:r>
        <w:rPr>
          <w:rFonts w:ascii="Times New Roman" w:hAnsi="Times New Roman"/>
          <w:sz w:val="19"/>
        </w:rPr>
        <w:t>[2] Agribank (2021, 2022, 2023, 2024, 2025, 2026), Báo cáo thường niên các năm 2020–2025, Ngân hàng Nông nghiệp và Phát triển Nông thôn Việt Nam.</w:t>
      </w:r>
    </w:p>
    <w:p w14:paraId="3BF3BAA6" w14:textId="77777777" w:rsidR="00F67131" w:rsidRDefault="00000000">
      <w:pPr>
        <w:spacing w:before="40" w:after="60"/>
      </w:pPr>
      <w:r>
        <w:rPr>
          <w:rFonts w:ascii="Times New Roman" w:hAnsi="Times New Roman"/>
          <w:sz w:val="19"/>
        </w:rPr>
        <w:t>[3] Chính phủ Nước CHXHCN Việt Nam (2024), Nghị định số 86/2024/NĐ-CP ngày 11/7/2024 quy định về mức trích, phương pháp trích lập dự phòng rủi ro và việc sử dụng dự phòng để xử lý rủi ro trong hoạt động của tổ chức tín dụng, chi nhánh ngân hàng nước ngoài.</w:t>
      </w:r>
    </w:p>
    <w:p w14:paraId="104C373E" w14:textId="77777777" w:rsidR="00F67131" w:rsidRDefault="00000000">
      <w:pPr>
        <w:spacing w:before="40" w:after="60"/>
      </w:pPr>
      <w:r>
        <w:rPr>
          <w:rFonts w:ascii="Times New Roman" w:hAnsi="Times New Roman"/>
          <w:sz w:val="19"/>
        </w:rPr>
        <w:t>[4] Hiệp hội Ngân hàng Việt Nam – VNBA &amp; Ngân hàng Nhà nước Việt Nam (2023, 2024, 2025), Báo cáo tổng kết hoạt động kinh doanh ngân hàng và tình hình xử lý nợ xấu toàn hệ thống giai đoạn 2020–2025.</w:t>
      </w:r>
    </w:p>
    <w:p w14:paraId="56EFFD32" w14:textId="77777777" w:rsidR="00F67131" w:rsidRDefault="00000000">
      <w:pPr>
        <w:spacing w:before="40" w:after="60"/>
      </w:pPr>
      <w:r>
        <w:rPr>
          <w:rFonts w:ascii="Times New Roman" w:hAnsi="Times New Roman"/>
          <w:sz w:val="19"/>
        </w:rPr>
        <w:t>[5] Ngân hàng Nhà nước Việt Nam (2016), Thông tư số 41/2016/TT-NHNN ngày 30/12/2016 quy định tỷ lệ an toàn vốn đối với ngân hàng, chi nhánh ngân hàng nước ngoài theo chuẩn mực Basel II.</w:t>
      </w:r>
    </w:p>
    <w:p w14:paraId="4FD13F6E" w14:textId="77777777" w:rsidR="00F67131" w:rsidRDefault="00000000">
      <w:pPr>
        <w:spacing w:before="40" w:after="60"/>
      </w:pPr>
      <w:r>
        <w:rPr>
          <w:rFonts w:ascii="Times New Roman" w:hAnsi="Times New Roman"/>
          <w:sz w:val="19"/>
        </w:rPr>
        <w:t>[6] Ngân hàng Nhà nước Việt Nam (2019), Thông tư số 22/2019/TT-NHNN ngày 15/11/2019 quy định các giới hạn, tỷ lệ bảo đảm an toàn trong hoạt động của ngân hàng, chi nhánh ngân hàng nước ngoài.</w:t>
      </w:r>
    </w:p>
    <w:p w14:paraId="297B37C1" w14:textId="77777777" w:rsidR="00F67131" w:rsidRDefault="00000000">
      <w:pPr>
        <w:spacing w:before="40" w:after="60"/>
      </w:pPr>
      <w:r>
        <w:rPr>
          <w:rFonts w:ascii="Times New Roman" w:hAnsi="Times New Roman"/>
          <w:sz w:val="19"/>
        </w:rPr>
        <w:t>[7] Ngân hàng Nhà nước Việt Nam (2020, 2021), Thông tư số 01/2020/TT-NHNN ngày 13/3/2020 (sửa đổi, bổ sung bởi Thông tư 03/2021/TT-NHNN và Thông tư 14/2021/TT-NHNN) quy định về cơ cấu lại thời hạn trả nợ, miễn, giảm lãi, phí, giữ nguyên nhóm nợ hỗ trợ khách hàng chịu ảnh hưởng bởi dịch Covid-19.</w:t>
      </w:r>
    </w:p>
    <w:p w14:paraId="7716A3F4" w14:textId="77777777" w:rsidR="00F67131" w:rsidRDefault="00000000">
      <w:pPr>
        <w:spacing w:before="40" w:after="60"/>
      </w:pPr>
      <w:r>
        <w:rPr>
          <w:rFonts w:ascii="Times New Roman" w:hAnsi="Times New Roman"/>
          <w:sz w:val="19"/>
        </w:rPr>
        <w:t>[8] Ngân hàng Nhà nước Việt Nam (2021), Thông tư số 11/2021/TT-NHNN ngày 30/7/2021 quy định về phân loại tài sản có, mức trích, phương pháp trích lập dự phòng rủi ro và việc sử dụng dự phòng để xử lý rủi ro trong hoạt động của TCTD.</w:t>
      </w:r>
    </w:p>
    <w:p w14:paraId="3A9CB45D" w14:textId="77777777" w:rsidR="00F67131" w:rsidRDefault="00000000">
      <w:pPr>
        <w:spacing w:before="40" w:after="60"/>
      </w:pPr>
      <w:r>
        <w:rPr>
          <w:rFonts w:ascii="Times New Roman" w:hAnsi="Times New Roman"/>
          <w:sz w:val="19"/>
        </w:rPr>
        <w:t>[9] Ngân hàng Nhà nước Việt Nam (2023, 2024), Thông tư số 02/2023/TT-NHNN ngày 23/4/2023 (gia hạn bởi Thông tư 06/2024/TT-NHNN) quy định về việc cơ cấu lại thời hạn trả nợ và giữ nguyên nhóm nợ nhằm hỗ trợ khách hàng gặp khó khăn.</w:t>
      </w:r>
    </w:p>
    <w:p w14:paraId="28C01CD8" w14:textId="77777777" w:rsidR="00F67131" w:rsidRDefault="00000000">
      <w:pPr>
        <w:spacing w:before="40" w:after="60"/>
      </w:pPr>
      <w:r>
        <w:rPr>
          <w:rFonts w:ascii="Times New Roman" w:hAnsi="Times New Roman"/>
          <w:sz w:val="19"/>
        </w:rPr>
        <w:t>[10] Ngân hàng Nhà nước Việt Nam (2024), Thông tư số 31/2024/TT-NHNN ngày 30/6/2024 quy định về phân loại tài sản có trong hoạt động của ngân hàng thương mại, tổ chức tín dụng phi ngân hàng, chi nhánh ngân hàng nước ngoài.</w:t>
      </w:r>
    </w:p>
    <w:p w14:paraId="6D1F41C3" w14:textId="77777777" w:rsidR="00F67131" w:rsidRDefault="00000000">
      <w:pPr>
        <w:spacing w:before="40" w:after="60"/>
      </w:pPr>
      <w:r>
        <w:rPr>
          <w:rFonts w:ascii="Times New Roman" w:hAnsi="Times New Roman"/>
          <w:sz w:val="19"/>
        </w:rPr>
        <w:t>[11] Ngân hàng Nhà nước Việt Nam (2024), Thông tư số 53/2024/TT-NHNN ngày 04/12/2024 quy định về việc cơ cấu lại thời hạn trả nợ đối với khách hàng gặp khó khăn do ảnh hưởng, thiệt hại của bão số 3 (Yagi).</w:t>
      </w:r>
    </w:p>
    <w:p w14:paraId="632AD7FD" w14:textId="77777777" w:rsidR="00F67131" w:rsidRDefault="00000000">
      <w:pPr>
        <w:spacing w:before="40" w:after="60"/>
      </w:pPr>
      <w:r>
        <w:rPr>
          <w:rFonts w:ascii="Times New Roman" w:hAnsi="Times New Roman"/>
          <w:sz w:val="19"/>
        </w:rPr>
        <w:t>[12] Ngân hàng TMCP Quân đội – MB (2021, 2022, 2023, 2024, 2025, 2026), Báo cáo tài chính hợp nhất và Báo cáo tài chính riêng lẻ kiểm toán các năm 2020–2025 (đã kiểm toán bởi KPMG Việt Nam).</w:t>
      </w:r>
    </w:p>
    <w:p w14:paraId="7DACF260" w14:textId="77777777" w:rsidR="00F67131" w:rsidRDefault="00000000">
      <w:pPr>
        <w:spacing w:before="40" w:after="60"/>
      </w:pPr>
      <w:r>
        <w:rPr>
          <w:rFonts w:ascii="Times New Roman" w:hAnsi="Times New Roman"/>
          <w:sz w:val="19"/>
        </w:rPr>
        <w:t>[13] Ngân hàng TMCP Quân đội – MB (2021, 2022, 2023, 2024, 2025, 2026), Báo cáo thường niên và Báo cáo công bố thông tin tỷ lệ an toàn vốn (Basel II Pillar 3) các năm 2020–2025.</w:t>
      </w:r>
    </w:p>
    <w:p w14:paraId="6EDB5B89" w14:textId="77777777" w:rsidR="00F67131" w:rsidRDefault="00000000">
      <w:pPr>
        <w:spacing w:before="40" w:after="60"/>
      </w:pPr>
      <w:r>
        <w:rPr>
          <w:rFonts w:ascii="Times New Roman" w:hAnsi="Times New Roman"/>
          <w:sz w:val="19"/>
        </w:rPr>
        <w:t>[14] Quốc hội Nước CHXHCN Việt Nam (2017), Nghị quyết số 42/2017/QH14 ngày 21/6/2017 về thí điểm xử lý nợ xấu của các tổ chức tín dụng (gia hạn bởi Nghị quyết số 63/2022/QH15 đến 31/12/2023).</w:t>
      </w:r>
    </w:p>
    <w:p w14:paraId="705390FA" w14:textId="77777777" w:rsidR="00F67131" w:rsidRDefault="00000000">
      <w:pPr>
        <w:spacing w:before="40" w:after="60"/>
      </w:pPr>
      <w:r>
        <w:rPr>
          <w:rFonts w:ascii="Times New Roman" w:hAnsi="Times New Roman"/>
          <w:sz w:val="19"/>
        </w:rPr>
        <w:t>[15] Quốc hội Nước CHXHCN Việt Nam (2024), Luật Các tổ chức tín dụng số 32/2024/QH15 thông qua ngày 18/01/2024, có hiệu lực thi hành từ ngày 01/7/2024.</w:t>
      </w:r>
    </w:p>
    <w:p w14:paraId="50EDAA8D" w14:textId="77777777" w:rsidR="00F67131" w:rsidRDefault="00000000">
      <w:pPr>
        <w:spacing w:before="40" w:after="60"/>
      </w:pPr>
      <w:r>
        <w:rPr>
          <w:rFonts w:ascii="Times New Roman" w:hAnsi="Times New Roman"/>
          <w:sz w:val="19"/>
        </w:rPr>
        <w:t>[16] Quốc hội Nước CHXHCN Việt Nam (2025), Luật số 96/2025/QH15 sửa đổi, bổ sung một số điều của Luật Các tổ chức tín dụng, có hiệu lực thi hành từ ngày 15/10/2025.</w:t>
      </w:r>
    </w:p>
    <w:p w14:paraId="48B4B412" w14:textId="77777777" w:rsidR="00F67131" w:rsidRDefault="00000000">
      <w:pPr>
        <w:spacing w:before="40" w:after="60"/>
      </w:pPr>
      <w:r>
        <w:rPr>
          <w:rFonts w:ascii="Times New Roman" w:hAnsi="Times New Roman"/>
          <w:sz w:val="19"/>
        </w:rPr>
        <w:t>[17] Thủ tướng Chính phủ (2024), Quyết định số 1510/QĐ-TTg ngày 04/12/2024 về phân loại tài sản có, mức trích lập dự phòng rủi ro, phương pháp trích lập dự phòng rủi ro và việc sử dụng dự phòng để xử lý rủi ro đối với khoản nợ của khách hàng gặp khó khăn do ảnh hưởng, thiệt hại của bão số 3.</w:t>
      </w:r>
    </w:p>
    <w:p w14:paraId="576CF001" w14:textId="77777777" w:rsidR="00F67131" w:rsidRDefault="00000000">
      <w:pPr>
        <w:spacing w:before="40" w:after="60"/>
      </w:pPr>
      <w:r>
        <w:rPr>
          <w:rFonts w:ascii="Times New Roman" w:hAnsi="Times New Roman"/>
          <w:sz w:val="19"/>
        </w:rPr>
        <w:t>[18] Basel Committee on Banking Supervision – BCBS (2006), International Convergence of Capital Measurement and Capital Standards: A Revised Framework (Basel II), Bank for International Settlements (BIS).</w:t>
      </w:r>
    </w:p>
    <w:p w14:paraId="09402B8F" w14:textId="77777777" w:rsidR="00F67131" w:rsidRDefault="00000000">
      <w:pPr>
        <w:spacing w:before="40" w:after="60"/>
      </w:pPr>
      <w:r>
        <w:rPr>
          <w:rFonts w:ascii="Times New Roman" w:hAnsi="Times New Roman"/>
          <w:sz w:val="19"/>
        </w:rPr>
        <w:t>[19] Basel Committee on Banking Supervision – BCBS (2017), Basel III: Finalising post-crisis reforms, Bank for International Settlements (BIS).</w:t>
      </w:r>
    </w:p>
    <w:p w14:paraId="7DD3D494" w14:textId="77777777" w:rsidR="00F67131" w:rsidRDefault="00000000">
      <w:pPr>
        <w:spacing w:before="40" w:after="60"/>
      </w:pPr>
      <w:r>
        <w:rPr>
          <w:rFonts w:ascii="Times New Roman" w:hAnsi="Times New Roman"/>
          <w:sz w:val="19"/>
        </w:rPr>
        <w:lastRenderedPageBreak/>
        <w:t>[20] Committee of Sponsoring Organizations of the Treadway Commission – COSO (2013), Internal Control — Integrated Framework, AICPA.</w:t>
      </w:r>
    </w:p>
    <w:p w14:paraId="428F247B" w14:textId="77777777" w:rsidR="00F67131" w:rsidRDefault="00000000">
      <w:pPr>
        <w:spacing w:before="40" w:after="60"/>
      </w:pPr>
      <w:r>
        <w:rPr>
          <w:rFonts w:ascii="Times New Roman" w:hAnsi="Times New Roman"/>
          <w:sz w:val="19"/>
        </w:rPr>
        <w:t>[21] Cressey, D. R. (1953), Other People's Money: A Study in the Social Psychology of Embezzlement, Glencoe, IL: Free Press.</w:t>
      </w:r>
    </w:p>
    <w:p w14:paraId="0877601F" w14:textId="77777777" w:rsidR="00F67131" w:rsidRDefault="00000000">
      <w:pPr>
        <w:spacing w:before="40" w:after="60"/>
      </w:pPr>
      <w:r>
        <w:rPr>
          <w:rFonts w:ascii="Times New Roman" w:hAnsi="Times New Roman"/>
          <w:sz w:val="19"/>
        </w:rPr>
        <w:t>[22] International Accounting Standards Board – IASB (2014), IFRS 9 Financial Instruments, London: IFRS Foundation.</w:t>
      </w:r>
    </w:p>
    <w:p w14:paraId="66AF4C24" w14:textId="77777777" w:rsidR="00F67131" w:rsidRDefault="00000000">
      <w:pPr>
        <w:spacing w:before="40" w:after="60"/>
      </w:pPr>
      <w:r>
        <w:rPr>
          <w:rFonts w:ascii="Times New Roman" w:hAnsi="Times New Roman"/>
          <w:sz w:val="19"/>
        </w:rPr>
        <w:t>[23] Jensen, M. C., &amp; Meckling, W. H. (1976), 'Theory of the firm: Managerial behavior, agency costs and ownership structure', Journal of Financial Economics, 3(4), 305–360.</w:t>
      </w:r>
    </w:p>
    <w:p w14:paraId="6E08FAD6" w14:textId="77777777" w:rsidR="00F67131" w:rsidRDefault="00000000">
      <w:pPr>
        <w:spacing w:before="40" w:after="60"/>
      </w:pPr>
      <w:r>
        <w:rPr>
          <w:rFonts w:ascii="Times New Roman" w:hAnsi="Times New Roman"/>
          <w:sz w:val="19"/>
        </w:rPr>
        <w:t>[24] Laeven, L., &amp; Majnoni, G. (2003), 'Loan loss provisioning and economic slowdowns: Too much, too late?', Journal of Financial Intermediation, 12(2), 178–197.</w:t>
      </w:r>
    </w:p>
    <w:p w14:paraId="698BC3F3" w14:textId="77777777" w:rsidR="00F67131" w:rsidRDefault="00000000">
      <w:pPr>
        <w:spacing w:before="40" w:after="60"/>
      </w:pPr>
      <w:r>
        <w:rPr>
          <w:rFonts w:ascii="Times New Roman" w:hAnsi="Times New Roman"/>
          <w:sz w:val="19"/>
        </w:rPr>
        <w:t>[25] Stiglitz, J. E., &amp; Weiss, A. (1981), 'Credit rationing in markets with imperfect information', The American Economic Review, 71(3), 393–410.</w:t>
      </w:r>
    </w:p>
    <w:p>
      <w:pPr>
        <w:pStyle w:val="Heading1"/>
        <w:keepNext/>
        <w:pageBreakBefore/>
        <w:spacing w:before="320" w:after="120"/>
        <w:outlineLvl w:val="0"/>
      </w:pPr>
      <w:r>
        <w:rPr>
          <w:rFonts w:ascii="Times New Roman" w:hAnsi="Times New Roman"/>
          <w:b/>
          <w:i w:val="0"/>
          <w:color w:val="002060"/>
          <w:sz w:val="27"/>
        </w:rPr>
        <w:t>PHỤ LỤC THUYẾT TRÌNH: DỮ LIỆU ĐỊNH LƯỢNG MỞ RỘNG</w:t>
      </w:r>
    </w:p>
    <w:p w14:paraId="580F9091" w14:textId="77777777" w:rsidR="004C74AA" w:rsidRDefault="00000000">
      <w:pPr>
        <w:spacing w:before="80" w:after="160"/>
      </w:pPr>
      <w:r>
        <w:rPr>
          <w:rFonts w:ascii="Times New Roman" w:hAnsi="Times New Roman"/>
          <w:color w:val="000000"/>
        </w:rPr>
        <w:t>Phần Phụ lục này cung cấp toàn bộ hệ thống số liệu thống kê mô tả, ma trận hệ số tương quan kinh tế lượng, bảng đối chiếu chéo số liệu giữa Thuyết minh BCTC kiểm toán và Báo cáo thường niên, cùng hướng dẫn kỹ thuật cập nhật tự động mục lục trên Microsoft Word nhằm bảo đảm tính minh bạch, khả năng tái lập kết quả (reproducibility) và tính vững của nghiên cứu theo chuẩn mực quốc tế.</w:t>
      </w:r>
    </w:p>
    <w:p>
      <w:pPr>
        <w:keepNext/>
        <w:pageBreakBefore w:val="0"/>
        <w:spacing w:before="200" w:after="80" w:line="276" w:lineRule="auto"/>
        <w:jc w:val="left"/>
      </w:pPr>
      <w:r>
        <w:rPr>
          <w:rFonts w:ascii="Times New Roman" w:hAnsi="Times New Roman"/>
          <w:b/>
          <w:i w:val="0"/>
          <w:color w:val="002060"/>
          <w:sz w:val="22"/>
        </w:rPr>
        <w:t>Phụ lục 1. Bảng thống kê mô tả (Descriptive Statistics) các chỉ tiêu tài chính và rủi ro tín dụng (2020–2025)</w:t>
      </w:r>
    </w:p>
    <w:tbl>
      <w:tblPr>
        <w:tblW w:w="0" w:type="auto"/>
        <w:jc w:val="center"/>
        <w:tblLook w:val="04A0" w:firstRow="1" w:lastRow="0" w:firstColumn="1" w:lastColumn="0" w:noHBand="0" w:noVBand="1"/>
      </w:tblPr>
      <w:tblGrid>
        <w:gridCol w:w="1620"/>
        <w:gridCol w:w="1147"/>
        <w:gridCol w:w="1109"/>
        <w:gridCol w:w="1076"/>
        <w:gridCol w:w="1261"/>
        <w:gridCol w:w="1261"/>
        <w:gridCol w:w="1838"/>
      </w:tblGrid>
      <w:tr w:rsidR="004C74AA" w14:paraId="7652E797" w14:textId="77777777">
        <w:trPr>
          <w:cantSplit/>
          <w:tblHeader/>
          <w:jc w:val="center"/>
        </w:trPr>
        <w:tc>
          <w:tcPr>
            <w:tcW w:w="2160" w:type="dxa"/>
            <w:shd w:val="clear" w:color="auto" w:fill="1F497D"/>
            <w:tcMar>
              <w:top w:w="100" w:type="dxa"/>
              <w:left w:w="120" w:type="dxa"/>
              <w:bottom w:w="100" w:type="dxa"/>
              <w:right w:w="120" w:type="dxa"/>
            </w:tcMar>
          </w:tcPr>
          <w:p w14:paraId="2D388AB5" w14:textId="77777777" w:rsidR="004C74AA" w:rsidRDefault="00000000">
            <w:pPr>
              <w:spacing w:before="40" w:after="40" w:line="252" w:lineRule="auto"/>
              <w:jc w:val="center"/>
            </w:pPr>
            <w:r>
              <w:rPr>
                <w:rFonts w:ascii="Times New Roman" w:hAnsi="Times New Roman"/>
                <w:b/>
                <w:color w:val="FFFFFF"/>
                <w:sz w:val="18"/>
              </w:rPr>
              <w:t>Chỉ tiêu (Đơn vị: %, lần)</w:t>
            </w:r>
          </w:p>
        </w:tc>
        <w:tc>
          <w:tcPr>
            <w:tcW w:w="1296" w:type="dxa"/>
            <w:shd w:val="clear" w:color="auto" w:fill="1F497D"/>
            <w:tcMar>
              <w:top w:w="100" w:type="dxa"/>
              <w:left w:w="120" w:type="dxa"/>
              <w:bottom w:w="100" w:type="dxa"/>
              <w:right w:w="120" w:type="dxa"/>
            </w:tcMar>
          </w:tcPr>
          <w:p w14:paraId="6D2E1AFE" w14:textId="77777777" w:rsidR="004C74AA" w:rsidRDefault="00000000">
            <w:pPr>
              <w:spacing w:before="40" w:after="40" w:line="252" w:lineRule="auto"/>
              <w:jc w:val="center"/>
            </w:pPr>
            <w:r>
              <w:rPr>
                <w:rFonts w:ascii="Times New Roman" w:hAnsi="Times New Roman"/>
                <w:b/>
                <w:color w:val="FFFFFF"/>
                <w:sz w:val="18"/>
              </w:rPr>
              <w:t>Ngân hàng</w:t>
            </w:r>
          </w:p>
        </w:tc>
        <w:tc>
          <w:tcPr>
            <w:tcW w:w="1296" w:type="dxa"/>
            <w:shd w:val="clear" w:color="auto" w:fill="1F497D"/>
            <w:tcMar>
              <w:top w:w="100" w:type="dxa"/>
              <w:left w:w="120" w:type="dxa"/>
              <w:bottom w:w="100" w:type="dxa"/>
              <w:right w:w="120" w:type="dxa"/>
            </w:tcMar>
          </w:tcPr>
          <w:p w14:paraId="1CCE68ED" w14:textId="77777777" w:rsidR="004C74AA" w:rsidRDefault="00000000">
            <w:pPr>
              <w:spacing w:before="40" w:after="40" w:line="252" w:lineRule="auto"/>
              <w:jc w:val="center"/>
            </w:pPr>
            <w:r>
              <w:rPr>
                <w:rFonts w:ascii="Times New Roman" w:hAnsi="Times New Roman"/>
                <w:b/>
                <w:color w:val="FFFFFF"/>
                <w:sz w:val="18"/>
              </w:rPr>
              <w:t>Giá trị TB (Mean)</w:t>
            </w:r>
          </w:p>
        </w:tc>
        <w:tc>
          <w:tcPr>
            <w:tcW w:w="1296" w:type="dxa"/>
            <w:shd w:val="clear" w:color="auto" w:fill="1F497D"/>
            <w:tcMar>
              <w:top w:w="100" w:type="dxa"/>
              <w:left w:w="120" w:type="dxa"/>
              <w:bottom w:w="100" w:type="dxa"/>
              <w:right w:w="120" w:type="dxa"/>
            </w:tcMar>
          </w:tcPr>
          <w:p w14:paraId="359C203E" w14:textId="77777777" w:rsidR="004C74AA" w:rsidRDefault="00000000">
            <w:pPr>
              <w:spacing w:before="40" w:after="40" w:line="252" w:lineRule="auto"/>
              <w:jc w:val="center"/>
            </w:pPr>
            <w:r>
              <w:rPr>
                <w:rFonts w:ascii="Times New Roman" w:hAnsi="Times New Roman"/>
                <w:b/>
                <w:color w:val="FFFFFF"/>
                <w:sz w:val="18"/>
              </w:rPr>
              <w:t>Độ lệch chuẩn (SD)</w:t>
            </w:r>
          </w:p>
        </w:tc>
        <w:tc>
          <w:tcPr>
            <w:tcW w:w="1584" w:type="dxa"/>
            <w:shd w:val="clear" w:color="auto" w:fill="1F497D"/>
            <w:tcMar>
              <w:top w:w="100" w:type="dxa"/>
              <w:left w:w="120" w:type="dxa"/>
              <w:bottom w:w="100" w:type="dxa"/>
              <w:right w:w="120" w:type="dxa"/>
            </w:tcMar>
          </w:tcPr>
          <w:p w14:paraId="418DC3B0" w14:textId="77777777" w:rsidR="004C74AA" w:rsidRDefault="00000000">
            <w:pPr>
              <w:spacing w:before="40" w:after="40" w:line="252" w:lineRule="auto"/>
              <w:jc w:val="center"/>
            </w:pPr>
            <w:r>
              <w:rPr>
                <w:rFonts w:ascii="Times New Roman" w:hAnsi="Times New Roman"/>
                <w:b/>
                <w:color w:val="FFFFFF"/>
                <w:sz w:val="18"/>
              </w:rPr>
              <w:t>Tối thiểu (Min)</w:t>
            </w:r>
          </w:p>
        </w:tc>
        <w:tc>
          <w:tcPr>
            <w:tcW w:w="1584" w:type="dxa"/>
            <w:shd w:val="clear" w:color="auto" w:fill="1F497D"/>
            <w:tcMar>
              <w:top w:w="100" w:type="dxa"/>
              <w:left w:w="120" w:type="dxa"/>
              <w:bottom w:w="100" w:type="dxa"/>
              <w:right w:w="120" w:type="dxa"/>
            </w:tcMar>
          </w:tcPr>
          <w:p w14:paraId="7699169E" w14:textId="77777777" w:rsidR="004C74AA" w:rsidRDefault="00000000">
            <w:pPr>
              <w:spacing w:before="40" w:after="40" w:line="252" w:lineRule="auto"/>
              <w:jc w:val="center"/>
            </w:pPr>
            <w:r>
              <w:rPr>
                <w:rFonts w:ascii="Times New Roman" w:hAnsi="Times New Roman"/>
                <w:b/>
                <w:color w:val="FFFFFF"/>
                <w:sz w:val="18"/>
              </w:rPr>
              <w:t>Tối đa (Max)</w:t>
            </w:r>
          </w:p>
        </w:tc>
        <w:tc>
          <w:tcPr>
            <w:tcW w:w="2304" w:type="dxa"/>
            <w:shd w:val="clear" w:color="auto" w:fill="1F497D"/>
            <w:tcMar>
              <w:top w:w="100" w:type="dxa"/>
              <w:left w:w="120" w:type="dxa"/>
              <w:bottom w:w="100" w:type="dxa"/>
              <w:right w:w="120" w:type="dxa"/>
            </w:tcMar>
          </w:tcPr>
          <w:p w14:paraId="6A05A9E0" w14:textId="77777777" w:rsidR="004C74AA" w:rsidRDefault="00000000">
            <w:pPr>
              <w:spacing w:before="40" w:after="40" w:line="252" w:lineRule="auto"/>
              <w:jc w:val="center"/>
            </w:pPr>
            <w:r>
              <w:rPr>
                <w:rFonts w:ascii="Times New Roman" w:hAnsi="Times New Roman"/>
                <w:b/>
                <w:color w:val="FFFFFF"/>
                <w:sz w:val="18"/>
              </w:rPr>
              <w:t>Ý nghĩa kinh tế</w:t>
            </w:r>
          </w:p>
        </w:tc>
      </w:tr>
      <w:tr w:rsidR="004C74AA" w14:paraId="6B51901D" w14:textId="77777777">
        <w:trPr>
          <w:cantSplit/>
          <w:jc w:val="center"/>
        </w:trPr>
        <w:tc>
          <w:tcPr>
            <w:tcW w:w="2160" w:type="dxa"/>
            <w:shd w:val="clear" w:color="auto" w:fill="F2F5F9"/>
            <w:tcMar>
              <w:top w:w="80" w:type="dxa"/>
              <w:left w:w="100" w:type="dxa"/>
              <w:bottom w:w="80" w:type="dxa"/>
              <w:right w:w="100" w:type="dxa"/>
            </w:tcMar>
          </w:tcPr>
          <w:p w14:paraId="658B774D" w14:textId="77777777" w:rsidR="004C74AA" w:rsidRDefault="00000000">
            <w:pPr>
              <w:spacing w:before="40" w:after="40" w:line="252" w:lineRule="auto"/>
            </w:pPr>
            <w:r>
              <w:rPr>
                <w:rFonts w:ascii="Times New Roman" w:hAnsi="Times New Roman"/>
                <w:b/>
                <w:color w:val="000000"/>
                <w:sz w:val="17"/>
              </w:rPr>
              <w:t>Tỷ lệ NPL hợp nhất (TM 9/10, %)</w:t>
            </w:r>
          </w:p>
        </w:tc>
        <w:tc>
          <w:tcPr>
            <w:tcW w:w="1296" w:type="dxa"/>
            <w:shd w:val="clear" w:color="auto" w:fill="F2F5F9"/>
            <w:tcMar>
              <w:top w:w="80" w:type="dxa"/>
              <w:left w:w="100" w:type="dxa"/>
              <w:bottom w:w="80" w:type="dxa"/>
              <w:right w:w="100" w:type="dxa"/>
            </w:tcMar>
          </w:tcPr>
          <w:p w14:paraId="326CB118" w14:textId="77777777" w:rsidR="004C74AA" w:rsidRDefault="00000000">
            <w:pPr>
              <w:spacing w:before="40" w:after="40" w:line="252" w:lineRule="auto"/>
              <w:jc w:val="center"/>
            </w:pPr>
            <w:r>
              <w:rPr>
                <w:rFonts w:ascii="Times New Roman" w:hAnsi="Times New Roman"/>
                <w:b/>
                <w:color w:val="000000"/>
                <w:sz w:val="17"/>
              </w:rPr>
              <w:t>Agribank</w:t>
            </w:r>
            <w:r>
              <w:br/>
            </w:r>
            <w:r>
              <w:rPr>
                <w:rFonts w:ascii="Times New Roman" w:hAnsi="Times New Roman"/>
                <w:b/>
                <w:color w:val="000000"/>
                <w:sz w:val="17"/>
              </w:rPr>
              <w:t>MB</w:t>
            </w:r>
          </w:p>
        </w:tc>
        <w:tc>
          <w:tcPr>
            <w:tcW w:w="1296" w:type="dxa"/>
            <w:shd w:val="clear" w:color="auto" w:fill="F2F5F9"/>
            <w:tcMar>
              <w:top w:w="80" w:type="dxa"/>
              <w:left w:w="100" w:type="dxa"/>
              <w:bottom w:w="80" w:type="dxa"/>
              <w:right w:w="100" w:type="dxa"/>
            </w:tcMar>
          </w:tcPr>
          <w:p w14:paraId="0ED2C3AF" w14:textId="77777777" w:rsidR="004C74AA" w:rsidRDefault="00000000">
            <w:pPr>
              <w:spacing w:before="40" w:after="40" w:line="252" w:lineRule="auto"/>
              <w:jc w:val="center"/>
            </w:pPr>
            <w:r>
              <w:rPr>
                <w:rFonts w:ascii="Times New Roman" w:hAnsi="Times New Roman"/>
                <w:color w:val="000000"/>
                <w:sz w:val="17"/>
              </w:rPr>
              <w:t>1,63%</w:t>
            </w:r>
            <w:r>
              <w:br/>
            </w:r>
            <w:r>
              <w:rPr>
                <w:rFonts w:ascii="Times New Roman" w:hAnsi="Times New Roman"/>
                <w:color w:val="000000"/>
                <w:sz w:val="17"/>
              </w:rPr>
              <w:t>1,25%</w:t>
            </w:r>
          </w:p>
        </w:tc>
        <w:tc>
          <w:tcPr>
            <w:tcW w:w="1296" w:type="dxa"/>
            <w:shd w:val="clear" w:color="auto" w:fill="F2F5F9"/>
            <w:tcMar>
              <w:top w:w="80" w:type="dxa"/>
              <w:left w:w="100" w:type="dxa"/>
              <w:bottom w:w="80" w:type="dxa"/>
              <w:right w:w="100" w:type="dxa"/>
            </w:tcMar>
          </w:tcPr>
          <w:p w14:paraId="46A9BB82" w14:textId="77777777" w:rsidR="004C74AA" w:rsidRDefault="00000000">
            <w:pPr>
              <w:spacing w:before="40" w:after="40" w:line="252" w:lineRule="auto"/>
              <w:jc w:val="center"/>
            </w:pPr>
            <w:r>
              <w:rPr>
                <w:rFonts w:ascii="Times New Roman" w:hAnsi="Times New Roman"/>
                <w:color w:val="000000"/>
                <w:sz w:val="17"/>
              </w:rPr>
              <w:t>0,23%</w:t>
            </w:r>
            <w:r>
              <w:br/>
            </w:r>
            <w:r>
              <w:rPr>
                <w:rFonts w:ascii="Times New Roman" w:hAnsi="Times New Roman"/>
                <w:color w:val="000000"/>
                <w:sz w:val="17"/>
              </w:rPr>
              <w:t>0,31%</w:t>
            </w:r>
          </w:p>
        </w:tc>
        <w:tc>
          <w:tcPr>
            <w:tcW w:w="1584" w:type="dxa"/>
            <w:shd w:val="clear" w:color="auto" w:fill="F2F5F9"/>
            <w:tcMar>
              <w:top w:w="80" w:type="dxa"/>
              <w:left w:w="100" w:type="dxa"/>
              <w:bottom w:w="80" w:type="dxa"/>
              <w:right w:w="100" w:type="dxa"/>
            </w:tcMar>
          </w:tcPr>
          <w:p w14:paraId="788B4722" w14:textId="77777777" w:rsidR="004C74AA" w:rsidRDefault="00000000">
            <w:pPr>
              <w:spacing w:before="40" w:after="40" w:line="252" w:lineRule="auto"/>
              <w:jc w:val="center"/>
            </w:pPr>
            <w:r>
              <w:rPr>
                <w:rFonts w:ascii="Times New Roman" w:hAnsi="Times New Roman"/>
                <w:color w:val="000000"/>
                <w:sz w:val="17"/>
              </w:rPr>
              <w:t>1,30% (2025)</w:t>
            </w:r>
            <w:r>
              <w:br/>
            </w:r>
            <w:r>
              <w:rPr>
                <w:rFonts w:ascii="Times New Roman" w:hAnsi="Times New Roman"/>
                <w:color w:val="000000"/>
                <w:sz w:val="17"/>
              </w:rPr>
              <w:t>0,90% (2021)</w:t>
            </w:r>
          </w:p>
        </w:tc>
        <w:tc>
          <w:tcPr>
            <w:tcW w:w="1584" w:type="dxa"/>
            <w:shd w:val="clear" w:color="auto" w:fill="F2F5F9"/>
            <w:tcMar>
              <w:top w:w="80" w:type="dxa"/>
              <w:left w:w="100" w:type="dxa"/>
              <w:bottom w:w="80" w:type="dxa"/>
              <w:right w:w="100" w:type="dxa"/>
            </w:tcMar>
          </w:tcPr>
          <w:p w14:paraId="1234EC8C" w14:textId="77777777" w:rsidR="004C74AA" w:rsidRDefault="00000000">
            <w:pPr>
              <w:spacing w:before="40" w:after="40" w:line="252" w:lineRule="auto"/>
              <w:jc w:val="center"/>
            </w:pPr>
            <w:r>
              <w:rPr>
                <w:rFonts w:ascii="Times New Roman" w:hAnsi="Times New Roman"/>
                <w:color w:val="000000"/>
                <w:sz w:val="17"/>
              </w:rPr>
              <w:t>1,87% (2021)</w:t>
            </w:r>
            <w:r>
              <w:br/>
            </w:r>
            <w:r>
              <w:rPr>
                <w:rFonts w:ascii="Times New Roman" w:hAnsi="Times New Roman"/>
                <w:color w:val="000000"/>
                <w:sz w:val="17"/>
              </w:rPr>
              <w:t>1,62% (2024)</w:t>
            </w:r>
          </w:p>
        </w:tc>
        <w:tc>
          <w:tcPr>
            <w:tcW w:w="2304" w:type="dxa"/>
            <w:shd w:val="clear" w:color="auto" w:fill="F2F5F9"/>
            <w:tcMar>
              <w:top w:w="80" w:type="dxa"/>
              <w:left w:w="100" w:type="dxa"/>
              <w:bottom w:w="80" w:type="dxa"/>
              <w:right w:w="100" w:type="dxa"/>
            </w:tcMar>
          </w:tcPr>
          <w:p w14:paraId="136380D1" w14:textId="77777777" w:rsidR="004C74AA" w:rsidRDefault="00000000">
            <w:pPr>
              <w:spacing w:before="40" w:after="40" w:line="252" w:lineRule="auto"/>
            </w:pPr>
            <w:r>
              <w:rPr>
                <w:rFonts w:ascii="Times New Roman" w:hAnsi="Times New Roman"/>
                <w:color w:val="000000"/>
                <w:sz w:val="17"/>
              </w:rPr>
              <w:t>Agribank biến thiên hẹp hơn; MB chịu biến động chu kỳ mạnh hơn.</w:t>
            </w:r>
          </w:p>
        </w:tc>
      </w:tr>
      <w:tr w:rsidR="004C74AA" w14:paraId="25A6AF73" w14:textId="77777777">
        <w:trPr>
          <w:cantSplit/>
          <w:jc w:val="center"/>
        </w:trPr>
        <w:tc>
          <w:tcPr>
            <w:tcW w:w="2160" w:type="dxa"/>
            <w:shd w:val="clear" w:color="auto" w:fill="FFFFFF"/>
            <w:tcMar>
              <w:top w:w="80" w:type="dxa"/>
              <w:left w:w="100" w:type="dxa"/>
              <w:bottom w:w="80" w:type="dxa"/>
              <w:right w:w="100" w:type="dxa"/>
            </w:tcMar>
          </w:tcPr>
          <w:p w14:paraId="33129F99" w14:textId="77777777" w:rsidR="004C74AA" w:rsidRDefault="00000000">
            <w:pPr>
              <w:spacing w:before="40" w:after="40" w:line="252" w:lineRule="auto"/>
            </w:pPr>
            <w:r>
              <w:rPr>
                <w:rFonts w:ascii="Times New Roman" w:hAnsi="Times New Roman"/>
                <w:b/>
                <w:color w:val="000000"/>
                <w:sz w:val="17"/>
              </w:rPr>
              <w:t>Tỷ lệ Nợ nhóm 2 / Dư nợ (%)</w:t>
            </w:r>
          </w:p>
        </w:tc>
        <w:tc>
          <w:tcPr>
            <w:tcW w:w="1296" w:type="dxa"/>
            <w:shd w:val="clear" w:color="auto" w:fill="FFFFFF"/>
            <w:tcMar>
              <w:top w:w="80" w:type="dxa"/>
              <w:left w:w="100" w:type="dxa"/>
              <w:bottom w:w="80" w:type="dxa"/>
              <w:right w:w="100" w:type="dxa"/>
            </w:tcMar>
          </w:tcPr>
          <w:p w14:paraId="6C817C2F" w14:textId="77777777" w:rsidR="004C74AA" w:rsidRDefault="00000000">
            <w:pPr>
              <w:spacing w:before="40" w:after="40" w:line="252" w:lineRule="auto"/>
              <w:jc w:val="center"/>
            </w:pPr>
            <w:r>
              <w:rPr>
                <w:rFonts w:ascii="Times New Roman" w:hAnsi="Times New Roman"/>
                <w:b/>
                <w:color w:val="000000"/>
                <w:sz w:val="17"/>
              </w:rPr>
              <w:t>Agribank</w:t>
            </w:r>
            <w:r>
              <w:br/>
            </w:r>
            <w:r>
              <w:rPr>
                <w:rFonts w:ascii="Times New Roman" w:hAnsi="Times New Roman"/>
                <w:b/>
                <w:color w:val="000000"/>
                <w:sz w:val="17"/>
              </w:rPr>
              <w:t>MB</w:t>
            </w:r>
          </w:p>
        </w:tc>
        <w:tc>
          <w:tcPr>
            <w:tcW w:w="1296" w:type="dxa"/>
            <w:shd w:val="clear" w:color="auto" w:fill="FFFFFF"/>
            <w:tcMar>
              <w:top w:w="80" w:type="dxa"/>
              <w:left w:w="100" w:type="dxa"/>
              <w:bottom w:w="80" w:type="dxa"/>
              <w:right w:w="100" w:type="dxa"/>
            </w:tcMar>
          </w:tcPr>
          <w:p w14:paraId="3E85FB7B" w14:textId="77777777" w:rsidR="004C74AA" w:rsidRDefault="00000000">
            <w:pPr>
              <w:spacing w:before="40" w:after="40" w:line="252" w:lineRule="auto"/>
              <w:jc w:val="center"/>
            </w:pPr>
            <w:r>
              <w:rPr>
                <w:rFonts w:ascii="Times New Roman" w:hAnsi="Times New Roman"/>
                <w:color w:val="000000"/>
                <w:sz w:val="17"/>
              </w:rPr>
              <w:t>1,82%</w:t>
            </w:r>
            <w:r>
              <w:br/>
            </w:r>
            <w:r>
              <w:rPr>
                <w:rFonts w:ascii="Times New Roman" w:hAnsi="Times New Roman"/>
                <w:color w:val="000000"/>
                <w:sz w:val="17"/>
              </w:rPr>
              <w:t>1,40%</w:t>
            </w:r>
          </w:p>
        </w:tc>
        <w:tc>
          <w:tcPr>
            <w:tcW w:w="1296" w:type="dxa"/>
            <w:shd w:val="clear" w:color="auto" w:fill="FFFFFF"/>
            <w:tcMar>
              <w:top w:w="80" w:type="dxa"/>
              <w:left w:w="100" w:type="dxa"/>
              <w:bottom w:w="80" w:type="dxa"/>
              <w:right w:w="100" w:type="dxa"/>
            </w:tcMar>
          </w:tcPr>
          <w:p w14:paraId="350D6072" w14:textId="77777777" w:rsidR="004C74AA" w:rsidRDefault="00000000">
            <w:pPr>
              <w:spacing w:before="40" w:after="40" w:line="252" w:lineRule="auto"/>
              <w:jc w:val="center"/>
            </w:pPr>
            <w:r>
              <w:rPr>
                <w:rFonts w:ascii="Times New Roman" w:hAnsi="Times New Roman"/>
                <w:color w:val="000000"/>
                <w:sz w:val="17"/>
              </w:rPr>
              <w:t>0,53%</w:t>
            </w:r>
            <w:r>
              <w:br/>
            </w:r>
            <w:r>
              <w:rPr>
                <w:rFonts w:ascii="Times New Roman" w:hAnsi="Times New Roman"/>
                <w:color w:val="000000"/>
                <w:sz w:val="17"/>
              </w:rPr>
              <w:t>0,55%</w:t>
            </w:r>
          </w:p>
        </w:tc>
        <w:tc>
          <w:tcPr>
            <w:tcW w:w="1584" w:type="dxa"/>
            <w:shd w:val="clear" w:color="auto" w:fill="FFFFFF"/>
            <w:tcMar>
              <w:top w:w="80" w:type="dxa"/>
              <w:left w:w="100" w:type="dxa"/>
              <w:bottom w:w="80" w:type="dxa"/>
              <w:right w:w="100" w:type="dxa"/>
            </w:tcMar>
          </w:tcPr>
          <w:p w14:paraId="5D39C92F" w14:textId="77777777" w:rsidR="004C74AA" w:rsidRDefault="00000000">
            <w:pPr>
              <w:spacing w:before="40" w:after="40" w:line="252" w:lineRule="auto"/>
              <w:jc w:val="center"/>
            </w:pPr>
            <w:r>
              <w:rPr>
                <w:rFonts w:ascii="Times New Roman" w:hAnsi="Times New Roman"/>
                <w:color w:val="000000"/>
                <w:sz w:val="17"/>
              </w:rPr>
              <w:t>1,08% (2025)</w:t>
            </w:r>
            <w:r>
              <w:br/>
            </w:r>
            <w:r>
              <w:rPr>
                <w:rFonts w:ascii="Times New Roman" w:hAnsi="Times New Roman"/>
                <w:color w:val="000000"/>
                <w:sz w:val="17"/>
              </w:rPr>
              <w:t>0,81% (2020)</w:t>
            </w:r>
          </w:p>
        </w:tc>
        <w:tc>
          <w:tcPr>
            <w:tcW w:w="1584" w:type="dxa"/>
            <w:shd w:val="clear" w:color="auto" w:fill="FFFFFF"/>
            <w:tcMar>
              <w:top w:w="80" w:type="dxa"/>
              <w:left w:w="100" w:type="dxa"/>
              <w:bottom w:w="80" w:type="dxa"/>
              <w:right w:w="100" w:type="dxa"/>
            </w:tcMar>
          </w:tcPr>
          <w:p w14:paraId="0CE7ECC4" w14:textId="77777777" w:rsidR="004C74AA" w:rsidRDefault="00000000">
            <w:pPr>
              <w:spacing w:before="40" w:after="40" w:line="252" w:lineRule="auto"/>
              <w:jc w:val="center"/>
            </w:pPr>
            <w:r>
              <w:rPr>
                <w:rFonts w:ascii="Times New Roman" w:hAnsi="Times New Roman"/>
                <w:color w:val="000000"/>
                <w:sz w:val="17"/>
              </w:rPr>
              <w:t>2,48% (2020)</w:t>
            </w:r>
            <w:r>
              <w:br/>
            </w:r>
            <w:r>
              <w:rPr>
                <w:rFonts w:ascii="Times New Roman" w:hAnsi="Times New Roman"/>
                <w:color w:val="000000"/>
                <w:sz w:val="17"/>
              </w:rPr>
              <w:t>2,28% (2023)</w:t>
            </w:r>
          </w:p>
        </w:tc>
        <w:tc>
          <w:tcPr>
            <w:tcW w:w="2304" w:type="dxa"/>
            <w:shd w:val="clear" w:color="auto" w:fill="FFFFFF"/>
            <w:tcMar>
              <w:top w:w="80" w:type="dxa"/>
              <w:left w:w="100" w:type="dxa"/>
              <w:bottom w:w="80" w:type="dxa"/>
              <w:right w:w="100" w:type="dxa"/>
            </w:tcMar>
          </w:tcPr>
          <w:p w14:paraId="3872C2C4" w14:textId="77777777" w:rsidR="004C74AA" w:rsidRDefault="00000000">
            <w:pPr>
              <w:spacing w:before="40" w:after="40" w:line="252" w:lineRule="auto"/>
            </w:pPr>
            <w:r>
              <w:rPr>
                <w:rFonts w:ascii="Times New Roman" w:hAnsi="Times New Roman"/>
                <w:color w:val="000000"/>
                <w:sz w:val="17"/>
              </w:rPr>
              <w:t>MB đạt đỉnh nợ nhóm 2 vào 2023 phản ánh sốc thanh khoản TPDN/BĐS.</w:t>
            </w:r>
          </w:p>
        </w:tc>
      </w:tr>
      <w:tr w:rsidR="004C74AA" w14:paraId="455A900C" w14:textId="77777777">
        <w:trPr>
          <w:cantSplit/>
          <w:jc w:val="center"/>
        </w:trPr>
        <w:tc>
          <w:tcPr>
            <w:tcW w:w="2160" w:type="dxa"/>
            <w:shd w:val="clear" w:color="auto" w:fill="F2F5F9"/>
            <w:tcMar>
              <w:top w:w="80" w:type="dxa"/>
              <w:left w:w="100" w:type="dxa"/>
              <w:bottom w:w="80" w:type="dxa"/>
              <w:right w:w="100" w:type="dxa"/>
            </w:tcMar>
          </w:tcPr>
          <w:p w14:paraId="06A584E1" w14:textId="77777777" w:rsidR="004C74AA" w:rsidRDefault="00000000">
            <w:pPr>
              <w:spacing w:before="40" w:after="40" w:line="252" w:lineRule="auto"/>
            </w:pPr>
            <w:r>
              <w:rPr>
                <w:rFonts w:ascii="Times New Roman" w:hAnsi="Times New Roman"/>
                <w:b/>
                <w:color w:val="000000"/>
                <w:sz w:val="17"/>
              </w:rPr>
              <w:t>Tỷ lệ bao phủ nợ xấu LLCR (%)</w:t>
            </w:r>
          </w:p>
        </w:tc>
        <w:tc>
          <w:tcPr>
            <w:tcW w:w="1296" w:type="dxa"/>
            <w:shd w:val="clear" w:color="auto" w:fill="F2F5F9"/>
            <w:tcMar>
              <w:top w:w="80" w:type="dxa"/>
              <w:left w:w="100" w:type="dxa"/>
              <w:bottom w:w="80" w:type="dxa"/>
              <w:right w:w="100" w:type="dxa"/>
            </w:tcMar>
          </w:tcPr>
          <w:p w14:paraId="16E764C3" w14:textId="77777777" w:rsidR="004C74AA" w:rsidRDefault="00000000">
            <w:pPr>
              <w:spacing w:before="40" w:after="40" w:line="252" w:lineRule="auto"/>
              <w:jc w:val="center"/>
            </w:pPr>
            <w:r>
              <w:rPr>
                <w:rFonts w:ascii="Times New Roman" w:hAnsi="Times New Roman"/>
                <w:b/>
                <w:color w:val="000000"/>
                <w:sz w:val="17"/>
              </w:rPr>
              <w:t>Agribank</w:t>
            </w:r>
            <w:r>
              <w:br/>
            </w:r>
            <w:r>
              <w:rPr>
                <w:rFonts w:ascii="Times New Roman" w:hAnsi="Times New Roman"/>
                <w:b/>
                <w:color w:val="000000"/>
                <w:sz w:val="17"/>
              </w:rPr>
              <w:t>MB</w:t>
            </w:r>
          </w:p>
        </w:tc>
        <w:tc>
          <w:tcPr>
            <w:tcW w:w="1296" w:type="dxa"/>
            <w:shd w:val="clear" w:color="auto" w:fill="F2F5F9"/>
            <w:tcMar>
              <w:top w:w="80" w:type="dxa"/>
              <w:left w:w="100" w:type="dxa"/>
              <w:bottom w:w="80" w:type="dxa"/>
              <w:right w:w="100" w:type="dxa"/>
            </w:tcMar>
          </w:tcPr>
          <w:p w14:paraId="46114915" w14:textId="77777777" w:rsidR="004C74AA" w:rsidRDefault="00000000">
            <w:pPr>
              <w:spacing w:before="40" w:after="40" w:line="252" w:lineRule="auto"/>
              <w:jc w:val="center"/>
            </w:pPr>
            <w:r>
              <w:rPr>
                <w:rFonts w:ascii="Times New Roman" w:hAnsi="Times New Roman"/>
                <w:color w:val="000000"/>
                <w:sz w:val="17"/>
              </w:rPr>
              <w:t>134,4%</w:t>
            </w:r>
            <w:r>
              <w:br/>
            </w:r>
            <w:r>
              <w:rPr>
                <w:rFonts w:ascii="Times New Roman" w:hAnsi="Times New Roman"/>
                <w:color w:val="000000"/>
                <w:sz w:val="17"/>
              </w:rPr>
              <w:t>157,2%</w:t>
            </w:r>
          </w:p>
        </w:tc>
        <w:tc>
          <w:tcPr>
            <w:tcW w:w="1296" w:type="dxa"/>
            <w:shd w:val="clear" w:color="auto" w:fill="F2F5F9"/>
            <w:tcMar>
              <w:top w:w="80" w:type="dxa"/>
              <w:left w:w="100" w:type="dxa"/>
              <w:bottom w:w="80" w:type="dxa"/>
              <w:right w:w="100" w:type="dxa"/>
            </w:tcMar>
          </w:tcPr>
          <w:p w14:paraId="202D85F8" w14:textId="77777777" w:rsidR="004C74AA" w:rsidRDefault="00000000">
            <w:pPr>
              <w:spacing w:before="40" w:after="40" w:line="252" w:lineRule="auto"/>
              <w:jc w:val="center"/>
            </w:pPr>
            <w:r>
              <w:rPr>
                <w:rFonts w:ascii="Times New Roman" w:hAnsi="Times New Roman"/>
                <w:color w:val="000000"/>
                <w:sz w:val="17"/>
              </w:rPr>
              <w:t>11,5%</w:t>
            </w:r>
            <w:r>
              <w:br/>
            </w:r>
            <w:r>
              <w:rPr>
                <w:rFonts w:ascii="Times New Roman" w:hAnsi="Times New Roman"/>
                <w:color w:val="000000"/>
                <w:sz w:val="17"/>
              </w:rPr>
              <w:t>77,8%</w:t>
            </w:r>
          </w:p>
        </w:tc>
        <w:tc>
          <w:tcPr>
            <w:tcW w:w="1584" w:type="dxa"/>
            <w:shd w:val="clear" w:color="auto" w:fill="F2F5F9"/>
            <w:tcMar>
              <w:top w:w="80" w:type="dxa"/>
              <w:left w:w="100" w:type="dxa"/>
              <w:bottom w:w="80" w:type="dxa"/>
              <w:right w:w="100" w:type="dxa"/>
            </w:tcMar>
          </w:tcPr>
          <w:p w14:paraId="0D793EAF" w14:textId="77777777" w:rsidR="004C74AA" w:rsidRDefault="00000000">
            <w:pPr>
              <w:spacing w:before="40" w:after="40" w:line="252" w:lineRule="auto"/>
              <w:jc w:val="center"/>
            </w:pPr>
            <w:r>
              <w:rPr>
                <w:rFonts w:ascii="Times New Roman" w:hAnsi="Times New Roman"/>
                <w:color w:val="000000"/>
                <w:sz w:val="17"/>
              </w:rPr>
              <w:t>113,6% (2020)</w:t>
            </w:r>
            <w:r>
              <w:br/>
            </w:r>
            <w:r>
              <w:rPr>
                <w:rFonts w:ascii="Times New Roman" w:hAnsi="Times New Roman"/>
                <w:color w:val="000000"/>
                <w:sz w:val="17"/>
              </w:rPr>
              <w:t>92,2% (2024)</w:t>
            </w:r>
          </w:p>
        </w:tc>
        <w:tc>
          <w:tcPr>
            <w:tcW w:w="1584" w:type="dxa"/>
            <w:shd w:val="clear" w:color="auto" w:fill="F2F5F9"/>
            <w:tcMar>
              <w:top w:w="80" w:type="dxa"/>
              <w:left w:w="100" w:type="dxa"/>
              <w:bottom w:w="80" w:type="dxa"/>
              <w:right w:w="100" w:type="dxa"/>
            </w:tcMar>
          </w:tcPr>
          <w:p w14:paraId="7F666CE7" w14:textId="77777777" w:rsidR="004C74AA" w:rsidRDefault="00000000">
            <w:pPr>
              <w:spacing w:before="40" w:after="40" w:line="252" w:lineRule="auto"/>
              <w:jc w:val="center"/>
            </w:pPr>
            <w:r>
              <w:rPr>
                <w:rFonts w:ascii="Times New Roman" w:hAnsi="Times New Roman"/>
                <w:color w:val="000000"/>
                <w:sz w:val="17"/>
              </w:rPr>
              <w:t>146,3% (2025)</w:t>
            </w:r>
            <w:r>
              <w:br/>
            </w:r>
            <w:r>
              <w:rPr>
                <w:rFonts w:ascii="Times New Roman" w:hAnsi="Times New Roman"/>
                <w:color w:val="000000"/>
                <w:sz w:val="17"/>
              </w:rPr>
              <w:t>268,0% (2021)</w:t>
            </w:r>
          </w:p>
        </w:tc>
        <w:tc>
          <w:tcPr>
            <w:tcW w:w="2304" w:type="dxa"/>
            <w:shd w:val="clear" w:color="auto" w:fill="F2F5F9"/>
            <w:tcMar>
              <w:top w:w="80" w:type="dxa"/>
              <w:left w:w="100" w:type="dxa"/>
              <w:bottom w:w="80" w:type="dxa"/>
              <w:right w:w="100" w:type="dxa"/>
            </w:tcMar>
          </w:tcPr>
          <w:p w14:paraId="176CD601" w14:textId="77777777" w:rsidR="004C74AA" w:rsidRDefault="00000000">
            <w:pPr>
              <w:spacing w:before="40" w:after="40" w:line="252" w:lineRule="auto"/>
            </w:pPr>
            <w:r>
              <w:rPr>
                <w:rFonts w:ascii="Times New Roman" w:hAnsi="Times New Roman"/>
                <w:color w:val="000000"/>
                <w:sz w:val="17"/>
              </w:rPr>
              <w:t>MB xả mạnh bộ đệm từ đỉnh 268% xuống 93,7%; Agribank giữ vững &gt;113%.</w:t>
            </w:r>
          </w:p>
        </w:tc>
      </w:tr>
      <w:tr w:rsidR="004C74AA" w14:paraId="69262F89" w14:textId="77777777">
        <w:trPr>
          <w:cantSplit/>
          <w:jc w:val="center"/>
        </w:trPr>
        <w:tc>
          <w:tcPr>
            <w:tcW w:w="2160" w:type="dxa"/>
            <w:shd w:val="clear" w:color="auto" w:fill="FFFFFF"/>
            <w:tcMar>
              <w:top w:w="80" w:type="dxa"/>
              <w:left w:w="100" w:type="dxa"/>
              <w:bottom w:w="80" w:type="dxa"/>
              <w:right w:w="100" w:type="dxa"/>
            </w:tcMar>
          </w:tcPr>
          <w:p w14:paraId="3E54F23A" w14:textId="77777777" w:rsidR="004C74AA" w:rsidRDefault="00000000">
            <w:pPr>
              <w:spacing w:before="40" w:after="40" w:line="252" w:lineRule="auto"/>
            </w:pPr>
            <w:r>
              <w:rPr>
                <w:rFonts w:ascii="Times New Roman" w:hAnsi="Times New Roman"/>
                <w:b/>
                <w:color w:val="000000"/>
                <w:sz w:val="17"/>
              </w:rPr>
              <w:t>Chi phí tín dụng (Credit Cost, %)</w:t>
            </w:r>
          </w:p>
        </w:tc>
        <w:tc>
          <w:tcPr>
            <w:tcW w:w="1296" w:type="dxa"/>
            <w:shd w:val="clear" w:color="auto" w:fill="FFFFFF"/>
            <w:tcMar>
              <w:top w:w="80" w:type="dxa"/>
              <w:left w:w="100" w:type="dxa"/>
              <w:bottom w:w="80" w:type="dxa"/>
              <w:right w:w="100" w:type="dxa"/>
            </w:tcMar>
          </w:tcPr>
          <w:p w14:paraId="5BDD7B0D" w14:textId="77777777" w:rsidR="004C74AA" w:rsidRDefault="00000000">
            <w:pPr>
              <w:spacing w:before="40" w:after="40" w:line="252" w:lineRule="auto"/>
              <w:jc w:val="center"/>
            </w:pPr>
            <w:r>
              <w:rPr>
                <w:rFonts w:ascii="Times New Roman" w:hAnsi="Times New Roman"/>
                <w:b/>
                <w:color w:val="000000"/>
                <w:sz w:val="17"/>
              </w:rPr>
              <w:t>Agribank</w:t>
            </w:r>
            <w:r>
              <w:br/>
            </w:r>
            <w:r>
              <w:rPr>
                <w:rFonts w:ascii="Times New Roman" w:hAnsi="Times New Roman"/>
                <w:b/>
                <w:color w:val="000000"/>
                <w:sz w:val="17"/>
              </w:rPr>
              <w:t>MB</w:t>
            </w:r>
          </w:p>
        </w:tc>
        <w:tc>
          <w:tcPr>
            <w:tcW w:w="1296" w:type="dxa"/>
            <w:shd w:val="clear" w:color="auto" w:fill="FFFFFF"/>
            <w:tcMar>
              <w:top w:w="80" w:type="dxa"/>
              <w:left w:w="100" w:type="dxa"/>
              <w:bottom w:w="80" w:type="dxa"/>
              <w:right w:w="100" w:type="dxa"/>
            </w:tcMar>
          </w:tcPr>
          <w:p w14:paraId="5AC695B6" w14:textId="77777777" w:rsidR="004C74AA" w:rsidRDefault="00000000">
            <w:pPr>
              <w:spacing w:before="40" w:after="40" w:line="252" w:lineRule="auto"/>
              <w:jc w:val="center"/>
            </w:pPr>
            <w:r>
              <w:rPr>
                <w:rFonts w:ascii="Times New Roman" w:hAnsi="Times New Roman"/>
                <w:color w:val="000000"/>
                <w:sz w:val="17"/>
              </w:rPr>
              <w:t>1,66%</w:t>
            </w:r>
            <w:r>
              <w:br/>
            </w:r>
            <w:r>
              <w:rPr>
                <w:rFonts w:ascii="Times New Roman" w:hAnsi="Times New Roman"/>
                <w:color w:val="000000"/>
                <w:sz w:val="17"/>
              </w:rPr>
              <w:t>1,77%</w:t>
            </w:r>
          </w:p>
        </w:tc>
        <w:tc>
          <w:tcPr>
            <w:tcW w:w="1296" w:type="dxa"/>
            <w:shd w:val="clear" w:color="auto" w:fill="FFFFFF"/>
            <w:tcMar>
              <w:top w:w="80" w:type="dxa"/>
              <w:left w:w="100" w:type="dxa"/>
              <w:bottom w:w="80" w:type="dxa"/>
              <w:right w:w="100" w:type="dxa"/>
            </w:tcMar>
          </w:tcPr>
          <w:p w14:paraId="0F6A47DA" w14:textId="77777777" w:rsidR="004C74AA" w:rsidRDefault="00000000">
            <w:pPr>
              <w:spacing w:before="40" w:after="40" w:line="252" w:lineRule="auto"/>
              <w:jc w:val="center"/>
            </w:pPr>
            <w:r>
              <w:rPr>
                <w:rFonts w:ascii="Times New Roman" w:hAnsi="Times New Roman"/>
                <w:color w:val="000000"/>
                <w:sz w:val="17"/>
              </w:rPr>
              <w:t>0,23%</w:t>
            </w:r>
            <w:r>
              <w:br/>
            </w:r>
            <w:r>
              <w:rPr>
                <w:rFonts w:ascii="Times New Roman" w:hAnsi="Times New Roman"/>
                <w:color w:val="000000"/>
                <w:sz w:val="17"/>
              </w:rPr>
              <w:t>0,52%</w:t>
            </w:r>
          </w:p>
        </w:tc>
        <w:tc>
          <w:tcPr>
            <w:tcW w:w="1584" w:type="dxa"/>
            <w:shd w:val="clear" w:color="auto" w:fill="FFFFFF"/>
            <w:tcMar>
              <w:top w:w="80" w:type="dxa"/>
              <w:left w:w="100" w:type="dxa"/>
              <w:bottom w:w="80" w:type="dxa"/>
              <w:right w:w="100" w:type="dxa"/>
            </w:tcMar>
          </w:tcPr>
          <w:p w14:paraId="7B533CC6" w14:textId="77777777" w:rsidR="004C74AA" w:rsidRDefault="00000000">
            <w:pPr>
              <w:spacing w:before="40" w:after="40" w:line="252" w:lineRule="auto"/>
              <w:jc w:val="center"/>
            </w:pPr>
            <w:r>
              <w:rPr>
                <w:rFonts w:ascii="Times New Roman" w:hAnsi="Times New Roman"/>
                <w:color w:val="000000"/>
                <w:sz w:val="17"/>
              </w:rPr>
              <w:t>1,29% (2023)</w:t>
            </w:r>
            <w:r>
              <w:br/>
            </w:r>
            <w:r>
              <w:rPr>
                <w:rFonts w:ascii="Times New Roman" w:hAnsi="Times New Roman"/>
                <w:color w:val="000000"/>
                <w:sz w:val="17"/>
              </w:rPr>
              <w:t>1,14% (2023)</w:t>
            </w:r>
          </w:p>
        </w:tc>
        <w:tc>
          <w:tcPr>
            <w:tcW w:w="1584" w:type="dxa"/>
            <w:shd w:val="clear" w:color="auto" w:fill="FFFFFF"/>
            <w:tcMar>
              <w:top w:w="80" w:type="dxa"/>
              <w:left w:w="100" w:type="dxa"/>
              <w:bottom w:w="80" w:type="dxa"/>
              <w:right w:w="100" w:type="dxa"/>
            </w:tcMar>
          </w:tcPr>
          <w:p w14:paraId="434F7C2E" w14:textId="77777777" w:rsidR="004C74AA" w:rsidRDefault="00000000">
            <w:pPr>
              <w:spacing w:before="40" w:after="40" w:line="252" w:lineRule="auto"/>
              <w:jc w:val="center"/>
            </w:pPr>
            <w:r>
              <w:rPr>
                <w:rFonts w:ascii="Times New Roman" w:hAnsi="Times New Roman"/>
                <w:color w:val="000000"/>
                <w:sz w:val="17"/>
              </w:rPr>
              <w:t>1,97% (2022)</w:t>
            </w:r>
            <w:r>
              <w:br/>
            </w:r>
            <w:r>
              <w:rPr>
                <w:rFonts w:ascii="Times New Roman" w:hAnsi="Times New Roman"/>
                <w:color w:val="000000"/>
                <w:sz w:val="17"/>
              </w:rPr>
              <w:t>2,43% (2021)</w:t>
            </w:r>
          </w:p>
        </w:tc>
        <w:tc>
          <w:tcPr>
            <w:tcW w:w="2304" w:type="dxa"/>
            <w:shd w:val="clear" w:color="auto" w:fill="FFFFFF"/>
            <w:tcMar>
              <w:top w:w="80" w:type="dxa"/>
              <w:left w:w="100" w:type="dxa"/>
              <w:bottom w:w="80" w:type="dxa"/>
              <w:right w:w="100" w:type="dxa"/>
            </w:tcMar>
          </w:tcPr>
          <w:p w14:paraId="5B5BBB1D" w14:textId="77777777" w:rsidR="004C74AA" w:rsidRDefault="00000000">
            <w:pPr>
              <w:spacing w:before="40" w:after="40" w:line="252" w:lineRule="auto"/>
            </w:pPr>
            <w:r>
              <w:rPr>
                <w:rFonts w:ascii="Times New Roman" w:hAnsi="Times New Roman"/>
                <w:color w:val="000000"/>
                <w:sz w:val="17"/>
              </w:rPr>
              <w:t>MB có độ phân tán chi phí tín dụng lớn gấp 2,3 lần Agribank.</w:t>
            </w:r>
          </w:p>
        </w:tc>
      </w:tr>
      <w:tr w:rsidR="004C74AA" w14:paraId="02F0EF68" w14:textId="77777777">
        <w:trPr>
          <w:cantSplit/>
          <w:jc w:val="center"/>
        </w:trPr>
        <w:tc>
          <w:tcPr>
            <w:tcW w:w="2160" w:type="dxa"/>
            <w:shd w:val="clear" w:color="auto" w:fill="F2F5F9"/>
            <w:tcMar>
              <w:top w:w="80" w:type="dxa"/>
              <w:left w:w="100" w:type="dxa"/>
              <w:bottom w:w="80" w:type="dxa"/>
              <w:right w:w="100" w:type="dxa"/>
            </w:tcMar>
          </w:tcPr>
          <w:p w14:paraId="78FA791A" w14:textId="77777777" w:rsidR="004C74AA" w:rsidRDefault="00000000">
            <w:pPr>
              <w:spacing w:before="40" w:after="40" w:line="252" w:lineRule="auto"/>
            </w:pPr>
            <w:r>
              <w:rPr>
                <w:rFonts w:ascii="Times New Roman" w:hAnsi="Times New Roman"/>
                <w:b/>
                <w:color w:val="000000"/>
                <w:sz w:val="17"/>
              </w:rPr>
              <w:t>Tăng trưởng dư nợ cho vay (%)</w:t>
            </w:r>
          </w:p>
        </w:tc>
        <w:tc>
          <w:tcPr>
            <w:tcW w:w="1296" w:type="dxa"/>
            <w:shd w:val="clear" w:color="auto" w:fill="F2F5F9"/>
            <w:tcMar>
              <w:top w:w="80" w:type="dxa"/>
              <w:left w:w="100" w:type="dxa"/>
              <w:bottom w:w="80" w:type="dxa"/>
              <w:right w:w="100" w:type="dxa"/>
            </w:tcMar>
          </w:tcPr>
          <w:p w14:paraId="3C04CE96" w14:textId="77777777" w:rsidR="004C74AA" w:rsidRDefault="00000000">
            <w:pPr>
              <w:spacing w:before="40" w:after="40" w:line="252" w:lineRule="auto"/>
              <w:jc w:val="center"/>
            </w:pPr>
            <w:r>
              <w:rPr>
                <w:rFonts w:ascii="Times New Roman" w:hAnsi="Times New Roman"/>
                <w:b/>
                <w:color w:val="000000"/>
                <w:sz w:val="17"/>
              </w:rPr>
              <w:t>Agribank</w:t>
            </w:r>
            <w:r>
              <w:br/>
            </w:r>
            <w:r>
              <w:rPr>
                <w:rFonts w:ascii="Times New Roman" w:hAnsi="Times New Roman"/>
                <w:b/>
                <w:color w:val="000000"/>
                <w:sz w:val="17"/>
              </w:rPr>
              <w:t>MB</w:t>
            </w:r>
          </w:p>
        </w:tc>
        <w:tc>
          <w:tcPr>
            <w:tcW w:w="1296" w:type="dxa"/>
            <w:shd w:val="clear" w:color="auto" w:fill="F2F5F9"/>
            <w:tcMar>
              <w:top w:w="80" w:type="dxa"/>
              <w:left w:w="100" w:type="dxa"/>
              <w:bottom w:w="80" w:type="dxa"/>
              <w:right w:w="100" w:type="dxa"/>
            </w:tcMar>
          </w:tcPr>
          <w:p w14:paraId="1F7618F3" w14:textId="77777777" w:rsidR="004C74AA" w:rsidRDefault="00000000">
            <w:pPr>
              <w:spacing w:before="40" w:after="40" w:line="252" w:lineRule="auto"/>
              <w:jc w:val="center"/>
            </w:pPr>
            <w:r>
              <w:rPr>
                <w:rFonts w:ascii="Times New Roman" w:hAnsi="Times New Roman"/>
                <w:color w:val="000000"/>
                <w:sz w:val="17"/>
              </w:rPr>
              <w:t>10,5%</w:t>
            </w:r>
            <w:r>
              <w:br/>
            </w:r>
            <w:r>
              <w:rPr>
                <w:rFonts w:ascii="Times New Roman" w:hAnsi="Times New Roman"/>
                <w:color w:val="000000"/>
                <w:sz w:val="17"/>
              </w:rPr>
              <w:t>27,9%</w:t>
            </w:r>
          </w:p>
        </w:tc>
        <w:tc>
          <w:tcPr>
            <w:tcW w:w="1296" w:type="dxa"/>
            <w:shd w:val="clear" w:color="auto" w:fill="F2F5F9"/>
            <w:tcMar>
              <w:top w:w="80" w:type="dxa"/>
              <w:left w:w="100" w:type="dxa"/>
              <w:bottom w:w="80" w:type="dxa"/>
              <w:right w:w="100" w:type="dxa"/>
            </w:tcMar>
          </w:tcPr>
          <w:p w14:paraId="10A7EE8F" w14:textId="77777777" w:rsidR="004C74AA" w:rsidRDefault="00000000">
            <w:pPr>
              <w:spacing w:before="40" w:after="40" w:line="252" w:lineRule="auto"/>
              <w:jc w:val="center"/>
            </w:pPr>
            <w:r>
              <w:rPr>
                <w:rFonts w:ascii="Times New Roman" w:hAnsi="Times New Roman"/>
                <w:color w:val="000000"/>
                <w:sz w:val="17"/>
              </w:rPr>
              <w:t>2,8%</w:t>
            </w:r>
            <w:r>
              <w:br/>
            </w:r>
            <w:r>
              <w:rPr>
                <w:rFonts w:ascii="Times New Roman" w:hAnsi="Times New Roman"/>
                <w:color w:val="000000"/>
                <w:sz w:val="17"/>
              </w:rPr>
              <w:t>7,3%</w:t>
            </w:r>
          </w:p>
        </w:tc>
        <w:tc>
          <w:tcPr>
            <w:tcW w:w="1584" w:type="dxa"/>
            <w:shd w:val="clear" w:color="auto" w:fill="F2F5F9"/>
            <w:tcMar>
              <w:top w:w="80" w:type="dxa"/>
              <w:left w:w="100" w:type="dxa"/>
              <w:bottom w:w="80" w:type="dxa"/>
              <w:right w:w="100" w:type="dxa"/>
            </w:tcMar>
          </w:tcPr>
          <w:p w14:paraId="157793FB" w14:textId="77777777" w:rsidR="004C74AA" w:rsidRDefault="00000000">
            <w:pPr>
              <w:spacing w:before="40" w:after="40" w:line="252" w:lineRule="auto"/>
              <w:jc w:val="center"/>
            </w:pPr>
            <w:r>
              <w:rPr>
                <w:rFonts w:ascii="Times New Roman" w:hAnsi="Times New Roman"/>
                <w:color w:val="000000"/>
                <w:sz w:val="17"/>
              </w:rPr>
              <w:t>7,4% (2023)</w:t>
            </w:r>
            <w:r>
              <w:br/>
            </w:r>
            <w:r>
              <w:rPr>
                <w:rFonts w:ascii="Times New Roman" w:hAnsi="Times New Roman"/>
                <w:color w:val="000000"/>
                <w:sz w:val="17"/>
              </w:rPr>
              <w:t>19,2% (2020)</w:t>
            </w:r>
          </w:p>
        </w:tc>
        <w:tc>
          <w:tcPr>
            <w:tcW w:w="1584" w:type="dxa"/>
            <w:shd w:val="clear" w:color="auto" w:fill="F2F5F9"/>
            <w:tcMar>
              <w:top w:w="80" w:type="dxa"/>
              <w:left w:w="100" w:type="dxa"/>
              <w:bottom w:w="80" w:type="dxa"/>
              <w:right w:w="100" w:type="dxa"/>
            </w:tcMar>
          </w:tcPr>
          <w:p w14:paraId="2774C838" w14:textId="77777777" w:rsidR="004C74AA" w:rsidRDefault="00000000">
            <w:pPr>
              <w:spacing w:before="40" w:after="40" w:line="252" w:lineRule="auto"/>
              <w:jc w:val="center"/>
            </w:pPr>
            <w:r>
              <w:rPr>
                <w:rFonts w:ascii="Times New Roman" w:hAnsi="Times New Roman"/>
                <w:color w:val="000000"/>
                <w:sz w:val="17"/>
              </w:rPr>
              <w:t>14,7% (2025)</w:t>
            </w:r>
            <w:r>
              <w:br/>
            </w:r>
            <w:r>
              <w:rPr>
                <w:rFonts w:ascii="Times New Roman" w:hAnsi="Times New Roman"/>
                <w:color w:val="000000"/>
                <w:sz w:val="17"/>
              </w:rPr>
              <w:t>39,6% (2025)</w:t>
            </w:r>
          </w:p>
        </w:tc>
        <w:tc>
          <w:tcPr>
            <w:tcW w:w="2304" w:type="dxa"/>
            <w:shd w:val="clear" w:color="auto" w:fill="F2F5F9"/>
            <w:tcMar>
              <w:top w:w="80" w:type="dxa"/>
              <w:left w:w="100" w:type="dxa"/>
              <w:bottom w:w="80" w:type="dxa"/>
              <w:right w:w="100" w:type="dxa"/>
            </w:tcMar>
          </w:tcPr>
          <w:p w14:paraId="4631E37C" w14:textId="77777777" w:rsidR="004C74AA" w:rsidRDefault="00000000">
            <w:pPr>
              <w:spacing w:before="40" w:after="40" w:line="252" w:lineRule="auto"/>
            </w:pPr>
            <w:r>
              <w:rPr>
                <w:rFonts w:ascii="Times New Roman" w:hAnsi="Times New Roman"/>
                <w:color w:val="000000"/>
                <w:sz w:val="17"/>
              </w:rPr>
              <w:t>MB mở rộng quy mô tín dụng nhanh gấp 2,7 lần Agribank xuyên suốt 6 năm.</w:t>
            </w:r>
          </w:p>
        </w:tc>
      </w:tr>
      <w:tr w:rsidR="004C74AA" w14:paraId="238C5FB2" w14:textId="77777777">
        <w:trPr>
          <w:cantSplit/>
          <w:jc w:val="center"/>
        </w:trPr>
        <w:tc>
          <w:tcPr>
            <w:tcW w:w="2160" w:type="dxa"/>
            <w:shd w:val="clear" w:color="auto" w:fill="FFFFFF"/>
            <w:tcMar>
              <w:top w:w="80" w:type="dxa"/>
              <w:left w:w="100" w:type="dxa"/>
              <w:bottom w:w="80" w:type="dxa"/>
              <w:right w:w="100" w:type="dxa"/>
            </w:tcMar>
          </w:tcPr>
          <w:p w14:paraId="701D16B6" w14:textId="77777777" w:rsidR="004C74AA" w:rsidRDefault="00000000">
            <w:pPr>
              <w:spacing w:before="40" w:after="40" w:line="252" w:lineRule="auto"/>
            </w:pPr>
            <w:r>
              <w:rPr>
                <w:rFonts w:ascii="Times New Roman" w:hAnsi="Times New Roman"/>
                <w:b/>
                <w:color w:val="000000"/>
                <w:sz w:val="17"/>
              </w:rPr>
              <w:t>Hệ số an toàn vốn CAR (%)</w:t>
            </w:r>
          </w:p>
        </w:tc>
        <w:tc>
          <w:tcPr>
            <w:tcW w:w="1296" w:type="dxa"/>
            <w:shd w:val="clear" w:color="auto" w:fill="FFFFFF"/>
            <w:tcMar>
              <w:top w:w="80" w:type="dxa"/>
              <w:left w:w="100" w:type="dxa"/>
              <w:bottom w:w="80" w:type="dxa"/>
              <w:right w:w="100" w:type="dxa"/>
            </w:tcMar>
          </w:tcPr>
          <w:p w14:paraId="26FD2B39" w14:textId="77777777" w:rsidR="004C74AA" w:rsidRDefault="00000000">
            <w:pPr>
              <w:spacing w:before="40" w:after="40" w:line="252" w:lineRule="auto"/>
              <w:jc w:val="center"/>
            </w:pPr>
            <w:r>
              <w:rPr>
                <w:rFonts w:ascii="Times New Roman" w:hAnsi="Times New Roman"/>
                <w:b/>
                <w:color w:val="000000"/>
                <w:sz w:val="17"/>
              </w:rPr>
              <w:t>Agribank</w:t>
            </w:r>
            <w:r>
              <w:br/>
            </w:r>
            <w:r>
              <w:rPr>
                <w:rFonts w:ascii="Times New Roman" w:hAnsi="Times New Roman"/>
                <w:b/>
                <w:color w:val="000000"/>
                <w:sz w:val="17"/>
              </w:rPr>
              <w:t>MB</w:t>
            </w:r>
          </w:p>
        </w:tc>
        <w:tc>
          <w:tcPr>
            <w:tcW w:w="1296" w:type="dxa"/>
            <w:shd w:val="clear" w:color="auto" w:fill="FFFFFF"/>
            <w:tcMar>
              <w:top w:w="80" w:type="dxa"/>
              <w:left w:w="100" w:type="dxa"/>
              <w:bottom w:w="80" w:type="dxa"/>
              <w:right w:w="100" w:type="dxa"/>
            </w:tcMar>
          </w:tcPr>
          <w:p w14:paraId="596FF1DD" w14:textId="77777777" w:rsidR="004C74AA" w:rsidRDefault="00000000">
            <w:pPr>
              <w:spacing w:before="40" w:after="40" w:line="252" w:lineRule="auto"/>
              <w:jc w:val="center"/>
            </w:pPr>
            <w:r>
              <w:rPr>
                <w:rFonts w:ascii="Times New Roman" w:hAnsi="Times New Roman"/>
                <w:color w:val="000000"/>
                <w:sz w:val="17"/>
              </w:rPr>
              <w:t>10,44%</w:t>
            </w:r>
            <w:r>
              <w:br/>
            </w:r>
            <w:r>
              <w:rPr>
                <w:rFonts w:ascii="Times New Roman" w:hAnsi="Times New Roman"/>
                <w:color w:val="000000"/>
                <w:sz w:val="17"/>
              </w:rPr>
              <w:t>11,30%</w:t>
            </w:r>
          </w:p>
        </w:tc>
        <w:tc>
          <w:tcPr>
            <w:tcW w:w="1296" w:type="dxa"/>
            <w:shd w:val="clear" w:color="auto" w:fill="FFFFFF"/>
            <w:tcMar>
              <w:top w:w="80" w:type="dxa"/>
              <w:left w:w="100" w:type="dxa"/>
              <w:bottom w:w="80" w:type="dxa"/>
              <w:right w:w="100" w:type="dxa"/>
            </w:tcMar>
          </w:tcPr>
          <w:p w14:paraId="369E820E" w14:textId="77777777" w:rsidR="004C74AA" w:rsidRDefault="00000000">
            <w:pPr>
              <w:spacing w:before="40" w:after="40" w:line="252" w:lineRule="auto"/>
              <w:jc w:val="center"/>
            </w:pPr>
            <w:r>
              <w:rPr>
                <w:rFonts w:ascii="Times New Roman" w:hAnsi="Times New Roman"/>
                <w:color w:val="000000"/>
                <w:sz w:val="17"/>
              </w:rPr>
              <w:t>0,71%</w:t>
            </w:r>
            <w:r>
              <w:br/>
            </w:r>
            <w:r>
              <w:rPr>
                <w:rFonts w:ascii="Times New Roman" w:hAnsi="Times New Roman"/>
                <w:color w:val="000000"/>
                <w:sz w:val="17"/>
              </w:rPr>
              <w:t>0,50%</w:t>
            </w:r>
          </w:p>
        </w:tc>
        <w:tc>
          <w:tcPr>
            <w:tcW w:w="1584" w:type="dxa"/>
            <w:shd w:val="clear" w:color="auto" w:fill="FFFFFF"/>
            <w:tcMar>
              <w:top w:w="80" w:type="dxa"/>
              <w:left w:w="100" w:type="dxa"/>
              <w:bottom w:w="80" w:type="dxa"/>
              <w:right w:w="100" w:type="dxa"/>
            </w:tcMar>
          </w:tcPr>
          <w:p w14:paraId="79F01399" w14:textId="77777777" w:rsidR="004C74AA" w:rsidRDefault="00000000">
            <w:pPr>
              <w:spacing w:before="40" w:after="40" w:line="252" w:lineRule="auto"/>
              <w:jc w:val="center"/>
            </w:pPr>
            <w:r>
              <w:rPr>
                <w:rFonts w:ascii="Times New Roman" w:hAnsi="Times New Roman"/>
                <w:color w:val="000000"/>
                <w:sz w:val="17"/>
              </w:rPr>
              <w:t>9,20% (2023)</w:t>
            </w:r>
            <w:r>
              <w:br/>
            </w:r>
            <w:r>
              <w:rPr>
                <w:rFonts w:ascii="Times New Roman" w:hAnsi="Times New Roman"/>
                <w:color w:val="000000"/>
                <w:sz w:val="17"/>
              </w:rPr>
              <w:t>10,42% (2020)</w:t>
            </w:r>
          </w:p>
        </w:tc>
        <w:tc>
          <w:tcPr>
            <w:tcW w:w="1584" w:type="dxa"/>
            <w:shd w:val="clear" w:color="auto" w:fill="FFFFFF"/>
            <w:tcMar>
              <w:top w:w="80" w:type="dxa"/>
              <w:left w:w="100" w:type="dxa"/>
              <w:bottom w:w="80" w:type="dxa"/>
              <w:right w:w="100" w:type="dxa"/>
            </w:tcMar>
          </w:tcPr>
          <w:p w14:paraId="0A2CBD7C" w14:textId="77777777" w:rsidR="004C74AA" w:rsidRDefault="00000000">
            <w:pPr>
              <w:spacing w:before="40" w:after="40" w:line="252" w:lineRule="auto"/>
              <w:jc w:val="center"/>
            </w:pPr>
            <w:r>
              <w:rPr>
                <w:rFonts w:ascii="Times New Roman" w:hAnsi="Times New Roman"/>
                <w:color w:val="000000"/>
                <w:sz w:val="17"/>
              </w:rPr>
              <w:t>11,36% (2024)</w:t>
            </w:r>
            <w:r>
              <w:br/>
            </w:r>
            <w:r>
              <w:rPr>
                <w:rFonts w:ascii="Times New Roman" w:hAnsi="Times New Roman"/>
                <w:color w:val="000000"/>
                <w:sz w:val="17"/>
              </w:rPr>
              <w:t>11,80% (2024)</w:t>
            </w:r>
          </w:p>
        </w:tc>
        <w:tc>
          <w:tcPr>
            <w:tcW w:w="2304" w:type="dxa"/>
            <w:shd w:val="clear" w:color="auto" w:fill="FFFFFF"/>
            <w:tcMar>
              <w:top w:w="80" w:type="dxa"/>
              <w:left w:w="100" w:type="dxa"/>
              <w:bottom w:w="80" w:type="dxa"/>
              <w:right w:w="100" w:type="dxa"/>
            </w:tcMar>
          </w:tcPr>
          <w:p w14:paraId="716DFCE9" w14:textId="77777777" w:rsidR="004C74AA" w:rsidRDefault="00000000">
            <w:pPr>
              <w:spacing w:before="40" w:after="40" w:line="252" w:lineRule="auto"/>
            </w:pPr>
            <w:r>
              <w:rPr>
                <w:rFonts w:ascii="Times New Roman" w:hAnsi="Times New Roman"/>
                <w:color w:val="000000"/>
                <w:sz w:val="17"/>
              </w:rPr>
              <w:t>Bộ đệm vốn của MB dày hơn Agribank trung bình 86 điểm cơ bản.</w:t>
            </w:r>
          </w:p>
        </w:tc>
      </w:tr>
    </w:tbl>
    <w:p w14:paraId="5B3FFC9D" w14:textId="77777777" w:rsidR="004C74AA" w:rsidRDefault="00000000">
      <w:pPr>
        <w:spacing w:before="60" w:after="240"/>
      </w:pPr>
      <w:r>
        <w:rPr>
          <w:rFonts w:ascii="Times New Roman" w:hAnsi="Times New Roman"/>
          <w:i/>
          <w:color w:val="505050"/>
          <w:sz w:val="18"/>
        </w:rPr>
        <w:t>Nguồn: Tính toán của nhóm nghiên cứu từ chuỗi dữ liệu gốc BCTC hợp nhất kiểm toán 2020–2025 tại sheet Du_lieu và Chi_tieu.</w:t>
      </w:r>
    </w:p>
    <w:p>
      <w:pPr>
        <w:keepNext/>
        <w:pageBreakBefore w:val="0"/>
        <w:spacing w:before="200" w:after="80" w:line="276" w:lineRule="auto"/>
        <w:jc w:val="left"/>
      </w:pPr>
      <w:r>
        <w:rPr>
          <w:rFonts w:ascii="Times New Roman" w:hAnsi="Times New Roman"/>
          <w:b/>
          <w:i w:val="0"/>
          <w:color w:val="002060"/>
          <w:sz w:val="22"/>
        </w:rPr>
        <w:t>Phụ lục 2. Ma trận hệ số tương quan (Correlation Matrix) giữa Tăng trưởng tín dụng, Nợ nhóm 2 và NPL</w:t>
      </w:r>
    </w:p>
    <w:tbl>
      <w:tblPr>
        <w:tblW w:w="0" w:type="auto"/>
        <w:jc w:val="center"/>
        <w:tblLook w:val="04A0" w:firstRow="1" w:lastRow="0" w:firstColumn="1" w:lastColumn="0" w:noHBand="0" w:noVBand="1"/>
      </w:tblPr>
      <w:tblGrid>
        <w:gridCol w:w="2442"/>
        <w:gridCol w:w="1347"/>
        <w:gridCol w:w="1401"/>
        <w:gridCol w:w="1401"/>
        <w:gridCol w:w="1374"/>
        <w:gridCol w:w="1347"/>
      </w:tblGrid>
      <w:tr w:rsidR="004C74AA" w14:paraId="4453E4FB" w14:textId="77777777">
        <w:trPr>
          <w:cantSplit/>
          <w:tblHeader/>
          <w:jc w:val="center"/>
        </w:trPr>
        <w:tc>
          <w:tcPr>
            <w:tcW w:w="3168" w:type="dxa"/>
            <w:shd w:val="clear" w:color="auto" w:fill="1F497D"/>
            <w:tcMar>
              <w:top w:w="100" w:type="dxa"/>
              <w:left w:w="120" w:type="dxa"/>
              <w:bottom w:w="100" w:type="dxa"/>
              <w:right w:w="120" w:type="dxa"/>
            </w:tcMar>
          </w:tcPr>
          <w:p w14:paraId="47101AF7" w14:textId="77777777" w:rsidR="004C74AA" w:rsidRDefault="00000000">
            <w:pPr>
              <w:spacing w:before="40" w:after="40" w:line="252" w:lineRule="auto"/>
              <w:jc w:val="center"/>
            </w:pPr>
            <w:r>
              <w:rPr>
                <w:rFonts w:ascii="Times New Roman" w:hAnsi="Times New Roman"/>
                <w:b/>
                <w:color w:val="FFFFFF"/>
                <w:sz w:val="18"/>
              </w:rPr>
              <w:t>Biến số kinh tế lượng</w:t>
            </w:r>
          </w:p>
        </w:tc>
        <w:tc>
          <w:tcPr>
            <w:tcW w:w="1584" w:type="dxa"/>
            <w:shd w:val="clear" w:color="auto" w:fill="1F497D"/>
            <w:tcMar>
              <w:top w:w="100" w:type="dxa"/>
              <w:left w:w="120" w:type="dxa"/>
              <w:bottom w:w="100" w:type="dxa"/>
              <w:right w:w="120" w:type="dxa"/>
            </w:tcMar>
          </w:tcPr>
          <w:p w14:paraId="4FE7503E" w14:textId="77777777" w:rsidR="004C74AA" w:rsidRDefault="00000000">
            <w:pPr>
              <w:spacing w:before="40" w:after="40" w:line="252" w:lineRule="auto"/>
              <w:jc w:val="center"/>
            </w:pPr>
            <w:r>
              <w:rPr>
                <w:rFonts w:ascii="Times New Roman" w:hAnsi="Times New Roman"/>
                <w:b/>
                <w:color w:val="FFFFFF"/>
                <w:sz w:val="18"/>
              </w:rPr>
              <w:t>(1) Tăng trưởng Dư nợ</w:t>
            </w:r>
          </w:p>
        </w:tc>
        <w:tc>
          <w:tcPr>
            <w:tcW w:w="1584" w:type="dxa"/>
            <w:shd w:val="clear" w:color="auto" w:fill="1F497D"/>
            <w:tcMar>
              <w:top w:w="100" w:type="dxa"/>
              <w:left w:w="120" w:type="dxa"/>
              <w:bottom w:w="100" w:type="dxa"/>
              <w:right w:w="120" w:type="dxa"/>
            </w:tcMar>
          </w:tcPr>
          <w:p w14:paraId="77FE448B" w14:textId="77777777" w:rsidR="004C74AA" w:rsidRDefault="00000000">
            <w:pPr>
              <w:spacing w:before="40" w:after="40" w:line="252" w:lineRule="auto"/>
              <w:jc w:val="center"/>
            </w:pPr>
            <w:r>
              <w:rPr>
                <w:rFonts w:ascii="Times New Roman" w:hAnsi="Times New Roman"/>
                <w:b/>
                <w:color w:val="FFFFFF"/>
                <w:sz w:val="18"/>
              </w:rPr>
              <w:t>(2) Tỷ lệ NPL</w:t>
            </w:r>
          </w:p>
        </w:tc>
        <w:tc>
          <w:tcPr>
            <w:tcW w:w="1584" w:type="dxa"/>
            <w:shd w:val="clear" w:color="auto" w:fill="1F497D"/>
            <w:tcMar>
              <w:top w:w="100" w:type="dxa"/>
              <w:left w:w="120" w:type="dxa"/>
              <w:bottom w:w="100" w:type="dxa"/>
              <w:right w:w="120" w:type="dxa"/>
            </w:tcMar>
          </w:tcPr>
          <w:p w14:paraId="70988985" w14:textId="77777777" w:rsidR="004C74AA" w:rsidRDefault="00000000">
            <w:pPr>
              <w:spacing w:before="40" w:after="40" w:line="252" w:lineRule="auto"/>
              <w:jc w:val="center"/>
            </w:pPr>
            <w:r>
              <w:rPr>
                <w:rFonts w:ascii="Times New Roman" w:hAnsi="Times New Roman"/>
                <w:b/>
                <w:color w:val="FFFFFF"/>
                <w:sz w:val="18"/>
              </w:rPr>
              <w:t>(3) Tỷ lệ Nợ nhóm 2</w:t>
            </w:r>
          </w:p>
        </w:tc>
        <w:tc>
          <w:tcPr>
            <w:tcW w:w="1584" w:type="dxa"/>
            <w:shd w:val="clear" w:color="auto" w:fill="1F497D"/>
            <w:tcMar>
              <w:top w:w="100" w:type="dxa"/>
              <w:left w:w="120" w:type="dxa"/>
              <w:bottom w:w="100" w:type="dxa"/>
              <w:right w:w="120" w:type="dxa"/>
            </w:tcMar>
          </w:tcPr>
          <w:p w14:paraId="26E0AB6E" w14:textId="77777777" w:rsidR="004C74AA" w:rsidRDefault="00000000">
            <w:pPr>
              <w:spacing w:before="40" w:after="40" w:line="252" w:lineRule="auto"/>
              <w:jc w:val="center"/>
            </w:pPr>
            <w:r>
              <w:rPr>
                <w:rFonts w:ascii="Times New Roman" w:hAnsi="Times New Roman"/>
                <w:b/>
                <w:color w:val="FFFFFF"/>
                <w:sz w:val="18"/>
              </w:rPr>
              <w:t>(4) Tỷ lệ LLCR</w:t>
            </w:r>
          </w:p>
        </w:tc>
        <w:tc>
          <w:tcPr>
            <w:tcW w:w="1584" w:type="dxa"/>
            <w:shd w:val="clear" w:color="auto" w:fill="1F497D"/>
            <w:tcMar>
              <w:top w:w="100" w:type="dxa"/>
              <w:left w:w="120" w:type="dxa"/>
              <w:bottom w:w="100" w:type="dxa"/>
              <w:right w:w="120" w:type="dxa"/>
            </w:tcMar>
          </w:tcPr>
          <w:p w14:paraId="141D5509" w14:textId="77777777" w:rsidR="004C74AA" w:rsidRDefault="00000000">
            <w:pPr>
              <w:spacing w:before="40" w:after="40" w:line="252" w:lineRule="auto"/>
              <w:jc w:val="center"/>
            </w:pPr>
            <w:r>
              <w:rPr>
                <w:rFonts w:ascii="Times New Roman" w:hAnsi="Times New Roman"/>
                <w:b/>
                <w:color w:val="FFFFFF"/>
                <w:sz w:val="18"/>
              </w:rPr>
              <w:t>(5) Credit Cost</w:t>
            </w:r>
          </w:p>
        </w:tc>
      </w:tr>
      <w:tr w:rsidR="004C74AA" w14:paraId="03869713" w14:textId="77777777">
        <w:trPr>
          <w:cantSplit/>
          <w:jc w:val="center"/>
        </w:trPr>
        <w:tc>
          <w:tcPr>
            <w:tcW w:w="3168" w:type="dxa"/>
            <w:shd w:val="clear" w:color="auto" w:fill="F2F5F9"/>
            <w:tcMar>
              <w:top w:w="80" w:type="dxa"/>
              <w:left w:w="100" w:type="dxa"/>
              <w:bottom w:w="80" w:type="dxa"/>
              <w:right w:w="100" w:type="dxa"/>
            </w:tcMar>
          </w:tcPr>
          <w:p w14:paraId="61843930" w14:textId="77777777" w:rsidR="004C74AA" w:rsidRDefault="00000000">
            <w:pPr>
              <w:spacing w:before="40" w:after="40" w:line="252" w:lineRule="auto"/>
            </w:pPr>
            <w:r>
              <w:rPr>
                <w:rFonts w:ascii="Times New Roman" w:hAnsi="Times New Roman"/>
                <w:b/>
                <w:color w:val="000000"/>
                <w:sz w:val="18"/>
              </w:rPr>
              <w:t>(1) Tăng trưởng Dư nợ</w:t>
            </w:r>
          </w:p>
        </w:tc>
        <w:tc>
          <w:tcPr>
            <w:tcW w:w="1584" w:type="dxa"/>
            <w:shd w:val="clear" w:color="auto" w:fill="F2F5F9"/>
            <w:tcMar>
              <w:top w:w="80" w:type="dxa"/>
              <w:left w:w="100" w:type="dxa"/>
              <w:bottom w:w="80" w:type="dxa"/>
              <w:right w:w="100" w:type="dxa"/>
            </w:tcMar>
          </w:tcPr>
          <w:p w14:paraId="2892D5A2" w14:textId="77777777" w:rsidR="004C74AA" w:rsidRDefault="00000000">
            <w:pPr>
              <w:spacing w:before="40" w:after="40" w:line="252" w:lineRule="auto"/>
              <w:jc w:val="center"/>
            </w:pPr>
            <w:r>
              <w:rPr>
                <w:rFonts w:ascii="Times New Roman" w:hAnsi="Times New Roman"/>
                <w:b/>
                <w:color w:val="000000"/>
                <w:sz w:val="18"/>
              </w:rPr>
              <w:t>1,000</w:t>
            </w:r>
          </w:p>
        </w:tc>
        <w:tc>
          <w:tcPr>
            <w:tcW w:w="1584" w:type="dxa"/>
            <w:shd w:val="clear" w:color="auto" w:fill="F2F5F9"/>
            <w:tcMar>
              <w:top w:w="80" w:type="dxa"/>
              <w:left w:w="100" w:type="dxa"/>
              <w:bottom w:w="80" w:type="dxa"/>
              <w:right w:w="100" w:type="dxa"/>
            </w:tcMar>
          </w:tcPr>
          <w:p w14:paraId="241A709C" w14:textId="77777777" w:rsidR="004C74AA" w:rsidRDefault="00000000">
            <w:pPr>
              <w:spacing w:before="40" w:after="40" w:line="252" w:lineRule="auto"/>
              <w:jc w:val="center"/>
            </w:pPr>
            <w:r>
              <w:rPr>
                <w:rFonts w:ascii="Times New Roman" w:hAnsi="Times New Roman"/>
                <w:color w:val="000000"/>
                <w:sz w:val="18"/>
              </w:rPr>
              <w:t>−0,412*</w:t>
            </w:r>
          </w:p>
        </w:tc>
        <w:tc>
          <w:tcPr>
            <w:tcW w:w="1584" w:type="dxa"/>
            <w:shd w:val="clear" w:color="auto" w:fill="F2F5F9"/>
            <w:tcMar>
              <w:top w:w="80" w:type="dxa"/>
              <w:left w:w="100" w:type="dxa"/>
              <w:bottom w:w="80" w:type="dxa"/>
              <w:right w:w="100" w:type="dxa"/>
            </w:tcMar>
          </w:tcPr>
          <w:p w14:paraId="255ED276" w14:textId="77777777" w:rsidR="004C74AA" w:rsidRDefault="00000000">
            <w:pPr>
              <w:spacing w:before="40" w:after="40" w:line="252" w:lineRule="auto"/>
              <w:jc w:val="center"/>
            </w:pPr>
            <w:r>
              <w:rPr>
                <w:rFonts w:ascii="Times New Roman" w:hAnsi="Times New Roman"/>
                <w:color w:val="000000"/>
                <w:sz w:val="18"/>
              </w:rPr>
              <w:t>+0,185</w:t>
            </w:r>
          </w:p>
        </w:tc>
        <w:tc>
          <w:tcPr>
            <w:tcW w:w="1584" w:type="dxa"/>
            <w:shd w:val="clear" w:color="auto" w:fill="F2F5F9"/>
            <w:tcMar>
              <w:top w:w="80" w:type="dxa"/>
              <w:left w:w="100" w:type="dxa"/>
              <w:bottom w:w="80" w:type="dxa"/>
              <w:right w:w="100" w:type="dxa"/>
            </w:tcMar>
          </w:tcPr>
          <w:p w14:paraId="41BCBEC7" w14:textId="77777777" w:rsidR="004C74AA" w:rsidRDefault="00000000">
            <w:pPr>
              <w:spacing w:before="40" w:after="40" w:line="252" w:lineRule="auto"/>
              <w:jc w:val="center"/>
            </w:pPr>
            <w:r>
              <w:rPr>
                <w:rFonts w:ascii="Times New Roman" w:hAnsi="Times New Roman"/>
                <w:color w:val="000000"/>
                <w:sz w:val="18"/>
              </w:rPr>
              <w:t>−0,324</w:t>
            </w:r>
          </w:p>
        </w:tc>
        <w:tc>
          <w:tcPr>
            <w:tcW w:w="1584" w:type="dxa"/>
            <w:shd w:val="clear" w:color="auto" w:fill="F2F5F9"/>
            <w:tcMar>
              <w:top w:w="80" w:type="dxa"/>
              <w:left w:w="100" w:type="dxa"/>
              <w:bottom w:w="80" w:type="dxa"/>
              <w:right w:w="100" w:type="dxa"/>
            </w:tcMar>
          </w:tcPr>
          <w:p w14:paraId="00EF9DD5" w14:textId="77777777" w:rsidR="004C74AA" w:rsidRDefault="00000000">
            <w:pPr>
              <w:spacing w:before="40" w:after="40" w:line="252" w:lineRule="auto"/>
              <w:jc w:val="center"/>
            </w:pPr>
            <w:r>
              <w:rPr>
                <w:rFonts w:ascii="Times New Roman" w:hAnsi="Times New Roman"/>
                <w:color w:val="000000"/>
                <w:sz w:val="18"/>
              </w:rPr>
              <w:t>−0,158</w:t>
            </w:r>
          </w:p>
        </w:tc>
      </w:tr>
      <w:tr w:rsidR="004C74AA" w14:paraId="0B6E35DC" w14:textId="77777777">
        <w:trPr>
          <w:cantSplit/>
          <w:jc w:val="center"/>
        </w:trPr>
        <w:tc>
          <w:tcPr>
            <w:tcW w:w="3168" w:type="dxa"/>
            <w:shd w:val="clear" w:color="auto" w:fill="FFFFFF"/>
            <w:tcMar>
              <w:top w:w="80" w:type="dxa"/>
              <w:left w:w="100" w:type="dxa"/>
              <w:bottom w:w="80" w:type="dxa"/>
              <w:right w:w="100" w:type="dxa"/>
            </w:tcMar>
          </w:tcPr>
          <w:p w14:paraId="5D5E6B33" w14:textId="77777777" w:rsidR="004C74AA" w:rsidRDefault="00000000">
            <w:pPr>
              <w:spacing w:before="40" w:after="40" w:line="252" w:lineRule="auto"/>
            </w:pPr>
            <w:r>
              <w:rPr>
                <w:rFonts w:ascii="Times New Roman" w:hAnsi="Times New Roman"/>
                <w:b/>
                <w:color w:val="000000"/>
                <w:sz w:val="18"/>
              </w:rPr>
              <w:t>(2) Tỷ lệ NPL (Hợp nhất)</w:t>
            </w:r>
          </w:p>
        </w:tc>
        <w:tc>
          <w:tcPr>
            <w:tcW w:w="1584" w:type="dxa"/>
            <w:shd w:val="clear" w:color="auto" w:fill="FFFFFF"/>
            <w:tcMar>
              <w:top w:w="80" w:type="dxa"/>
              <w:left w:w="100" w:type="dxa"/>
              <w:bottom w:w="80" w:type="dxa"/>
              <w:right w:w="100" w:type="dxa"/>
            </w:tcMar>
          </w:tcPr>
          <w:p w14:paraId="0A436AD1" w14:textId="77777777" w:rsidR="004C74AA" w:rsidRDefault="00000000">
            <w:pPr>
              <w:spacing w:before="40" w:after="40" w:line="252" w:lineRule="auto"/>
              <w:jc w:val="center"/>
            </w:pPr>
            <w:r>
              <w:rPr>
                <w:rFonts w:ascii="Times New Roman" w:hAnsi="Times New Roman"/>
                <w:color w:val="000000"/>
                <w:sz w:val="18"/>
              </w:rPr>
              <w:t>−0,412*</w:t>
            </w:r>
          </w:p>
        </w:tc>
        <w:tc>
          <w:tcPr>
            <w:tcW w:w="1584" w:type="dxa"/>
            <w:shd w:val="clear" w:color="auto" w:fill="FFFFFF"/>
            <w:tcMar>
              <w:top w:w="80" w:type="dxa"/>
              <w:left w:w="100" w:type="dxa"/>
              <w:bottom w:w="80" w:type="dxa"/>
              <w:right w:w="100" w:type="dxa"/>
            </w:tcMar>
          </w:tcPr>
          <w:p w14:paraId="57657BA3" w14:textId="77777777" w:rsidR="004C74AA" w:rsidRDefault="00000000">
            <w:pPr>
              <w:spacing w:before="40" w:after="40" w:line="252" w:lineRule="auto"/>
              <w:jc w:val="center"/>
            </w:pPr>
            <w:r>
              <w:rPr>
                <w:rFonts w:ascii="Times New Roman" w:hAnsi="Times New Roman"/>
                <w:b/>
                <w:color w:val="000000"/>
                <w:sz w:val="18"/>
              </w:rPr>
              <w:t>1,000</w:t>
            </w:r>
          </w:p>
        </w:tc>
        <w:tc>
          <w:tcPr>
            <w:tcW w:w="1584" w:type="dxa"/>
            <w:shd w:val="clear" w:color="auto" w:fill="FFFFFF"/>
            <w:tcMar>
              <w:top w:w="80" w:type="dxa"/>
              <w:left w:w="100" w:type="dxa"/>
              <w:bottom w:w="80" w:type="dxa"/>
              <w:right w:w="100" w:type="dxa"/>
            </w:tcMar>
          </w:tcPr>
          <w:p w14:paraId="6B450064" w14:textId="77777777" w:rsidR="004C74AA" w:rsidRDefault="00000000">
            <w:pPr>
              <w:spacing w:before="40" w:after="40" w:line="252" w:lineRule="auto"/>
              <w:jc w:val="center"/>
            </w:pPr>
            <w:r>
              <w:rPr>
                <w:rFonts w:ascii="Times New Roman" w:hAnsi="Times New Roman"/>
                <w:color w:val="000000"/>
                <w:sz w:val="18"/>
              </w:rPr>
              <w:t>+0,684***</w:t>
            </w:r>
          </w:p>
        </w:tc>
        <w:tc>
          <w:tcPr>
            <w:tcW w:w="1584" w:type="dxa"/>
            <w:shd w:val="clear" w:color="auto" w:fill="FFFFFF"/>
            <w:tcMar>
              <w:top w:w="80" w:type="dxa"/>
              <w:left w:w="100" w:type="dxa"/>
              <w:bottom w:w="80" w:type="dxa"/>
              <w:right w:w="100" w:type="dxa"/>
            </w:tcMar>
          </w:tcPr>
          <w:p w14:paraId="512CF6E9" w14:textId="77777777" w:rsidR="004C74AA" w:rsidRDefault="00000000">
            <w:pPr>
              <w:spacing w:before="40" w:after="40" w:line="252" w:lineRule="auto"/>
              <w:jc w:val="center"/>
            </w:pPr>
            <w:r>
              <w:rPr>
                <w:rFonts w:ascii="Times New Roman" w:hAnsi="Times New Roman"/>
                <w:color w:val="000000"/>
                <w:sz w:val="18"/>
              </w:rPr>
              <w:t>+0,112</w:t>
            </w:r>
          </w:p>
        </w:tc>
        <w:tc>
          <w:tcPr>
            <w:tcW w:w="1584" w:type="dxa"/>
            <w:shd w:val="clear" w:color="auto" w:fill="FFFFFF"/>
            <w:tcMar>
              <w:top w:w="80" w:type="dxa"/>
              <w:left w:w="100" w:type="dxa"/>
              <w:bottom w:w="80" w:type="dxa"/>
              <w:right w:w="100" w:type="dxa"/>
            </w:tcMar>
          </w:tcPr>
          <w:p w14:paraId="450928C7" w14:textId="77777777" w:rsidR="004C74AA" w:rsidRDefault="00000000">
            <w:pPr>
              <w:spacing w:before="40" w:after="40" w:line="252" w:lineRule="auto"/>
              <w:jc w:val="center"/>
            </w:pPr>
            <w:r>
              <w:rPr>
                <w:rFonts w:ascii="Times New Roman" w:hAnsi="Times New Roman"/>
                <w:color w:val="000000"/>
                <w:sz w:val="18"/>
              </w:rPr>
              <w:t>+0,345*</w:t>
            </w:r>
          </w:p>
        </w:tc>
      </w:tr>
      <w:tr w:rsidR="004C74AA" w14:paraId="0D797B6E" w14:textId="77777777">
        <w:trPr>
          <w:cantSplit/>
          <w:jc w:val="center"/>
        </w:trPr>
        <w:tc>
          <w:tcPr>
            <w:tcW w:w="3168" w:type="dxa"/>
            <w:shd w:val="clear" w:color="auto" w:fill="F2F5F9"/>
            <w:tcMar>
              <w:top w:w="80" w:type="dxa"/>
              <w:left w:w="100" w:type="dxa"/>
              <w:bottom w:w="80" w:type="dxa"/>
              <w:right w:w="100" w:type="dxa"/>
            </w:tcMar>
          </w:tcPr>
          <w:p w14:paraId="1E14EB0D" w14:textId="77777777" w:rsidR="004C74AA" w:rsidRDefault="00000000">
            <w:pPr>
              <w:spacing w:before="40" w:after="40" w:line="252" w:lineRule="auto"/>
            </w:pPr>
            <w:r>
              <w:rPr>
                <w:rFonts w:ascii="Times New Roman" w:hAnsi="Times New Roman"/>
                <w:b/>
                <w:color w:val="000000"/>
                <w:sz w:val="18"/>
              </w:rPr>
              <w:lastRenderedPageBreak/>
              <w:t>(3) Tỷ lệ Nợ nhóm 2</w:t>
            </w:r>
          </w:p>
        </w:tc>
        <w:tc>
          <w:tcPr>
            <w:tcW w:w="1584" w:type="dxa"/>
            <w:shd w:val="clear" w:color="auto" w:fill="F2F5F9"/>
            <w:tcMar>
              <w:top w:w="80" w:type="dxa"/>
              <w:left w:w="100" w:type="dxa"/>
              <w:bottom w:w="80" w:type="dxa"/>
              <w:right w:w="100" w:type="dxa"/>
            </w:tcMar>
          </w:tcPr>
          <w:p w14:paraId="238A190E" w14:textId="77777777" w:rsidR="004C74AA" w:rsidRDefault="00000000">
            <w:pPr>
              <w:spacing w:before="40" w:after="40" w:line="252" w:lineRule="auto"/>
              <w:jc w:val="center"/>
            </w:pPr>
            <w:r>
              <w:rPr>
                <w:rFonts w:ascii="Times New Roman" w:hAnsi="Times New Roman"/>
                <w:color w:val="000000"/>
                <w:sz w:val="18"/>
              </w:rPr>
              <w:t>+0,185</w:t>
            </w:r>
          </w:p>
        </w:tc>
        <w:tc>
          <w:tcPr>
            <w:tcW w:w="1584" w:type="dxa"/>
            <w:shd w:val="clear" w:color="auto" w:fill="F2F5F9"/>
            <w:tcMar>
              <w:top w:w="80" w:type="dxa"/>
              <w:left w:w="100" w:type="dxa"/>
              <w:bottom w:w="80" w:type="dxa"/>
              <w:right w:w="100" w:type="dxa"/>
            </w:tcMar>
          </w:tcPr>
          <w:p w14:paraId="03F004EF" w14:textId="77777777" w:rsidR="004C74AA" w:rsidRDefault="00000000">
            <w:pPr>
              <w:spacing w:before="40" w:after="40" w:line="252" w:lineRule="auto"/>
              <w:jc w:val="center"/>
            </w:pPr>
            <w:r>
              <w:rPr>
                <w:rFonts w:ascii="Times New Roman" w:hAnsi="Times New Roman"/>
                <w:color w:val="000000"/>
                <w:sz w:val="18"/>
              </w:rPr>
              <w:t>+0,684***</w:t>
            </w:r>
          </w:p>
        </w:tc>
        <w:tc>
          <w:tcPr>
            <w:tcW w:w="1584" w:type="dxa"/>
            <w:shd w:val="clear" w:color="auto" w:fill="F2F5F9"/>
            <w:tcMar>
              <w:top w:w="80" w:type="dxa"/>
              <w:left w:w="100" w:type="dxa"/>
              <w:bottom w:w="80" w:type="dxa"/>
              <w:right w:w="100" w:type="dxa"/>
            </w:tcMar>
          </w:tcPr>
          <w:p w14:paraId="29F9E5F2" w14:textId="77777777" w:rsidR="004C74AA" w:rsidRDefault="00000000">
            <w:pPr>
              <w:spacing w:before="40" w:after="40" w:line="252" w:lineRule="auto"/>
              <w:jc w:val="center"/>
            </w:pPr>
            <w:r>
              <w:rPr>
                <w:rFonts w:ascii="Times New Roman" w:hAnsi="Times New Roman"/>
                <w:b/>
                <w:color w:val="000000"/>
                <w:sz w:val="18"/>
              </w:rPr>
              <w:t>1,000</w:t>
            </w:r>
          </w:p>
        </w:tc>
        <w:tc>
          <w:tcPr>
            <w:tcW w:w="1584" w:type="dxa"/>
            <w:shd w:val="clear" w:color="auto" w:fill="F2F5F9"/>
            <w:tcMar>
              <w:top w:w="80" w:type="dxa"/>
              <w:left w:w="100" w:type="dxa"/>
              <w:bottom w:w="80" w:type="dxa"/>
              <w:right w:w="100" w:type="dxa"/>
            </w:tcMar>
          </w:tcPr>
          <w:p w14:paraId="72F73354" w14:textId="77777777" w:rsidR="004C74AA" w:rsidRDefault="00000000">
            <w:pPr>
              <w:spacing w:before="40" w:after="40" w:line="252" w:lineRule="auto"/>
              <w:jc w:val="center"/>
            </w:pPr>
            <w:r>
              <w:rPr>
                <w:rFonts w:ascii="Times New Roman" w:hAnsi="Times New Roman"/>
                <w:color w:val="000000"/>
                <w:sz w:val="18"/>
              </w:rPr>
              <w:t>−0,518**</w:t>
            </w:r>
          </w:p>
        </w:tc>
        <w:tc>
          <w:tcPr>
            <w:tcW w:w="1584" w:type="dxa"/>
            <w:shd w:val="clear" w:color="auto" w:fill="F2F5F9"/>
            <w:tcMar>
              <w:top w:w="80" w:type="dxa"/>
              <w:left w:w="100" w:type="dxa"/>
              <w:bottom w:w="80" w:type="dxa"/>
              <w:right w:w="100" w:type="dxa"/>
            </w:tcMar>
          </w:tcPr>
          <w:p w14:paraId="1079031F" w14:textId="77777777" w:rsidR="004C74AA" w:rsidRDefault="00000000">
            <w:pPr>
              <w:spacing w:before="40" w:after="40" w:line="252" w:lineRule="auto"/>
              <w:jc w:val="center"/>
            </w:pPr>
            <w:r>
              <w:rPr>
                <w:rFonts w:ascii="Times New Roman" w:hAnsi="Times New Roman"/>
                <w:color w:val="000000"/>
                <w:sz w:val="18"/>
              </w:rPr>
              <w:t>+0,421*</w:t>
            </w:r>
          </w:p>
        </w:tc>
      </w:tr>
      <w:tr w:rsidR="004C74AA" w14:paraId="3DB574CE" w14:textId="77777777">
        <w:trPr>
          <w:cantSplit/>
          <w:jc w:val="center"/>
        </w:trPr>
        <w:tc>
          <w:tcPr>
            <w:tcW w:w="3168" w:type="dxa"/>
            <w:shd w:val="clear" w:color="auto" w:fill="FFFFFF"/>
            <w:tcMar>
              <w:top w:w="80" w:type="dxa"/>
              <w:left w:w="100" w:type="dxa"/>
              <w:bottom w:w="80" w:type="dxa"/>
              <w:right w:w="100" w:type="dxa"/>
            </w:tcMar>
          </w:tcPr>
          <w:p w14:paraId="0880E329" w14:textId="77777777" w:rsidR="004C74AA" w:rsidRDefault="00000000">
            <w:pPr>
              <w:spacing w:before="40" w:after="40" w:line="252" w:lineRule="auto"/>
            </w:pPr>
            <w:r>
              <w:rPr>
                <w:rFonts w:ascii="Times New Roman" w:hAnsi="Times New Roman"/>
                <w:b/>
                <w:color w:val="000000"/>
                <w:sz w:val="18"/>
              </w:rPr>
              <w:t>(4) Tỷ lệ bao phủ nợ xấu LLCR</w:t>
            </w:r>
          </w:p>
        </w:tc>
        <w:tc>
          <w:tcPr>
            <w:tcW w:w="1584" w:type="dxa"/>
            <w:shd w:val="clear" w:color="auto" w:fill="FFFFFF"/>
            <w:tcMar>
              <w:top w:w="80" w:type="dxa"/>
              <w:left w:w="100" w:type="dxa"/>
              <w:bottom w:w="80" w:type="dxa"/>
              <w:right w:w="100" w:type="dxa"/>
            </w:tcMar>
          </w:tcPr>
          <w:p w14:paraId="53975836" w14:textId="77777777" w:rsidR="004C74AA" w:rsidRDefault="00000000">
            <w:pPr>
              <w:spacing w:before="40" w:after="40" w:line="252" w:lineRule="auto"/>
              <w:jc w:val="center"/>
            </w:pPr>
            <w:r>
              <w:rPr>
                <w:rFonts w:ascii="Times New Roman" w:hAnsi="Times New Roman"/>
                <w:color w:val="000000"/>
                <w:sz w:val="18"/>
              </w:rPr>
              <w:t>−0,324</w:t>
            </w:r>
          </w:p>
        </w:tc>
        <w:tc>
          <w:tcPr>
            <w:tcW w:w="1584" w:type="dxa"/>
            <w:shd w:val="clear" w:color="auto" w:fill="FFFFFF"/>
            <w:tcMar>
              <w:top w:w="80" w:type="dxa"/>
              <w:left w:w="100" w:type="dxa"/>
              <w:bottom w:w="80" w:type="dxa"/>
              <w:right w:w="100" w:type="dxa"/>
            </w:tcMar>
          </w:tcPr>
          <w:p w14:paraId="701FF1EC" w14:textId="77777777" w:rsidR="004C74AA" w:rsidRDefault="00000000">
            <w:pPr>
              <w:spacing w:before="40" w:after="40" w:line="252" w:lineRule="auto"/>
              <w:jc w:val="center"/>
            </w:pPr>
            <w:r>
              <w:rPr>
                <w:rFonts w:ascii="Times New Roman" w:hAnsi="Times New Roman"/>
                <w:color w:val="000000"/>
                <w:sz w:val="18"/>
              </w:rPr>
              <w:t>+0,112</w:t>
            </w:r>
          </w:p>
        </w:tc>
        <w:tc>
          <w:tcPr>
            <w:tcW w:w="1584" w:type="dxa"/>
            <w:shd w:val="clear" w:color="auto" w:fill="FFFFFF"/>
            <w:tcMar>
              <w:top w:w="80" w:type="dxa"/>
              <w:left w:w="100" w:type="dxa"/>
              <w:bottom w:w="80" w:type="dxa"/>
              <w:right w:w="100" w:type="dxa"/>
            </w:tcMar>
          </w:tcPr>
          <w:p w14:paraId="1490D091" w14:textId="77777777" w:rsidR="004C74AA" w:rsidRDefault="00000000">
            <w:pPr>
              <w:spacing w:before="40" w:after="40" w:line="252" w:lineRule="auto"/>
              <w:jc w:val="center"/>
            </w:pPr>
            <w:r>
              <w:rPr>
                <w:rFonts w:ascii="Times New Roman" w:hAnsi="Times New Roman"/>
                <w:color w:val="000000"/>
                <w:sz w:val="18"/>
              </w:rPr>
              <w:t>−0,518**</w:t>
            </w:r>
          </w:p>
        </w:tc>
        <w:tc>
          <w:tcPr>
            <w:tcW w:w="1584" w:type="dxa"/>
            <w:shd w:val="clear" w:color="auto" w:fill="FFFFFF"/>
            <w:tcMar>
              <w:top w:w="80" w:type="dxa"/>
              <w:left w:w="100" w:type="dxa"/>
              <w:bottom w:w="80" w:type="dxa"/>
              <w:right w:w="100" w:type="dxa"/>
            </w:tcMar>
          </w:tcPr>
          <w:p w14:paraId="129DF876" w14:textId="77777777" w:rsidR="004C74AA" w:rsidRDefault="00000000">
            <w:pPr>
              <w:spacing w:before="40" w:after="40" w:line="252" w:lineRule="auto"/>
              <w:jc w:val="center"/>
            </w:pPr>
            <w:r>
              <w:rPr>
                <w:rFonts w:ascii="Times New Roman" w:hAnsi="Times New Roman"/>
                <w:b/>
                <w:color w:val="000000"/>
                <w:sz w:val="18"/>
              </w:rPr>
              <w:t>1,000</w:t>
            </w:r>
          </w:p>
        </w:tc>
        <w:tc>
          <w:tcPr>
            <w:tcW w:w="1584" w:type="dxa"/>
            <w:shd w:val="clear" w:color="auto" w:fill="FFFFFF"/>
            <w:tcMar>
              <w:top w:w="80" w:type="dxa"/>
              <w:left w:w="100" w:type="dxa"/>
              <w:bottom w:w="80" w:type="dxa"/>
              <w:right w:w="100" w:type="dxa"/>
            </w:tcMar>
          </w:tcPr>
          <w:p w14:paraId="515179AB" w14:textId="77777777" w:rsidR="004C74AA" w:rsidRDefault="00000000">
            <w:pPr>
              <w:spacing w:before="40" w:after="40" w:line="252" w:lineRule="auto"/>
              <w:jc w:val="center"/>
            </w:pPr>
            <w:r>
              <w:rPr>
                <w:rFonts w:ascii="Times New Roman" w:hAnsi="Times New Roman"/>
                <w:color w:val="000000"/>
                <w:sz w:val="18"/>
              </w:rPr>
              <w:t>+0,287</w:t>
            </w:r>
          </w:p>
        </w:tc>
      </w:tr>
      <w:tr w:rsidR="004C74AA" w14:paraId="30C9C8E7" w14:textId="77777777">
        <w:trPr>
          <w:cantSplit/>
          <w:jc w:val="center"/>
        </w:trPr>
        <w:tc>
          <w:tcPr>
            <w:tcW w:w="3168" w:type="dxa"/>
            <w:shd w:val="clear" w:color="auto" w:fill="F2F5F9"/>
            <w:tcMar>
              <w:top w:w="80" w:type="dxa"/>
              <w:left w:w="100" w:type="dxa"/>
              <w:bottom w:w="80" w:type="dxa"/>
              <w:right w:w="100" w:type="dxa"/>
            </w:tcMar>
          </w:tcPr>
          <w:p w14:paraId="754EDAF3" w14:textId="77777777" w:rsidR="004C74AA" w:rsidRDefault="00000000">
            <w:pPr>
              <w:spacing w:before="40" w:after="40" w:line="252" w:lineRule="auto"/>
            </w:pPr>
            <w:r>
              <w:rPr>
                <w:rFonts w:ascii="Times New Roman" w:hAnsi="Times New Roman"/>
                <w:b/>
                <w:color w:val="000000"/>
                <w:sz w:val="18"/>
              </w:rPr>
              <w:t>(5) Chi phí tín dụng (Credit Cost)</w:t>
            </w:r>
          </w:p>
        </w:tc>
        <w:tc>
          <w:tcPr>
            <w:tcW w:w="1584" w:type="dxa"/>
            <w:shd w:val="clear" w:color="auto" w:fill="F2F5F9"/>
            <w:tcMar>
              <w:top w:w="80" w:type="dxa"/>
              <w:left w:w="100" w:type="dxa"/>
              <w:bottom w:w="80" w:type="dxa"/>
              <w:right w:w="100" w:type="dxa"/>
            </w:tcMar>
          </w:tcPr>
          <w:p w14:paraId="6D328D7E" w14:textId="77777777" w:rsidR="004C74AA" w:rsidRDefault="00000000">
            <w:pPr>
              <w:spacing w:before="40" w:after="40" w:line="252" w:lineRule="auto"/>
              <w:jc w:val="center"/>
            </w:pPr>
            <w:r>
              <w:rPr>
                <w:rFonts w:ascii="Times New Roman" w:hAnsi="Times New Roman"/>
                <w:color w:val="000000"/>
                <w:sz w:val="18"/>
              </w:rPr>
              <w:t>−0,158</w:t>
            </w:r>
          </w:p>
        </w:tc>
        <w:tc>
          <w:tcPr>
            <w:tcW w:w="1584" w:type="dxa"/>
            <w:shd w:val="clear" w:color="auto" w:fill="F2F5F9"/>
            <w:tcMar>
              <w:top w:w="80" w:type="dxa"/>
              <w:left w:w="100" w:type="dxa"/>
              <w:bottom w:w="80" w:type="dxa"/>
              <w:right w:w="100" w:type="dxa"/>
            </w:tcMar>
          </w:tcPr>
          <w:p w14:paraId="476B064C" w14:textId="77777777" w:rsidR="004C74AA" w:rsidRDefault="00000000">
            <w:pPr>
              <w:spacing w:before="40" w:after="40" w:line="252" w:lineRule="auto"/>
              <w:jc w:val="center"/>
            </w:pPr>
            <w:r>
              <w:rPr>
                <w:rFonts w:ascii="Times New Roman" w:hAnsi="Times New Roman"/>
                <w:color w:val="000000"/>
                <w:sz w:val="18"/>
              </w:rPr>
              <w:t>+0,345*</w:t>
            </w:r>
          </w:p>
        </w:tc>
        <w:tc>
          <w:tcPr>
            <w:tcW w:w="1584" w:type="dxa"/>
            <w:shd w:val="clear" w:color="auto" w:fill="F2F5F9"/>
            <w:tcMar>
              <w:top w:w="80" w:type="dxa"/>
              <w:left w:w="100" w:type="dxa"/>
              <w:bottom w:w="80" w:type="dxa"/>
              <w:right w:w="100" w:type="dxa"/>
            </w:tcMar>
          </w:tcPr>
          <w:p w14:paraId="6FDD5E42" w14:textId="77777777" w:rsidR="004C74AA" w:rsidRDefault="00000000">
            <w:pPr>
              <w:spacing w:before="40" w:after="40" w:line="252" w:lineRule="auto"/>
              <w:jc w:val="center"/>
            </w:pPr>
            <w:r>
              <w:rPr>
                <w:rFonts w:ascii="Times New Roman" w:hAnsi="Times New Roman"/>
                <w:color w:val="000000"/>
                <w:sz w:val="18"/>
              </w:rPr>
              <w:t>+0,421*</w:t>
            </w:r>
          </w:p>
        </w:tc>
        <w:tc>
          <w:tcPr>
            <w:tcW w:w="1584" w:type="dxa"/>
            <w:shd w:val="clear" w:color="auto" w:fill="F2F5F9"/>
            <w:tcMar>
              <w:top w:w="80" w:type="dxa"/>
              <w:left w:w="100" w:type="dxa"/>
              <w:bottom w:w="80" w:type="dxa"/>
              <w:right w:w="100" w:type="dxa"/>
            </w:tcMar>
          </w:tcPr>
          <w:p w14:paraId="1A760337" w14:textId="77777777" w:rsidR="004C74AA" w:rsidRDefault="00000000">
            <w:pPr>
              <w:spacing w:before="40" w:after="40" w:line="252" w:lineRule="auto"/>
              <w:jc w:val="center"/>
            </w:pPr>
            <w:r>
              <w:rPr>
                <w:rFonts w:ascii="Times New Roman" w:hAnsi="Times New Roman"/>
                <w:color w:val="000000"/>
                <w:sz w:val="18"/>
              </w:rPr>
              <w:t>+0,287</w:t>
            </w:r>
          </w:p>
        </w:tc>
        <w:tc>
          <w:tcPr>
            <w:tcW w:w="1584" w:type="dxa"/>
            <w:shd w:val="clear" w:color="auto" w:fill="F2F5F9"/>
            <w:tcMar>
              <w:top w:w="80" w:type="dxa"/>
              <w:left w:w="100" w:type="dxa"/>
              <w:bottom w:w="80" w:type="dxa"/>
              <w:right w:w="100" w:type="dxa"/>
            </w:tcMar>
          </w:tcPr>
          <w:p w14:paraId="3C66048F" w14:textId="77777777" w:rsidR="004C74AA" w:rsidRDefault="00000000">
            <w:pPr>
              <w:spacing w:before="40" w:after="40" w:line="252" w:lineRule="auto"/>
              <w:jc w:val="center"/>
            </w:pPr>
            <w:r>
              <w:rPr>
                <w:rFonts w:ascii="Times New Roman" w:hAnsi="Times New Roman"/>
                <w:b/>
                <w:color w:val="000000"/>
                <w:sz w:val="18"/>
              </w:rPr>
              <w:t>1,000</w:t>
            </w:r>
          </w:p>
        </w:tc>
      </w:tr>
    </w:tbl>
    <w:p w14:paraId="482D0F6C" w14:textId="77777777" w:rsidR="004C74AA" w:rsidRDefault="00000000">
      <w:pPr>
        <w:spacing w:before="60" w:after="240"/>
      </w:pPr>
      <w:r>
        <w:rPr>
          <w:rFonts w:ascii="Times New Roman" w:hAnsi="Times New Roman"/>
          <w:i/>
          <w:color w:val="505050"/>
          <w:sz w:val="18"/>
        </w:rPr>
        <w:t>Ghi chú: *** p&lt;0,01; ** p&lt;0,05; * p&lt;0,10. Tương quan dương mạnh giữa Nợ nhóm 2 và NPL (+0,684) khẳng định Nợ nhóm 2 là biến báo động sớm (Early Warning Indicator) có độ nhạy rất cao đối với nợ xấu kỳ kế tiếp.</w:t>
      </w:r>
    </w:p>
    <w:p>
      <w:pPr>
        <w:pStyle w:val="Heading2"/>
        <w:keepNext/>
        <w:spacing w:before="240" w:after="80"/>
        <w:outlineLvl w:val="1"/>
      </w:pPr>
      <w:r>
        <w:rPr>
          <w:rFonts w:ascii="Times New Roman" w:hAnsi="Times New Roman"/>
          <w:b/>
          <w:i w:val="0"/>
          <w:color w:val="0F4C81"/>
          <w:sz w:val="24"/>
        </w:rPr>
        <w:t>Phụ lục 3. Hướng dẫn kỹ thuật cập nhật Mục lục và Bảng biểu tự động trên Microsoft Word</w:t>
      </w:r>
    </w:p>
    <w:p w14:paraId="657C8A07" w14:textId="77777777" w:rsidR="004C74AA" w:rsidRDefault="00000000">
      <w:pPr>
        <w:spacing w:before="80" w:after="280"/>
      </w:pPr>
      <w:r>
        <w:rPr>
          <w:rFonts w:ascii="Times New Roman" w:hAnsi="Times New Roman"/>
          <w:color w:val="000000"/>
          <w:sz w:val="21"/>
        </w:rPr>
        <w:t>Để cập nhật lại toàn bộ Mục lục nội dung, Danh mục bảng biểu và Danh mục hình vẽ khi văn bản có sự thay đổi phân trang:</w:t>
      </w:r>
      <w:r>
        <w:rPr>
          <w:rFonts w:ascii="Times New Roman" w:hAnsi="Times New Roman"/>
          <w:color w:val="000000"/>
          <w:sz w:val="21"/>
        </w:rPr>
        <w:br/>
        <w:t xml:space="preserve">  1. Cập nhật tự động khi mở tệp: Tệp văn bản đã được cấu hình cờ w:updateFields = true. Khi mở tệp trên Microsoft Word, phần mềm sẽ tự động hiển thị thông báo nhắc nhở cập nhật toàn bộ trường trường dữ liệu và số trang.</w:t>
      </w:r>
      <w:r>
        <w:rPr>
          <w:rFonts w:ascii="Times New Roman" w:hAnsi="Times New Roman"/>
          <w:color w:val="000000"/>
          <w:sz w:val="21"/>
        </w:rPr>
        <w:br/>
        <w:t xml:space="preserve">  2. Cập nhật thủ công nhanh bằng phím tắt: Nhấn tổ hợp phím Ctrl + A để chọn toàn bộ văn bản, sau đó nhấn phím F9 trên bàn phím. Khi hộp thoại xuất hiện, chọn 'Update entire table' (Cập nhật toàn bộ bảng) và nhấn OK.</w:t>
      </w:r>
      <w:r>
        <w:rPr>
          <w:rFonts w:ascii="Times New Roman" w:hAnsi="Times New Roman"/>
          <w:color w:val="000000"/>
          <w:sz w:val="21"/>
        </w:rPr>
        <w:br/>
        <w:t xml:space="preserve">  3. Cập nhật qua thanh công cụ: Nhấp chuột phải trực tiếp vào vùng Mục lục, chọn 'Update Field' (Cập nhật trường) -&gt; chọn 'Update entire table'.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