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4C324" w14:textId="77777777" w:rsidR="00F67131" w:rsidRDefault="00000000">
      <w:pPr>
        <w:spacing w:before="200" w:after="40" w:line="300" w:lineRule="auto"/>
        <w:jc w:val="center"/>
      </w:pPr>
      <w:r>
        <w:rPr>
          <w:rFonts w:ascii="Times New Roman" w:hAnsi="Times New Roman"/>
          <w:b/>
          <w:color w:val="1B365D"/>
          <w:sz w:val="23"/>
        </w:rPr>
        <w:t>BỘ GIÁO DỤC VÀ ĐÀO TẠO — TRƯỜNG ĐẠI HỌC KINH TẾ QUỐC DÂN (NEU)</w:t>
      </w:r>
      <w:r>
        <w:rPr>
          <w:rFonts w:ascii="Times New Roman" w:hAnsi="Times New Roman"/>
          <w:b/>
          <w:color w:val="1B365D"/>
          <w:sz w:val="23"/>
        </w:rPr>
        <w:br/>
        <w:t>VIỆN ĐÀO TẠO SAU ĐẠI HỌC — VIỆN NGÂN HÀNG - TÀI CHÍNH</w:t>
      </w:r>
    </w:p>
    <w:p w14:paraId="711F189D" w14:textId="77777777" w:rsidR="00F67131" w:rsidRDefault="00000000">
      <w:pPr>
        <w:spacing w:before="720" w:after="240" w:line="300" w:lineRule="auto"/>
        <w:jc w:val="center"/>
      </w:pPr>
      <w:r>
        <w:rPr>
          <w:rFonts w:ascii="Times New Roman" w:hAnsi="Times New Roman"/>
          <w:b/>
          <w:sz w:val="28"/>
        </w:rPr>
        <w:t>TIỂU LUẬN HỌC PHẦN: QUẢN TRỊ RỦI RO</w:t>
      </w:r>
    </w:p>
    <w:p w14:paraId="51002563" w14:textId="77777777" w:rsidR="00F67131" w:rsidRDefault="00000000">
      <w:pPr>
        <w:spacing w:before="320" w:after="160" w:line="300" w:lineRule="auto"/>
        <w:jc w:val="center"/>
      </w:pPr>
      <w:r>
        <w:rPr>
          <w:rFonts w:ascii="Times New Roman" w:hAnsi="Times New Roman"/>
          <w:b/>
          <w:color w:val="1B365D"/>
          <w:sz w:val="34"/>
        </w:rPr>
        <w:t>SO SÁNH MÔ HÌNH VÀ THỰC TRẠNG QUẢN TRỊ RỦI RO TÍN DỤNG</w:t>
      </w:r>
      <w:r>
        <w:rPr>
          <w:rFonts w:ascii="Times New Roman" w:hAnsi="Times New Roman"/>
          <w:b/>
          <w:color w:val="1B365D"/>
          <w:sz w:val="34"/>
        </w:rPr>
        <w:br/>
        <w:t>GIỮA AGRIBANK VÀ MB GIAI ĐOẠN 2020–2025</w:t>
      </w:r>
    </w:p>
    <w:p w14:paraId="0DA7259A" w14:textId="77777777" w:rsidR="00F67131" w:rsidRDefault="00000000">
      <w:pPr>
        <w:spacing w:before="120" w:after="720" w:line="300" w:lineRule="auto"/>
        <w:jc w:val="center"/>
      </w:pPr>
      <w:r>
        <w:rPr>
          <w:rFonts w:ascii="Times New Roman" w:hAnsi="Times New Roman"/>
          <w:i/>
          <w:color w:val="335C8D"/>
        </w:rPr>
        <w:t>ĐỐI THOẠI HỌC THUẬT VỀ THỂ CHẾ SỞ HỮU, KHẨU VỊ RỦI RO, KHOAN DUNG PHÁP LÝ,</w:t>
      </w:r>
      <w:r>
        <w:rPr>
          <w:rFonts w:ascii="Times New Roman" w:hAnsi="Times New Roman"/>
          <w:i/>
          <w:color w:val="335C8D"/>
        </w:rPr>
        <w:br/>
        <w:t>KIỂM TRA SỨC CHỊU ĐỰNG (STRESS TEST) VÀ MÔ PHỎNG CHUẨN MỰC IFRS 9</w:t>
      </w:r>
    </w:p>
    <w:p w14:paraId="605A483B" w14:textId="77777777" w:rsidR="00F67131" w:rsidRDefault="00000000">
      <w:pPr>
        <w:spacing w:before="800" w:after="80" w:line="300" w:lineRule="auto"/>
      </w:pPr>
      <w:r>
        <w:rPr>
          <w:rFonts w:ascii="Times New Roman" w:hAnsi="Times New Roman"/>
          <w:color w:val="000000"/>
          <w:sz w:val="20"/>
        </w:rPr>
        <w:t>Hồ sơ dữ liệu kèm theo:</w:t>
      </w:r>
      <w:r>
        <w:rPr>
          <w:rFonts w:ascii="Times New Roman" w:hAnsi="Times New Roman"/>
          <w:color w:val="000000"/>
          <w:sz w:val="20"/>
        </w:rPr>
        <w:tab/>
        <w:t>Phan_tich_RRTD_Agribank_MB_2020-2025_v3.xlsx &amp; BCTC_Goc_Trich_Xuat_Agribank_MB_2020-2025_v2.xlsx</w:t>
      </w:r>
      <w:r>
        <w:rPr>
          <w:rFonts w:ascii="Times New Roman" w:hAnsi="Times New Roman"/>
          <w:color w:val="000000"/>
          <w:sz w:val="20"/>
        </w:rPr>
        <w:br/>
        <w:t>Phiên bản báo cáo:</w:t>
      </w:r>
      <w:r>
        <w:rPr>
          <w:rFonts w:ascii="Times New Roman" w:hAnsi="Times New Roman"/>
          <w:color w:val="000000"/>
          <w:sz w:val="20"/>
        </w:rPr>
        <w:tab/>
        <w:t>Hoàn thiện V4 (Chuẩn hóa học thuật Master of Finance, tích hợp toàn diện 14 bảng biểu định lượng và 6 đồ thị trực quan hóa)</w:t>
      </w:r>
    </w:p>
    <w:p w14:paraId="0291DD9F" w14:textId="77777777" w:rsidR="00F67131" w:rsidRDefault="00000000">
      <w:pPr>
        <w:spacing w:before="600" w:line="300" w:lineRule="auto"/>
        <w:jc w:val="center"/>
      </w:pPr>
      <w:r>
        <w:rPr>
          <w:rFonts w:ascii="Times New Roman" w:hAnsi="Times New Roman"/>
          <w:b/>
        </w:rPr>
        <w:t>Hà Nội, Năm 2026</w:t>
        <w:br w:type="page"/>
      </w:r>
    </w:p>
    <w:p w14:paraId="30EFDC9A" w14:textId="77777777" w:rsidR="00F67131" w:rsidRDefault="00000000">
      <w:r>
        <w:br w:type="page"/>
      </w:r>
    </w:p>
    <w:p w14:paraId="7CEED07E" w14:textId="77777777" w:rsidR="00F67131" w:rsidRDefault="00000000">
      <w:pPr>
        <w:spacing w:before="280" w:after="120" w:line="300" w:lineRule="auto"/>
      </w:pPr>
      <w:r>
        <w:rPr>
          <w:rFonts w:ascii="Times New Roman" w:hAnsi="Times New Roman"/>
          <w:b/>
          <w:color w:val="1B365D"/>
          <w:sz w:val="27"/>
        </w:rPr>
        <w:lastRenderedPageBreak/>
        <w:t>TÓM TẮT NGHIÊN CỨU (EXECUTIVE ABSTRACT)</w:t>
      </w:r>
    </w:p>
    <w:p w14:paraId="70C16CBA" w14:textId="77777777" w:rsidR="00F67131" w:rsidRDefault="00000000">
      <w:pPr>
        <w:spacing w:after="80" w:line="300" w:lineRule="auto"/>
        <w:jc w:val="both"/>
      </w:pPr>
      <w:r>
        <w:rPr>
          <w:rFonts w:ascii="Times New Roman" w:hAnsi="Times New Roman"/>
        </w:rPr>
        <w:t>Nghiên cứu so sánh mô hình và thực trạng quản trị rủi ro tín dụng (RRTD) giữa Ngân hàng Nông nghiệp và Phát triển Nông thôn Việt Nam (Agribank – NHTM 100% vốn Nhà nước, định hướng “tam nông”) và Ngân hàng TMCP Quân đội (MB – tập đoàn tài chính đa năng) giai đoạn 2020–2025. Dữ liệu được trích xuất từ 27 tệp báo cáo tài chính kiểm toán (hợp nhất, riêng lẻ) và báo cáo thường niên của hai ngân hàng; mọi chỉ tiêu được tính lại bằng công thức trong tệp Excel kèm theo. Khung phân tích dựa trên lý thuyết bất cân xứng thông tin (Stiglitz &amp; Weiss, 1981), lý thuyết đại diện (Jensen &amp; Meckling, 1976), Basel II và mô hình tổn thất tín dụng kỳ vọng IFRS 9. Bốn kết quả chính: (1) Khi tính cùng cơ sở (nợ nhóm 3–5 chia dư nợ cho vay khách hàng hợp nhất), tỷ lệ nợ xấu của hai ngân hàng hội tụ: Agribank giảm từ 1,85% (2023) về 1,30% (2025), MB từ 1,60% về 1,29%; mức 1,17% của Agribank trong báo cáo thường niên dùng mẫu số tổng cấp tín dụng nên không so sánh trực tiếp được với MB. (2) Cả hai ngân hàng dựa nhiều vào xóa nợ bằng dự phòng: năm 2025 Agribank sử dụng 32.621 tỷ đồng, MB 12.185 tỷ đồng; cộng lại số đã xóa, NPL trước xử lý năm 2025 là 2,95% (Agribank) và 2,42% (MB). Mức giảm NPL của MB chủ yếu đến từ hiệu ứng mẫu số khi dư nợ tăng 39,6% (mức tăng nội sinh của ngân hàng mẹ và 7 công ty con hợp nhất, do MBV không hợp nhất vào BCTC MB theo Điều 185 Luật Các TCTD 2024). (3) MB có tỷ suất lợi nhuận trên vốn rủi ro ước tính (RORAC proxy) 31,6%–49,3%, cao hơn Agribank (10,8%–16,7%), nhưng tỷ lệ bao phủ nợ xấu hợp nhất giảm từ 268,0% (2021) xuống 92,2%–93,7% (2024–2025), trong khi Agribank duy trì 113,6%–146,3%. (4) Trong kịch bản cực đoan 2026, CAR của Agribank giảm từ 10,22% về 8,67%, trong khi LNTT của MB giảm 69,3%; mô phỏng IFRS 9 năm 2025 cho thấy MB thiếu khoảng 14.006 tỷ đồng dự phòng (+106,5%) và CAR giảm khoảng 103 điểm cơ bản, còn Agribank thiếu khoảng 3.660 tỷ đồng (+9,8%, CAR giảm 15 điểm cơ bản). Kết quả kiểm định độ nhạy trên 6 kịch bản tham số xác nhận tính vững của nhận định này.</w:t>
      </w:r>
    </w:p>
    <w:p w14:paraId="47751E9F" w14:textId="77777777" w:rsidR="004B291A" w:rsidRDefault="00000000">
      <w:pPr>
        <w:spacing w:after="80" w:line="300" w:lineRule="auto"/>
        <w:jc w:val="both"/>
        <w:rPr>
          <w:rFonts w:ascii="Times New Roman" w:hAnsi="Times New Roman"/>
        </w:rPr>
      </w:pPr>
      <w:r>
        <w:rPr>
          <w:rFonts w:ascii="Times New Roman" w:hAnsi="Times New Roman"/>
          <w:b/>
        </w:rPr>
        <w:t xml:space="preserve">Từ khóa: </w:t>
      </w:r>
      <w:r>
        <w:rPr>
          <w:rFonts w:ascii="Times New Roman" w:hAnsi="Times New Roman"/>
        </w:rPr>
        <w:t xml:space="preserve">Quản trị rủi ro tín dụng; nợ xấu; dự phòng rủi ro; khoan dung pháp lý; kiểm tra sức chịu </w:t>
      </w:r>
      <w:proofErr w:type="spellStart"/>
      <w:r>
        <w:rPr>
          <w:rFonts w:ascii="Times New Roman" w:hAnsi="Times New Roman"/>
        </w:rPr>
        <w:t>đựng</w:t>
      </w:r>
      <w:proofErr w:type="spellEnd"/>
      <w:r>
        <w:rPr>
          <w:rFonts w:ascii="Times New Roman" w:hAnsi="Times New Roman"/>
        </w:rPr>
        <w:t>; IFRS 9; Agribank; MB.</w:t>
        <w:br w:type="page"/>
      </w:r>
    </w:p>
    <w:p w14:paraId="732487C2" w14:textId="77777777" w:rsidR="004B291A" w:rsidRPr="004B291A" w:rsidRDefault="004B291A">
      <w:pPr>
        <w:rPr>
          <w:rFonts w:ascii="Times New Roman" w:hAnsi="Times New Roman"/>
        </w:rPr>
      </w:pPr>
      <w:r>
        <w:br w:type="page"/>
      </w:r>
    </w:p>
    <w:p w14:paraId="5B79210D" w14:textId="77777777" w:rsidR="00F67131" w:rsidRDefault="00F67131">
      <w:pPr>
        <w:spacing w:after="80" w:line="300" w:lineRule="auto"/>
        <w:jc w:val="both"/>
      </w:pPr>
    </w:p>
    <w:p w14:paraId="50F5C810" w14:textId="77777777" w:rsidR="00F67131" w:rsidRDefault="00000000">
      <w:pPr>
        <w:keepNext/>
        <w:spacing w:before="280" w:after="160" w:line="300" w:lineRule="auto"/>
      </w:pPr>
      <w:r>
        <w:rPr>
          <w:rFonts w:ascii="Times New Roman" w:hAnsi="Times New Roman"/>
          <w:b/>
          <w:i w:val="0"/>
          <w:color w:val="002060"/>
          <w:sz w:val="27"/>
        </w:rPr>
        <w:t>MỤC LỤC NỘI DUNG</w:t>
      </w:r>
    </w:p>
    <w:p>
      <w:pPr>
        <w:spacing w:before="40" w:after="120"/>
      </w:pPr>
      <w:fldSimple w:instr="TOC \o &quot;1-2&quot; \h \z \u"/>
    </w:p>
    <w:p w14:paraId="0008ED93" w14:textId="6D5E4E6D" w:rsidR="000770B1" w:rsidRDefault="00000000">
      <w:pPr>
        <w:pStyle w:val="TOC1"/>
        <w:tabs>
          <w:tab w:val="right" w:leader="dot" w:pos="9062"/>
        </w:tabs>
        <w:spacing w:line="276" w:lineRule="auto" w:before="30" w:after="30"/>
        <w:rPr>
          <w:noProof/>
        </w:rPr>
        <w:tabs>
          <w:tab w:val="right" w:leader="dot" w:pos="9360"/>
        </w:tabs>
      </w:pPr>
      <w:r>
        <w:rPr>
          <w:rFonts w:ascii="Times New Roman" w:hAnsi="Times New Roman"/>
          <w:b/>
          <w:i w:val="0"/>
          <w:color w:val="002060"/>
          <w:sz w:val="21"/>
        </w:rPr>
        <w:fldChar w:fldCharType="begin"/>
      </w:r>
      <w:r>
        <w:rPr>
          <w:rFonts w:ascii="Times New Roman" w:hAnsi="Times New Roman"/>
          <w:b/>
          <w:i w:val="0"/>
          <w:color w:val="002060"/>
          <w:sz w:val="21"/>
        </w:rPr>
        <w:instrText xml:space="preserve"> TOC \o "1-2" \h \z \u </w:instrText>
      </w:r>
      <w:r>
        <w:rPr>
          <w:rFonts w:ascii="Times New Roman" w:hAnsi="Times New Roman"/>
          <w:b/>
          <w:i w:val="0"/>
          <w:color w:val="002060"/>
          <w:sz w:val="21"/>
        </w:rPr>
        <w:fldChar w:fldCharType="separate"/>
      </w:r>
      <w:hyperlink w:anchor="_Toc244090100" w:history="1">
        <w:r w:rsidR="000770B1" w:rsidRPr="00DB23DA">
          <w:rPr>
            <w:rStyle w:val="Hyperlink"/>
            <w:rFonts w:ascii="Times New Roman" w:hAnsi="Times New Roman"/>
            <w:noProof/>
          </w:rPr>
          <w:t>LỜI MỞ ĐẦU</w:t>
        </w:r>
        <w:r w:rsidR="000770B1">
          <w:rPr>
            <w:noProof/>
            <w:webHidden/>
          </w:rPr>
          <w:tab/>
        </w:r>
        <w:r w:rsidR="000770B1">
          <w:rPr>
            <w:noProof/>
            <w:webHidden/>
          </w:rPr>
          <w:fldChar w:fldCharType="begin"/>
        </w:r>
        <w:r w:rsidR="000770B1">
          <w:rPr>
            <w:noProof/>
            <w:webHidden/>
          </w:rPr>
          <w:instrText xml:space="preserve"> PAGEREF _Toc244090100 \h </w:instrText>
        </w:r>
        <w:r w:rsidR="000770B1">
          <w:rPr>
            <w:noProof/>
            <w:webHidden/>
          </w:rPr>
        </w:r>
        <w:r w:rsidR="000770B1">
          <w:rPr>
            <w:noProof/>
            <w:webHidden/>
          </w:rPr>
          <w:fldChar w:fldCharType="separate"/>
        </w:r>
        <w:r w:rsidR="00EF197F">
          <w:rPr>
            <w:noProof/>
            <w:webHidden/>
          </w:rPr>
          <w:t>5</w:t>
        </w:r>
        <w:r w:rsidR="000770B1">
          <w:rPr>
            <w:noProof/>
            <w:webHidden/>
          </w:rPr>
          <w:fldChar w:fldCharType="end"/>
        </w:r>
      </w:hyperlink>
    </w:p>
    <w:p w14:paraId="718ED91F" w14:textId="544C3D8B" w:rsidR="000770B1" w:rsidRDefault="000770B1">
      <w:pPr>
        <w:pStyle w:val="TOC1"/>
        <w:tabs>
          <w:tab w:val="right" w:leader="dot" w:pos="9062"/>
        </w:tabs>
        <w:spacing w:line="276" w:lineRule="auto" w:before="30" w:after="30"/>
        <w:rPr>
          <w:noProof/>
        </w:rPr>
        <w:tabs>
          <w:tab w:val="right" w:leader="dot" w:pos="9360"/>
        </w:tabs>
      </w:pPr>
      <w:hyperlink w:anchor="_Toc244090101" w:history="1">
        <w:r w:rsidRPr="00DB23DA">
          <w:rPr>
            <w:rStyle w:val="Hyperlink"/>
            <w:rFonts w:ascii="Times New Roman" w:hAnsi="Times New Roman"/>
            <w:noProof/>
          </w:rPr>
          <w:t>CHƯƠNG 1. CƠ SỞ LÝ THUYẾT VÀ KHUNG PHÂN TÍCH RỦI RO TÍN DỤNG</w:t>
        </w:r>
        <w:r>
          <w:rPr>
            <w:noProof/>
            <w:webHidden/>
          </w:rPr>
          <w:tab/>
        </w:r>
        <w:r>
          <w:rPr>
            <w:noProof/>
            <w:webHidden/>
          </w:rPr>
          <w:fldChar w:fldCharType="begin"/>
        </w:r>
        <w:r>
          <w:rPr>
            <w:noProof/>
            <w:webHidden/>
          </w:rPr>
          <w:instrText xml:space="preserve"> PAGEREF _Toc244090101 \h </w:instrText>
        </w:r>
        <w:r>
          <w:rPr>
            <w:noProof/>
            <w:webHidden/>
          </w:rPr>
        </w:r>
        <w:r>
          <w:rPr>
            <w:noProof/>
            <w:webHidden/>
          </w:rPr>
          <w:fldChar w:fldCharType="separate"/>
        </w:r>
        <w:r w:rsidR="00EF197F">
          <w:rPr>
            <w:noProof/>
            <w:webHidden/>
          </w:rPr>
          <w:t>6</w:t>
        </w:r>
        <w:r>
          <w:rPr>
            <w:noProof/>
            <w:webHidden/>
          </w:rPr>
          <w:fldChar w:fldCharType="end"/>
        </w:r>
      </w:hyperlink>
    </w:p>
    <w:p w14:paraId="102C675D" w14:textId="7A37CE87" w:rsidR="000770B1" w:rsidRDefault="000770B1">
      <w:pPr>
        <w:pStyle w:val="TOC2"/>
        <w:tabs>
          <w:tab w:val="right" w:leader="dot" w:pos="9062"/>
        </w:tabs>
        <w:spacing w:line="276" w:lineRule="auto" w:before="30" w:after="30"/>
        <w:rPr>
          <w:noProof/>
        </w:rPr>
        <w:tabs>
          <w:tab w:val="right" w:leader="dot" w:pos="9360"/>
        </w:tabs>
      </w:pPr>
      <w:hyperlink w:anchor="_Toc244090102" w:history="1">
        <w:r w:rsidRPr="00DB23DA">
          <w:rPr>
            <w:rStyle w:val="Hyperlink"/>
            <w:rFonts w:ascii="Times New Roman" w:hAnsi="Times New Roman"/>
            <w:noProof/>
          </w:rPr>
          <w:t>1.1. Khái niệm, phân loại, nguyên nhân và các lý thuyết kinh tế về rủi ro tín dụng</w:t>
        </w:r>
        <w:r>
          <w:rPr>
            <w:noProof/>
            <w:webHidden/>
          </w:rPr>
          <w:tab/>
        </w:r>
        <w:r>
          <w:rPr>
            <w:noProof/>
            <w:webHidden/>
          </w:rPr>
          <w:fldChar w:fldCharType="begin"/>
        </w:r>
        <w:r>
          <w:rPr>
            <w:noProof/>
            <w:webHidden/>
          </w:rPr>
          <w:instrText xml:space="preserve"> PAGEREF _Toc244090102 \h </w:instrText>
        </w:r>
        <w:r>
          <w:rPr>
            <w:noProof/>
            <w:webHidden/>
          </w:rPr>
        </w:r>
        <w:r>
          <w:rPr>
            <w:noProof/>
            <w:webHidden/>
          </w:rPr>
          <w:fldChar w:fldCharType="separate"/>
        </w:r>
        <w:r w:rsidR="00EF197F">
          <w:rPr>
            <w:noProof/>
            <w:webHidden/>
          </w:rPr>
          <w:t>6</w:t>
        </w:r>
        <w:r>
          <w:rPr>
            <w:noProof/>
            <w:webHidden/>
          </w:rPr>
          <w:fldChar w:fldCharType="end"/>
        </w:r>
      </w:hyperlink>
    </w:p>
    <w:p w14:paraId="128607AC" w14:textId="6B497AF2" w:rsidR="000770B1" w:rsidRDefault="000770B1">
      <w:pPr>
        <w:pStyle w:val="TOC2"/>
        <w:tabs>
          <w:tab w:val="right" w:leader="dot" w:pos="9062"/>
        </w:tabs>
        <w:spacing w:line="276" w:lineRule="auto" w:before="30" w:after="30"/>
        <w:rPr>
          <w:noProof/>
        </w:rPr>
        <w:tabs>
          <w:tab w:val="right" w:leader="dot" w:pos="9360"/>
        </w:tabs>
      </w:pPr>
      <w:hyperlink w:anchor="_Toc244090103" w:history="1">
        <w:r w:rsidRPr="00DB23DA">
          <w:rPr>
            <w:rStyle w:val="Hyperlink"/>
            <w:rFonts w:ascii="Times New Roman" w:hAnsi="Times New Roman"/>
            <w:noProof/>
          </w:rPr>
          <w:t>1.2. Khung phân tích (Analytical Framework) và Cơ chế Khoan dung pháp lý</w:t>
        </w:r>
        <w:r>
          <w:rPr>
            <w:noProof/>
            <w:webHidden/>
          </w:rPr>
          <w:tab/>
        </w:r>
        <w:r>
          <w:rPr>
            <w:noProof/>
            <w:webHidden/>
          </w:rPr>
          <w:fldChar w:fldCharType="begin"/>
        </w:r>
        <w:r>
          <w:rPr>
            <w:noProof/>
            <w:webHidden/>
          </w:rPr>
          <w:instrText xml:space="preserve"> PAGEREF _Toc244090103 \h </w:instrText>
        </w:r>
        <w:r>
          <w:rPr>
            <w:noProof/>
            <w:webHidden/>
          </w:rPr>
        </w:r>
        <w:r>
          <w:rPr>
            <w:noProof/>
            <w:webHidden/>
          </w:rPr>
          <w:fldChar w:fldCharType="separate"/>
        </w:r>
        <w:r w:rsidR="00EF197F">
          <w:rPr>
            <w:noProof/>
            <w:webHidden/>
          </w:rPr>
          <w:t>8</w:t>
        </w:r>
        <w:r>
          <w:rPr>
            <w:noProof/>
            <w:webHidden/>
          </w:rPr>
          <w:fldChar w:fldCharType="end"/>
        </w:r>
      </w:hyperlink>
    </w:p>
    <w:p w14:paraId="3AE0FD65" w14:textId="7E4D8620" w:rsidR="000770B1" w:rsidRDefault="000770B1">
      <w:pPr>
        <w:pStyle w:val="TOC2"/>
        <w:tabs>
          <w:tab w:val="right" w:leader="dot" w:pos="9062"/>
        </w:tabs>
        <w:spacing w:line="276" w:lineRule="auto" w:before="30" w:after="30"/>
        <w:rPr>
          <w:noProof/>
        </w:rPr>
        <w:tabs>
          <w:tab w:val="right" w:leader="dot" w:pos="9360"/>
        </w:tabs>
      </w:pPr>
      <w:hyperlink w:anchor="_Toc244090104" w:history="1">
        <w:r w:rsidRPr="00DB23DA">
          <w:rPr>
            <w:rStyle w:val="Hyperlink"/>
            <w:rFonts w:ascii="Times New Roman" w:hAnsi="Times New Roman"/>
            <w:noProof/>
          </w:rPr>
          <w:t>1.3. Khung pháp lý điều chỉnh và chu kỳ can thiệp chính sách 2020–2025</w:t>
        </w:r>
        <w:r>
          <w:rPr>
            <w:noProof/>
            <w:webHidden/>
          </w:rPr>
          <w:tab/>
        </w:r>
        <w:r>
          <w:rPr>
            <w:noProof/>
            <w:webHidden/>
          </w:rPr>
          <w:fldChar w:fldCharType="begin"/>
        </w:r>
        <w:r>
          <w:rPr>
            <w:noProof/>
            <w:webHidden/>
          </w:rPr>
          <w:instrText xml:space="preserve"> PAGEREF _Toc244090104 \h </w:instrText>
        </w:r>
        <w:r>
          <w:rPr>
            <w:noProof/>
            <w:webHidden/>
          </w:rPr>
        </w:r>
        <w:r>
          <w:rPr>
            <w:noProof/>
            <w:webHidden/>
          </w:rPr>
          <w:fldChar w:fldCharType="separate"/>
        </w:r>
        <w:r w:rsidR="00EF197F">
          <w:rPr>
            <w:noProof/>
            <w:webHidden/>
          </w:rPr>
          <w:t>8</w:t>
        </w:r>
        <w:r>
          <w:rPr>
            <w:noProof/>
            <w:webHidden/>
          </w:rPr>
          <w:fldChar w:fldCharType="end"/>
        </w:r>
      </w:hyperlink>
    </w:p>
    <w:p w14:paraId="6465D019" w14:textId="05520360" w:rsidR="000770B1" w:rsidRDefault="000770B1">
      <w:pPr>
        <w:pStyle w:val="TOC2"/>
        <w:tabs>
          <w:tab w:val="right" w:leader="dot" w:pos="9062"/>
        </w:tabs>
        <w:spacing w:line="276" w:lineRule="auto" w:before="30" w:after="30"/>
        <w:rPr>
          <w:noProof/>
        </w:rPr>
        <w:tabs>
          <w:tab w:val="right" w:leader="dot" w:pos="9360"/>
        </w:tabs>
      </w:pPr>
      <w:hyperlink w:anchor="_Toc244090105" w:history="1">
        <w:r w:rsidRPr="00DB23DA">
          <w:rPr>
            <w:rStyle w:val="Hyperlink"/>
            <w:rFonts w:ascii="Times New Roman" w:hAnsi="Times New Roman"/>
            <w:noProof/>
          </w:rPr>
          <w:t>1.4. Thực trạng rủi ro tín dụng toàn hệ thống ngân hàng</w:t>
        </w:r>
        <w:r>
          <w:rPr>
            <w:noProof/>
            <w:webHidden/>
          </w:rPr>
          <w:tab/>
        </w:r>
        <w:r>
          <w:rPr>
            <w:noProof/>
            <w:webHidden/>
          </w:rPr>
          <w:fldChar w:fldCharType="begin"/>
        </w:r>
        <w:r>
          <w:rPr>
            <w:noProof/>
            <w:webHidden/>
          </w:rPr>
          <w:instrText xml:space="preserve"> PAGEREF _Toc244090105 \h </w:instrText>
        </w:r>
        <w:r>
          <w:rPr>
            <w:noProof/>
            <w:webHidden/>
          </w:rPr>
        </w:r>
        <w:r>
          <w:rPr>
            <w:noProof/>
            <w:webHidden/>
          </w:rPr>
          <w:fldChar w:fldCharType="separate"/>
        </w:r>
        <w:r w:rsidR="00EF197F">
          <w:rPr>
            <w:noProof/>
            <w:webHidden/>
          </w:rPr>
          <w:t>10</w:t>
        </w:r>
        <w:r>
          <w:rPr>
            <w:noProof/>
            <w:webHidden/>
          </w:rPr>
          <w:fldChar w:fldCharType="end"/>
        </w:r>
      </w:hyperlink>
    </w:p>
    <w:p w14:paraId="30ED4911" w14:textId="48EB5D75" w:rsidR="000770B1" w:rsidRDefault="000770B1">
      <w:pPr>
        <w:pStyle w:val="TOC1"/>
        <w:tabs>
          <w:tab w:val="right" w:leader="dot" w:pos="9062"/>
        </w:tabs>
        <w:spacing w:line="276" w:lineRule="auto" w:before="30" w:after="30"/>
        <w:rPr>
          <w:noProof/>
        </w:rPr>
        <w:tabs>
          <w:tab w:val="right" w:leader="dot" w:pos="9360"/>
        </w:tabs>
      </w:pPr>
      <w:hyperlink w:anchor="_Toc244090106" w:history="1">
        <w:r w:rsidRPr="00DB23DA">
          <w:rPr>
            <w:rStyle w:val="Hyperlink"/>
            <w:rFonts w:ascii="Times New Roman" w:hAnsi="Times New Roman"/>
            <w:noProof/>
          </w:rPr>
          <w:t>CHƯƠNG 2. MÔ HÌNH VÀ THỂ CHẾ QUẢN TRỊ RỦI RO TÍN DỤNG TẠI AGRIBANK VÀ MB</w:t>
        </w:r>
        <w:r>
          <w:rPr>
            <w:noProof/>
            <w:webHidden/>
          </w:rPr>
          <w:tab/>
        </w:r>
        <w:r>
          <w:rPr>
            <w:noProof/>
            <w:webHidden/>
          </w:rPr>
          <w:fldChar w:fldCharType="begin"/>
        </w:r>
        <w:r>
          <w:rPr>
            <w:noProof/>
            <w:webHidden/>
          </w:rPr>
          <w:instrText xml:space="preserve"> PAGEREF _Toc244090106 \h </w:instrText>
        </w:r>
        <w:r>
          <w:rPr>
            <w:noProof/>
            <w:webHidden/>
          </w:rPr>
        </w:r>
        <w:r>
          <w:rPr>
            <w:noProof/>
            <w:webHidden/>
          </w:rPr>
          <w:fldChar w:fldCharType="separate"/>
        </w:r>
        <w:r w:rsidR="00EF197F">
          <w:rPr>
            <w:noProof/>
            <w:webHidden/>
          </w:rPr>
          <w:t>11</w:t>
        </w:r>
        <w:r>
          <w:rPr>
            <w:noProof/>
            <w:webHidden/>
          </w:rPr>
          <w:fldChar w:fldCharType="end"/>
        </w:r>
      </w:hyperlink>
    </w:p>
    <w:p w14:paraId="1A18DFEE" w14:textId="61BD9043" w:rsidR="000770B1" w:rsidRDefault="000770B1">
      <w:pPr>
        <w:pStyle w:val="TOC2"/>
        <w:tabs>
          <w:tab w:val="right" w:leader="dot" w:pos="9062"/>
        </w:tabs>
        <w:spacing w:line="276" w:lineRule="auto" w:before="30" w:after="30"/>
        <w:rPr>
          <w:noProof/>
        </w:rPr>
        <w:tabs>
          <w:tab w:val="right" w:leader="dot" w:pos="9360"/>
        </w:tabs>
      </w:pPr>
      <w:hyperlink w:anchor="_Toc244090107" w:history="1">
        <w:r w:rsidRPr="00DB23DA">
          <w:rPr>
            <w:rStyle w:val="Hyperlink"/>
            <w:rFonts w:ascii="Times New Roman" w:hAnsi="Times New Roman"/>
            <w:noProof/>
          </w:rPr>
          <w:t>2.1. Agribank: Thể chế NHTM Nhà nước và Quản trị rủi ro phân tán</w:t>
        </w:r>
        <w:r>
          <w:rPr>
            <w:noProof/>
            <w:webHidden/>
          </w:rPr>
          <w:tab/>
        </w:r>
        <w:r>
          <w:rPr>
            <w:noProof/>
            <w:webHidden/>
          </w:rPr>
          <w:fldChar w:fldCharType="begin"/>
        </w:r>
        <w:r>
          <w:rPr>
            <w:noProof/>
            <w:webHidden/>
          </w:rPr>
          <w:instrText xml:space="preserve"> PAGEREF _Toc244090107 \h </w:instrText>
        </w:r>
        <w:r>
          <w:rPr>
            <w:noProof/>
            <w:webHidden/>
          </w:rPr>
        </w:r>
        <w:r>
          <w:rPr>
            <w:noProof/>
            <w:webHidden/>
          </w:rPr>
          <w:fldChar w:fldCharType="separate"/>
        </w:r>
        <w:r w:rsidR="00EF197F">
          <w:rPr>
            <w:noProof/>
            <w:webHidden/>
          </w:rPr>
          <w:t>11</w:t>
        </w:r>
        <w:r>
          <w:rPr>
            <w:noProof/>
            <w:webHidden/>
          </w:rPr>
          <w:fldChar w:fldCharType="end"/>
        </w:r>
      </w:hyperlink>
    </w:p>
    <w:p w14:paraId="47535D44" w14:textId="220B613D" w:rsidR="000770B1" w:rsidRDefault="000770B1">
      <w:pPr>
        <w:pStyle w:val="TOC2"/>
        <w:tabs>
          <w:tab w:val="right" w:leader="dot" w:pos="9062"/>
        </w:tabs>
        <w:spacing w:line="276" w:lineRule="auto" w:before="30" w:after="30"/>
        <w:rPr>
          <w:noProof/>
        </w:rPr>
        <w:tabs>
          <w:tab w:val="right" w:leader="dot" w:pos="9360"/>
        </w:tabs>
      </w:pPr>
      <w:hyperlink w:anchor="_Toc244090108" w:history="1">
        <w:r w:rsidRPr="00DB23DA">
          <w:rPr>
            <w:rStyle w:val="Hyperlink"/>
            <w:rFonts w:ascii="Times New Roman" w:hAnsi="Times New Roman"/>
            <w:noProof/>
          </w:rPr>
          <w:t>2.2. MB: Thể chế Tập đoàn Tài chính và Quản trị tập trung</w:t>
        </w:r>
        <w:r>
          <w:rPr>
            <w:noProof/>
            <w:webHidden/>
          </w:rPr>
          <w:tab/>
        </w:r>
        <w:r>
          <w:rPr>
            <w:noProof/>
            <w:webHidden/>
          </w:rPr>
          <w:fldChar w:fldCharType="begin"/>
        </w:r>
        <w:r>
          <w:rPr>
            <w:noProof/>
            <w:webHidden/>
          </w:rPr>
          <w:instrText xml:space="preserve"> PAGEREF _Toc244090108 \h </w:instrText>
        </w:r>
        <w:r>
          <w:rPr>
            <w:noProof/>
            <w:webHidden/>
          </w:rPr>
        </w:r>
        <w:r>
          <w:rPr>
            <w:noProof/>
            <w:webHidden/>
          </w:rPr>
          <w:fldChar w:fldCharType="separate"/>
        </w:r>
        <w:r w:rsidR="00EF197F">
          <w:rPr>
            <w:noProof/>
            <w:webHidden/>
          </w:rPr>
          <w:t>11</w:t>
        </w:r>
        <w:r>
          <w:rPr>
            <w:noProof/>
            <w:webHidden/>
          </w:rPr>
          <w:fldChar w:fldCharType="end"/>
        </w:r>
      </w:hyperlink>
    </w:p>
    <w:p w14:paraId="642DCF32" w14:textId="77459C17" w:rsidR="000770B1" w:rsidRDefault="000770B1">
      <w:pPr>
        <w:pStyle w:val="TOC2"/>
        <w:tabs>
          <w:tab w:val="right" w:leader="dot" w:pos="9062"/>
        </w:tabs>
        <w:spacing w:line="276" w:lineRule="auto" w:before="30" w:after="30"/>
        <w:rPr>
          <w:noProof/>
        </w:rPr>
        <w:tabs>
          <w:tab w:val="right" w:leader="dot" w:pos="9360"/>
        </w:tabs>
      </w:pPr>
      <w:hyperlink w:anchor="_Toc244090109" w:history="1">
        <w:r w:rsidRPr="00DB23DA">
          <w:rPr>
            <w:rStyle w:val="Hyperlink"/>
            <w:rFonts w:ascii="Times New Roman" w:hAnsi="Times New Roman"/>
            <w:noProof/>
          </w:rPr>
          <w:t>2.3. Ma trận đối chiếu chuyên sâu hai mô hình quản trị rủi ro</w:t>
        </w:r>
        <w:r>
          <w:rPr>
            <w:noProof/>
            <w:webHidden/>
          </w:rPr>
          <w:tab/>
        </w:r>
        <w:r>
          <w:rPr>
            <w:noProof/>
            <w:webHidden/>
          </w:rPr>
          <w:fldChar w:fldCharType="begin"/>
        </w:r>
        <w:r>
          <w:rPr>
            <w:noProof/>
            <w:webHidden/>
          </w:rPr>
          <w:instrText xml:space="preserve"> PAGEREF _Toc244090109 \h </w:instrText>
        </w:r>
        <w:r>
          <w:rPr>
            <w:noProof/>
            <w:webHidden/>
          </w:rPr>
        </w:r>
        <w:r>
          <w:rPr>
            <w:noProof/>
            <w:webHidden/>
          </w:rPr>
          <w:fldChar w:fldCharType="separate"/>
        </w:r>
        <w:r w:rsidR="00EF197F">
          <w:rPr>
            <w:noProof/>
            <w:webHidden/>
          </w:rPr>
          <w:t>12</w:t>
        </w:r>
        <w:r>
          <w:rPr>
            <w:noProof/>
            <w:webHidden/>
          </w:rPr>
          <w:fldChar w:fldCharType="end"/>
        </w:r>
      </w:hyperlink>
    </w:p>
    <w:p w14:paraId="4C7294AB" w14:textId="0C5409F2" w:rsidR="000770B1" w:rsidRDefault="000770B1">
      <w:pPr>
        <w:pStyle w:val="TOC1"/>
        <w:tabs>
          <w:tab w:val="right" w:leader="dot" w:pos="9062"/>
        </w:tabs>
        <w:spacing w:line="276" w:lineRule="auto" w:before="30" w:after="30"/>
        <w:rPr>
          <w:noProof/>
        </w:rPr>
        <w:tabs>
          <w:tab w:val="right" w:leader="dot" w:pos="9360"/>
        </w:tabs>
      </w:pPr>
      <w:hyperlink w:anchor="_Toc244090110" w:history="1">
        <w:r w:rsidRPr="00DB23DA">
          <w:rPr>
            <w:rStyle w:val="Hyperlink"/>
            <w:rFonts w:ascii="Times New Roman" w:hAnsi="Times New Roman"/>
            <w:noProof/>
          </w:rPr>
          <w:t>CHƯƠNG 3. HỆ THỐNG TIÊU CHÍ VÀ PHƯƠNG PHÁP ĐỊNH LƯỢNG ĐÁNH GIÁ RỦI RO TÍN DỤNG</w:t>
        </w:r>
        <w:r>
          <w:rPr>
            <w:noProof/>
            <w:webHidden/>
          </w:rPr>
          <w:tab/>
        </w:r>
        <w:r>
          <w:rPr>
            <w:noProof/>
            <w:webHidden/>
          </w:rPr>
          <w:fldChar w:fldCharType="begin"/>
        </w:r>
        <w:r>
          <w:rPr>
            <w:noProof/>
            <w:webHidden/>
          </w:rPr>
          <w:instrText xml:space="preserve"> PAGEREF _Toc244090110 \h </w:instrText>
        </w:r>
        <w:r>
          <w:rPr>
            <w:noProof/>
            <w:webHidden/>
          </w:rPr>
        </w:r>
        <w:r>
          <w:rPr>
            <w:noProof/>
            <w:webHidden/>
          </w:rPr>
          <w:fldChar w:fldCharType="separate"/>
        </w:r>
        <w:r w:rsidR="00EF197F">
          <w:rPr>
            <w:noProof/>
            <w:webHidden/>
          </w:rPr>
          <w:t>13</w:t>
        </w:r>
        <w:r>
          <w:rPr>
            <w:noProof/>
            <w:webHidden/>
          </w:rPr>
          <w:fldChar w:fldCharType="end"/>
        </w:r>
      </w:hyperlink>
    </w:p>
    <w:p w14:paraId="62BE465A" w14:textId="1FF85823" w:rsidR="000770B1" w:rsidRDefault="000770B1">
      <w:pPr>
        <w:pStyle w:val="TOC1"/>
        <w:tabs>
          <w:tab w:val="right" w:leader="dot" w:pos="9062"/>
        </w:tabs>
        <w:spacing w:line="276" w:lineRule="auto" w:before="30" w:after="30"/>
        <w:rPr>
          <w:noProof/>
        </w:rPr>
        <w:tabs>
          <w:tab w:val="right" w:leader="dot" w:pos="9360"/>
        </w:tabs>
      </w:pPr>
      <w:hyperlink w:anchor="_Toc244090111" w:history="1">
        <w:r w:rsidRPr="00DB23DA">
          <w:rPr>
            <w:rStyle w:val="Hyperlink"/>
            <w:rFonts w:ascii="Times New Roman" w:hAnsi="Times New Roman"/>
            <w:noProof/>
          </w:rPr>
          <w:t>CHƯƠNG 4. PHÂN TÍCH THỰC TRẠNG VÀ MÔ HÌNH HÓA ĐỊNH LƯỢNG RỦI RO TÍN DỤNG GIAI ĐOẠN 2020–2025</w:t>
        </w:r>
        <w:r>
          <w:rPr>
            <w:noProof/>
            <w:webHidden/>
          </w:rPr>
          <w:tab/>
        </w:r>
        <w:r>
          <w:rPr>
            <w:noProof/>
            <w:webHidden/>
          </w:rPr>
          <w:fldChar w:fldCharType="begin"/>
        </w:r>
        <w:r>
          <w:rPr>
            <w:noProof/>
            <w:webHidden/>
          </w:rPr>
          <w:instrText xml:space="preserve"> PAGEREF _Toc244090111 \h </w:instrText>
        </w:r>
        <w:r>
          <w:rPr>
            <w:noProof/>
            <w:webHidden/>
          </w:rPr>
        </w:r>
        <w:r>
          <w:rPr>
            <w:noProof/>
            <w:webHidden/>
          </w:rPr>
          <w:fldChar w:fldCharType="separate"/>
        </w:r>
        <w:r w:rsidR="00EF197F">
          <w:rPr>
            <w:noProof/>
            <w:webHidden/>
          </w:rPr>
          <w:t>13</w:t>
        </w:r>
        <w:r>
          <w:rPr>
            <w:noProof/>
            <w:webHidden/>
          </w:rPr>
          <w:fldChar w:fldCharType="end"/>
        </w:r>
      </w:hyperlink>
    </w:p>
    <w:p w14:paraId="389DC98E" w14:textId="23504326" w:rsidR="000770B1" w:rsidRDefault="000770B1">
      <w:pPr>
        <w:pStyle w:val="TOC2"/>
        <w:tabs>
          <w:tab w:val="right" w:leader="dot" w:pos="9062"/>
        </w:tabs>
        <w:spacing w:line="276" w:lineRule="auto" w:before="30" w:after="30"/>
        <w:rPr>
          <w:noProof/>
        </w:rPr>
        <w:tabs>
          <w:tab w:val="right" w:leader="dot" w:pos="9360"/>
        </w:tabs>
      </w:pPr>
      <w:hyperlink w:anchor="_Toc244090112" w:history="1">
        <w:r w:rsidRPr="00DB23DA">
          <w:rPr>
            <w:rStyle w:val="Hyperlink"/>
            <w:rFonts w:ascii="Times New Roman" w:hAnsi="Times New Roman"/>
            <w:noProof/>
          </w:rPr>
          <w:t>4.1. Quy mô tín dụng, nợ xấu và phân rã tốc độ tăng trưởng (Decomposition)</w:t>
        </w:r>
        <w:r>
          <w:rPr>
            <w:noProof/>
            <w:webHidden/>
          </w:rPr>
          <w:tab/>
        </w:r>
        <w:r>
          <w:rPr>
            <w:noProof/>
            <w:webHidden/>
          </w:rPr>
          <w:fldChar w:fldCharType="begin"/>
        </w:r>
        <w:r>
          <w:rPr>
            <w:noProof/>
            <w:webHidden/>
          </w:rPr>
          <w:instrText xml:space="preserve"> PAGEREF _Toc244090112 \h </w:instrText>
        </w:r>
        <w:r>
          <w:rPr>
            <w:noProof/>
            <w:webHidden/>
          </w:rPr>
        </w:r>
        <w:r>
          <w:rPr>
            <w:noProof/>
            <w:webHidden/>
          </w:rPr>
          <w:fldChar w:fldCharType="separate"/>
        </w:r>
        <w:r w:rsidR="00EF197F">
          <w:rPr>
            <w:noProof/>
            <w:webHidden/>
          </w:rPr>
          <w:t>13</w:t>
        </w:r>
        <w:r>
          <w:rPr>
            <w:noProof/>
            <w:webHidden/>
          </w:rPr>
          <w:fldChar w:fldCharType="end"/>
        </w:r>
      </w:hyperlink>
    </w:p>
    <w:p w14:paraId="184A24C7" w14:textId="22B7C096" w:rsidR="000770B1" w:rsidRDefault="000770B1">
      <w:pPr>
        <w:pStyle w:val="TOC2"/>
        <w:tabs>
          <w:tab w:val="right" w:leader="dot" w:pos="9062"/>
        </w:tabs>
        <w:spacing w:line="276" w:lineRule="auto" w:before="30" w:after="30"/>
        <w:rPr>
          <w:noProof/>
        </w:rPr>
        <w:tabs>
          <w:tab w:val="right" w:leader="dot" w:pos="9360"/>
        </w:tabs>
      </w:pPr>
      <w:hyperlink w:anchor="_Toc244090113" w:history="1">
        <w:r w:rsidRPr="00DB23DA">
          <w:rPr>
            <w:rStyle w:val="Hyperlink"/>
            <w:rFonts w:ascii="Times New Roman" w:hAnsi="Times New Roman"/>
            <w:noProof/>
          </w:rPr>
          <w:t>4.2. Bộ đệm dự phòng, chi phí tín dụng và hành vi trích lập dự phòng theo chu kỳ</w:t>
        </w:r>
        <w:r>
          <w:rPr>
            <w:noProof/>
            <w:webHidden/>
          </w:rPr>
          <w:tab/>
        </w:r>
        <w:r>
          <w:rPr>
            <w:noProof/>
            <w:webHidden/>
          </w:rPr>
          <w:fldChar w:fldCharType="begin"/>
        </w:r>
        <w:r>
          <w:rPr>
            <w:noProof/>
            <w:webHidden/>
          </w:rPr>
          <w:instrText xml:space="preserve"> PAGEREF _Toc244090113 \h </w:instrText>
        </w:r>
        <w:r>
          <w:rPr>
            <w:noProof/>
            <w:webHidden/>
          </w:rPr>
        </w:r>
        <w:r>
          <w:rPr>
            <w:noProof/>
            <w:webHidden/>
          </w:rPr>
          <w:fldChar w:fldCharType="separate"/>
        </w:r>
        <w:r w:rsidR="00EF197F">
          <w:rPr>
            <w:noProof/>
            <w:webHidden/>
          </w:rPr>
          <w:t>16</w:t>
        </w:r>
        <w:r>
          <w:rPr>
            <w:noProof/>
            <w:webHidden/>
          </w:rPr>
          <w:fldChar w:fldCharType="end"/>
        </w:r>
      </w:hyperlink>
    </w:p>
    <w:p w14:paraId="6F71B81D" w14:textId="2556290A" w:rsidR="000770B1" w:rsidRDefault="000770B1">
      <w:pPr>
        <w:pStyle w:val="TOC2"/>
        <w:tabs>
          <w:tab w:val="right" w:leader="dot" w:pos="9062"/>
        </w:tabs>
        <w:spacing w:line="276" w:lineRule="auto" w:before="30" w:after="30"/>
        <w:rPr>
          <w:noProof/>
        </w:rPr>
        <w:tabs>
          <w:tab w:val="right" w:leader="dot" w:pos="9360"/>
        </w:tabs>
      </w:pPr>
      <w:hyperlink w:anchor="_Toc244090114" w:history="1">
        <w:r w:rsidRPr="00DB23DA">
          <w:rPr>
            <w:rStyle w:val="Hyperlink"/>
            <w:rFonts w:ascii="Times New Roman" w:hAnsi="Times New Roman"/>
            <w:noProof/>
          </w:rPr>
          <w:t>4.3. Nợ nhóm 2, nợ cơ cấu và áp lực nợ xấu tiềm ẩn</w:t>
        </w:r>
        <w:r>
          <w:rPr>
            <w:noProof/>
            <w:webHidden/>
          </w:rPr>
          <w:tab/>
        </w:r>
        <w:r>
          <w:rPr>
            <w:noProof/>
            <w:webHidden/>
          </w:rPr>
          <w:fldChar w:fldCharType="begin"/>
        </w:r>
        <w:r>
          <w:rPr>
            <w:noProof/>
            <w:webHidden/>
          </w:rPr>
          <w:instrText xml:space="preserve"> PAGEREF _Toc244090114 \h </w:instrText>
        </w:r>
        <w:r>
          <w:rPr>
            <w:noProof/>
            <w:webHidden/>
          </w:rPr>
        </w:r>
        <w:r>
          <w:rPr>
            <w:noProof/>
            <w:webHidden/>
          </w:rPr>
          <w:fldChar w:fldCharType="separate"/>
        </w:r>
        <w:r w:rsidR="00EF197F">
          <w:rPr>
            <w:noProof/>
            <w:webHidden/>
          </w:rPr>
          <w:t>18</w:t>
        </w:r>
        <w:r>
          <w:rPr>
            <w:noProof/>
            <w:webHidden/>
          </w:rPr>
          <w:fldChar w:fldCharType="end"/>
        </w:r>
      </w:hyperlink>
    </w:p>
    <w:p w14:paraId="78B117DC" w14:textId="592285A8" w:rsidR="000770B1" w:rsidRDefault="000770B1">
      <w:pPr>
        <w:pStyle w:val="TOC2"/>
        <w:tabs>
          <w:tab w:val="right" w:leader="dot" w:pos="9062"/>
        </w:tabs>
        <w:spacing w:line="276" w:lineRule="auto" w:before="30" w:after="30"/>
        <w:rPr>
          <w:noProof/>
        </w:rPr>
        <w:tabs>
          <w:tab w:val="right" w:leader="dot" w:pos="9360"/>
        </w:tabs>
      </w:pPr>
      <w:hyperlink w:anchor="_Toc244090115" w:history="1">
        <w:r w:rsidRPr="00DB23DA">
          <w:rPr>
            <w:rStyle w:val="Hyperlink"/>
            <w:rFonts w:ascii="Times New Roman" w:hAnsi="Times New Roman"/>
            <w:noProof/>
          </w:rPr>
          <w:t>4.4. Đo lường hiệu quả tài chính điều chỉnh theo rủi ro (RORAC)</w:t>
        </w:r>
        <w:r>
          <w:rPr>
            <w:noProof/>
            <w:webHidden/>
          </w:rPr>
          <w:tab/>
        </w:r>
        <w:r>
          <w:rPr>
            <w:noProof/>
            <w:webHidden/>
          </w:rPr>
          <w:fldChar w:fldCharType="begin"/>
        </w:r>
        <w:r>
          <w:rPr>
            <w:noProof/>
            <w:webHidden/>
          </w:rPr>
          <w:instrText xml:space="preserve"> PAGEREF _Toc244090115 \h </w:instrText>
        </w:r>
        <w:r>
          <w:rPr>
            <w:noProof/>
            <w:webHidden/>
          </w:rPr>
        </w:r>
        <w:r>
          <w:rPr>
            <w:noProof/>
            <w:webHidden/>
          </w:rPr>
          <w:fldChar w:fldCharType="separate"/>
        </w:r>
        <w:r w:rsidR="00EF197F">
          <w:rPr>
            <w:noProof/>
            <w:webHidden/>
          </w:rPr>
          <w:t>19</w:t>
        </w:r>
        <w:r>
          <w:rPr>
            <w:noProof/>
            <w:webHidden/>
          </w:rPr>
          <w:fldChar w:fldCharType="end"/>
        </w:r>
      </w:hyperlink>
    </w:p>
    <w:p w14:paraId="3CED3F58" w14:textId="4B4556CA" w:rsidR="000770B1" w:rsidRDefault="000770B1">
      <w:pPr>
        <w:pStyle w:val="TOC2"/>
        <w:tabs>
          <w:tab w:val="right" w:leader="dot" w:pos="9062"/>
        </w:tabs>
        <w:spacing w:line="276" w:lineRule="auto" w:before="30" w:after="30"/>
        <w:rPr>
          <w:noProof/>
        </w:rPr>
        <w:tabs>
          <w:tab w:val="right" w:leader="dot" w:pos="9360"/>
        </w:tabs>
      </w:pPr>
      <w:hyperlink w:anchor="_Toc244090116" w:history="1">
        <w:r w:rsidRPr="00DB23DA">
          <w:rPr>
            <w:rStyle w:val="Hyperlink"/>
            <w:rFonts w:ascii="Times New Roman" w:hAnsi="Times New Roman"/>
            <w:noProof/>
          </w:rPr>
          <w:t>4.5. Cơ cấu danh mục, mức độ tập trung ngành và an toàn vốn (CAR)</w:t>
        </w:r>
        <w:r>
          <w:rPr>
            <w:noProof/>
            <w:webHidden/>
          </w:rPr>
          <w:tab/>
        </w:r>
        <w:r>
          <w:rPr>
            <w:noProof/>
            <w:webHidden/>
          </w:rPr>
          <w:fldChar w:fldCharType="begin"/>
        </w:r>
        <w:r>
          <w:rPr>
            <w:noProof/>
            <w:webHidden/>
          </w:rPr>
          <w:instrText xml:space="preserve"> PAGEREF _Toc244090116 \h </w:instrText>
        </w:r>
        <w:r>
          <w:rPr>
            <w:noProof/>
            <w:webHidden/>
          </w:rPr>
        </w:r>
        <w:r>
          <w:rPr>
            <w:noProof/>
            <w:webHidden/>
          </w:rPr>
          <w:fldChar w:fldCharType="separate"/>
        </w:r>
        <w:r w:rsidR="00EF197F">
          <w:rPr>
            <w:noProof/>
            <w:webHidden/>
          </w:rPr>
          <w:t>20</w:t>
        </w:r>
        <w:r>
          <w:rPr>
            <w:noProof/>
            <w:webHidden/>
          </w:rPr>
          <w:fldChar w:fldCharType="end"/>
        </w:r>
      </w:hyperlink>
    </w:p>
    <w:p w14:paraId="74A3E683" w14:textId="0B81D4F1" w:rsidR="000770B1" w:rsidRDefault="000770B1">
      <w:pPr>
        <w:pStyle w:val="TOC2"/>
        <w:tabs>
          <w:tab w:val="right" w:leader="dot" w:pos="9062"/>
        </w:tabs>
        <w:spacing w:line="276" w:lineRule="auto" w:before="30" w:after="30"/>
        <w:rPr>
          <w:noProof/>
        </w:rPr>
        <w:tabs>
          <w:tab w:val="right" w:leader="dot" w:pos="9360"/>
        </w:tabs>
      </w:pPr>
      <w:hyperlink w:anchor="_Toc244090117" w:history="1">
        <w:r w:rsidRPr="00DB23DA">
          <w:rPr>
            <w:rStyle w:val="Hyperlink"/>
            <w:rFonts w:ascii="Times New Roman" w:hAnsi="Times New Roman"/>
            <w:noProof/>
          </w:rPr>
          <w:t>4.6. Kiểm tra sức chịu đựng vĩ mô (Macroeconomic Stress Testing 2026)</w:t>
        </w:r>
        <w:r>
          <w:rPr>
            <w:noProof/>
            <w:webHidden/>
          </w:rPr>
          <w:tab/>
        </w:r>
        <w:r>
          <w:rPr>
            <w:noProof/>
            <w:webHidden/>
          </w:rPr>
          <w:fldChar w:fldCharType="begin"/>
        </w:r>
        <w:r>
          <w:rPr>
            <w:noProof/>
            <w:webHidden/>
          </w:rPr>
          <w:instrText xml:space="preserve"> PAGEREF _Toc244090117 \h </w:instrText>
        </w:r>
        <w:r>
          <w:rPr>
            <w:noProof/>
            <w:webHidden/>
          </w:rPr>
        </w:r>
        <w:r>
          <w:rPr>
            <w:noProof/>
            <w:webHidden/>
          </w:rPr>
          <w:fldChar w:fldCharType="separate"/>
        </w:r>
        <w:r w:rsidR="00EF197F">
          <w:rPr>
            <w:noProof/>
            <w:webHidden/>
          </w:rPr>
          <w:t>21</w:t>
        </w:r>
        <w:r>
          <w:rPr>
            <w:noProof/>
            <w:webHidden/>
          </w:rPr>
          <w:fldChar w:fldCharType="end"/>
        </w:r>
      </w:hyperlink>
    </w:p>
    <w:p w14:paraId="4ECF1DBC" w14:textId="0535703E" w:rsidR="000770B1" w:rsidRDefault="000770B1">
      <w:pPr>
        <w:pStyle w:val="TOC2"/>
        <w:tabs>
          <w:tab w:val="right" w:leader="dot" w:pos="9062"/>
        </w:tabs>
        <w:spacing w:line="276" w:lineRule="auto" w:before="30" w:after="30"/>
        <w:rPr>
          <w:noProof/>
        </w:rPr>
        <w:tabs>
          <w:tab w:val="right" w:leader="dot" w:pos="9360"/>
        </w:tabs>
      </w:pPr>
      <w:hyperlink w:anchor="_Toc244090118" w:history="1">
        <w:r w:rsidRPr="00DB23DA">
          <w:rPr>
            <w:rStyle w:val="Hyperlink"/>
            <w:rFonts w:ascii="Times New Roman" w:hAnsi="Times New Roman"/>
            <w:noProof/>
          </w:rPr>
          <w:t>4.7. Mô phỏng định lượng tác động chuyển đổi Chuẩn mực Quốc tế IFRS 9 ECL</w:t>
        </w:r>
        <w:r>
          <w:rPr>
            <w:noProof/>
            <w:webHidden/>
          </w:rPr>
          <w:tab/>
        </w:r>
        <w:r>
          <w:rPr>
            <w:noProof/>
            <w:webHidden/>
          </w:rPr>
          <w:fldChar w:fldCharType="begin"/>
        </w:r>
        <w:r>
          <w:rPr>
            <w:noProof/>
            <w:webHidden/>
          </w:rPr>
          <w:instrText xml:space="preserve"> PAGEREF _Toc244090118 \h </w:instrText>
        </w:r>
        <w:r>
          <w:rPr>
            <w:noProof/>
            <w:webHidden/>
          </w:rPr>
        </w:r>
        <w:r>
          <w:rPr>
            <w:noProof/>
            <w:webHidden/>
          </w:rPr>
          <w:fldChar w:fldCharType="separate"/>
        </w:r>
        <w:r w:rsidR="00EF197F">
          <w:rPr>
            <w:noProof/>
            <w:webHidden/>
          </w:rPr>
          <w:t>23</w:t>
        </w:r>
        <w:r>
          <w:rPr>
            <w:noProof/>
            <w:webHidden/>
          </w:rPr>
          <w:fldChar w:fldCharType="end"/>
        </w:r>
      </w:hyperlink>
    </w:p>
    <w:p w14:paraId="7AB48FBB" w14:textId="3D066273" w:rsidR="000770B1" w:rsidRDefault="000770B1">
      <w:pPr>
        <w:pStyle w:val="TOC1"/>
        <w:tabs>
          <w:tab w:val="right" w:leader="dot" w:pos="9062"/>
        </w:tabs>
        <w:spacing w:line="276" w:lineRule="auto" w:before="30" w:after="30"/>
        <w:rPr>
          <w:noProof/>
        </w:rPr>
        <w:tabs>
          <w:tab w:val="right" w:leader="dot" w:pos="9360"/>
        </w:tabs>
      </w:pPr>
      <w:hyperlink w:anchor="_Toc244090119" w:history="1">
        <w:r w:rsidRPr="00DB23DA">
          <w:rPr>
            <w:rStyle w:val="Hyperlink"/>
            <w:rFonts w:ascii="Times New Roman" w:hAnsi="Times New Roman"/>
            <w:noProof/>
          </w:rPr>
          <w:t>CHƯƠNG 5. PHÂN TÍCH TÌNH HUỐNG THỰC TIỄN GIAI ĐOẠN 2020–2025 (DIỄN BIẾN – NGUYÊN NHÂN – HẬU QUẢ – BIỆN PHÁP KHẮC PHỤC)</w:t>
        </w:r>
        <w:r>
          <w:rPr>
            <w:noProof/>
            <w:webHidden/>
          </w:rPr>
          <w:tab/>
        </w:r>
        <w:r>
          <w:rPr>
            <w:noProof/>
            <w:webHidden/>
          </w:rPr>
          <w:fldChar w:fldCharType="begin"/>
        </w:r>
        <w:r>
          <w:rPr>
            <w:noProof/>
            <w:webHidden/>
          </w:rPr>
          <w:instrText xml:space="preserve"> PAGEREF _Toc244090119 \h </w:instrText>
        </w:r>
        <w:r>
          <w:rPr>
            <w:noProof/>
            <w:webHidden/>
          </w:rPr>
        </w:r>
        <w:r>
          <w:rPr>
            <w:noProof/>
            <w:webHidden/>
          </w:rPr>
          <w:fldChar w:fldCharType="separate"/>
        </w:r>
        <w:r w:rsidR="00EF197F">
          <w:rPr>
            <w:noProof/>
            <w:webHidden/>
          </w:rPr>
          <w:t>26</w:t>
        </w:r>
        <w:r>
          <w:rPr>
            <w:noProof/>
            <w:webHidden/>
          </w:rPr>
          <w:fldChar w:fldCharType="end"/>
        </w:r>
      </w:hyperlink>
    </w:p>
    <w:p w14:paraId="7BFB0259" w14:textId="2926E0F3" w:rsidR="000770B1" w:rsidRDefault="000770B1">
      <w:pPr>
        <w:pStyle w:val="TOC2"/>
        <w:tabs>
          <w:tab w:val="right" w:leader="dot" w:pos="9062"/>
        </w:tabs>
        <w:spacing w:line="276" w:lineRule="auto" w:before="30" w:after="30"/>
        <w:rPr>
          <w:noProof/>
        </w:rPr>
        <w:tabs>
          <w:tab w:val="right" w:leader="dot" w:pos="9360"/>
        </w:tabs>
      </w:pPr>
      <w:hyperlink w:anchor="_Toc244090120" w:history="1">
        <w:r w:rsidRPr="00DB23DA">
          <w:rPr>
            <w:rStyle w:val="Hyperlink"/>
            <w:rFonts w:ascii="Times New Roman" w:hAnsi="Times New Roman"/>
            <w:noProof/>
          </w:rPr>
          <w:t>5.1. Agribank – Cú sốc thiên tai Yagi 2024, điểm nghẽn thanh khoản TSBĐ nợ nhóm 5 và bài học từ vụ Lifepro</w:t>
        </w:r>
        <w:r>
          <w:rPr>
            <w:noProof/>
            <w:webHidden/>
          </w:rPr>
          <w:tab/>
        </w:r>
        <w:r>
          <w:rPr>
            <w:noProof/>
            <w:webHidden/>
          </w:rPr>
          <w:fldChar w:fldCharType="begin"/>
        </w:r>
        <w:r>
          <w:rPr>
            <w:noProof/>
            <w:webHidden/>
          </w:rPr>
          <w:instrText xml:space="preserve"> PAGEREF _Toc244090120 \h </w:instrText>
        </w:r>
        <w:r>
          <w:rPr>
            <w:noProof/>
            <w:webHidden/>
          </w:rPr>
        </w:r>
        <w:r>
          <w:rPr>
            <w:noProof/>
            <w:webHidden/>
          </w:rPr>
          <w:fldChar w:fldCharType="separate"/>
        </w:r>
        <w:r w:rsidR="00EF197F">
          <w:rPr>
            <w:noProof/>
            <w:webHidden/>
          </w:rPr>
          <w:t>26</w:t>
        </w:r>
        <w:r>
          <w:rPr>
            <w:noProof/>
            <w:webHidden/>
          </w:rPr>
          <w:fldChar w:fldCharType="end"/>
        </w:r>
      </w:hyperlink>
    </w:p>
    <w:p w14:paraId="679615A1" w14:textId="0FE78F3B" w:rsidR="000770B1" w:rsidRDefault="000770B1">
      <w:pPr>
        <w:pStyle w:val="TOC2"/>
        <w:tabs>
          <w:tab w:val="right" w:leader="dot" w:pos="9062"/>
        </w:tabs>
        <w:spacing w:line="276" w:lineRule="auto" w:before="30" w:after="30"/>
        <w:rPr>
          <w:noProof/>
        </w:rPr>
        <w:tabs>
          <w:tab w:val="right" w:leader="dot" w:pos="9360"/>
        </w:tabs>
      </w:pPr>
      <w:hyperlink w:anchor="_Toc244090121" w:history="1">
        <w:r w:rsidRPr="00DB23DA">
          <w:rPr>
            <w:rStyle w:val="Hyperlink"/>
            <w:rFonts w:ascii="Times New Roman" w:hAnsi="Times New Roman"/>
            <w:noProof/>
          </w:rPr>
          <w:t>5.2. MB – Rủi ro tín dụng tiêu dùng tại MCredit và rủi ro đạo đức cấp chi nhánh (Vụ Gia Lai 2022–2023)</w:t>
        </w:r>
        <w:r>
          <w:rPr>
            <w:noProof/>
            <w:webHidden/>
          </w:rPr>
          <w:tab/>
        </w:r>
        <w:r>
          <w:rPr>
            <w:noProof/>
            <w:webHidden/>
          </w:rPr>
          <w:fldChar w:fldCharType="begin"/>
        </w:r>
        <w:r>
          <w:rPr>
            <w:noProof/>
            <w:webHidden/>
          </w:rPr>
          <w:instrText xml:space="preserve"> PAGEREF _Toc244090121 \h </w:instrText>
        </w:r>
        <w:r>
          <w:rPr>
            <w:noProof/>
            <w:webHidden/>
          </w:rPr>
        </w:r>
        <w:r>
          <w:rPr>
            <w:noProof/>
            <w:webHidden/>
          </w:rPr>
          <w:fldChar w:fldCharType="separate"/>
        </w:r>
        <w:r w:rsidR="00EF197F">
          <w:rPr>
            <w:noProof/>
            <w:webHidden/>
          </w:rPr>
          <w:t>28</w:t>
        </w:r>
        <w:r>
          <w:rPr>
            <w:noProof/>
            <w:webHidden/>
          </w:rPr>
          <w:fldChar w:fldCharType="end"/>
        </w:r>
      </w:hyperlink>
    </w:p>
    <w:p w14:paraId="03C8A0BA" w14:textId="19EEFFB3" w:rsidR="000770B1" w:rsidRDefault="000770B1">
      <w:pPr>
        <w:pStyle w:val="TOC2"/>
        <w:tabs>
          <w:tab w:val="right" w:leader="dot" w:pos="9062"/>
        </w:tabs>
        <w:spacing w:line="276" w:lineRule="auto" w:before="30" w:after="30"/>
        <w:rPr>
          <w:noProof/>
        </w:rPr>
        <w:tabs>
          <w:tab w:val="right" w:leader="dot" w:pos="9360"/>
        </w:tabs>
      </w:pPr>
      <w:hyperlink w:anchor="_Toc244090122" w:history="1">
        <w:r w:rsidRPr="00DB23DA">
          <w:rPr>
            <w:rStyle w:val="Hyperlink"/>
            <w:rFonts w:ascii="Times New Roman" w:hAnsi="Times New Roman"/>
            <w:noProof/>
          </w:rPr>
          <w:t>5.3. MB – Cú sốc chất lượng tài sản năm 2023: Khủng hoảng thanh khoản TPDN, BĐS và hiệu ứng CIC</w:t>
        </w:r>
        <w:r>
          <w:rPr>
            <w:noProof/>
            <w:webHidden/>
          </w:rPr>
          <w:tab/>
        </w:r>
        <w:r>
          <w:rPr>
            <w:noProof/>
            <w:webHidden/>
          </w:rPr>
          <w:fldChar w:fldCharType="begin"/>
        </w:r>
        <w:r>
          <w:rPr>
            <w:noProof/>
            <w:webHidden/>
          </w:rPr>
          <w:instrText xml:space="preserve"> PAGEREF _Toc244090122 \h </w:instrText>
        </w:r>
        <w:r>
          <w:rPr>
            <w:noProof/>
            <w:webHidden/>
          </w:rPr>
        </w:r>
        <w:r>
          <w:rPr>
            <w:noProof/>
            <w:webHidden/>
          </w:rPr>
          <w:fldChar w:fldCharType="separate"/>
        </w:r>
        <w:r w:rsidR="00EF197F">
          <w:rPr>
            <w:noProof/>
            <w:webHidden/>
          </w:rPr>
          <w:t>29</w:t>
        </w:r>
        <w:r>
          <w:rPr>
            <w:noProof/>
            <w:webHidden/>
          </w:rPr>
          <w:fldChar w:fldCharType="end"/>
        </w:r>
      </w:hyperlink>
    </w:p>
    <w:p w14:paraId="42CAADE0" w14:textId="75D4284C" w:rsidR="000770B1" w:rsidRDefault="000770B1">
      <w:pPr>
        <w:pStyle w:val="TOC2"/>
        <w:tabs>
          <w:tab w:val="right" w:leader="dot" w:pos="9062"/>
        </w:tabs>
        <w:spacing w:line="276" w:lineRule="auto" w:before="30" w:after="30"/>
        <w:rPr>
          <w:noProof/>
        </w:rPr>
        <w:tabs>
          <w:tab w:val="right" w:leader="dot" w:pos="9360"/>
        </w:tabs>
      </w:pPr>
      <w:hyperlink w:anchor="_Toc244090123" w:history="1">
        <w:r w:rsidRPr="00DB23DA">
          <w:rPr>
            <w:rStyle w:val="Hyperlink"/>
            <w:rFonts w:ascii="Times New Roman" w:hAnsi="Times New Roman"/>
            <w:noProof/>
          </w:rPr>
          <w:t>5.4. MB – Biến động nợ xấu Quý III–IV/2025, xử lý rủi ro bằng dự phòng và quy chế không hợp nhất MBV</w:t>
        </w:r>
        <w:r>
          <w:rPr>
            <w:noProof/>
            <w:webHidden/>
          </w:rPr>
          <w:tab/>
        </w:r>
        <w:r>
          <w:rPr>
            <w:noProof/>
            <w:webHidden/>
          </w:rPr>
          <w:fldChar w:fldCharType="begin"/>
        </w:r>
        <w:r>
          <w:rPr>
            <w:noProof/>
            <w:webHidden/>
          </w:rPr>
          <w:instrText xml:space="preserve"> PAGEREF _Toc244090123 \h </w:instrText>
        </w:r>
        <w:r>
          <w:rPr>
            <w:noProof/>
            <w:webHidden/>
          </w:rPr>
        </w:r>
        <w:r>
          <w:rPr>
            <w:noProof/>
            <w:webHidden/>
          </w:rPr>
          <w:fldChar w:fldCharType="separate"/>
        </w:r>
        <w:r w:rsidR="00EF197F">
          <w:rPr>
            <w:noProof/>
            <w:webHidden/>
          </w:rPr>
          <w:t>29</w:t>
        </w:r>
        <w:r>
          <w:rPr>
            <w:noProof/>
            <w:webHidden/>
          </w:rPr>
          <w:fldChar w:fldCharType="end"/>
        </w:r>
      </w:hyperlink>
    </w:p>
    <w:p w14:paraId="747D4DF4" w14:textId="1B2794B9" w:rsidR="000770B1" w:rsidRDefault="000770B1">
      <w:pPr>
        <w:pStyle w:val="TOC1"/>
        <w:tabs>
          <w:tab w:val="right" w:leader="dot" w:pos="9062"/>
        </w:tabs>
        <w:spacing w:line="276" w:lineRule="auto" w:before="30" w:after="30"/>
        <w:rPr>
          <w:noProof/>
        </w:rPr>
        <w:tabs>
          <w:tab w:val="right" w:leader="dot" w:pos="9360"/>
        </w:tabs>
      </w:pPr>
      <w:hyperlink w:anchor="_Toc244090124" w:history="1">
        <w:r w:rsidRPr="00DB23DA">
          <w:rPr>
            <w:rStyle w:val="Hyperlink"/>
            <w:rFonts w:ascii="Times New Roman" w:hAnsi="Times New Roman"/>
            <w:noProof/>
          </w:rPr>
          <w:t>CHƯƠNG 6. ĐÁNH GIÁ KẾT QUẢ ĐẠT ĐƯỢC, HẠN CHẾ, NGUYÊN NHÂN VÀ SO SÁNH HAI MÔ HÌNH</w:t>
        </w:r>
        <w:r>
          <w:rPr>
            <w:noProof/>
            <w:webHidden/>
          </w:rPr>
          <w:tab/>
        </w:r>
        <w:r>
          <w:rPr>
            <w:noProof/>
            <w:webHidden/>
          </w:rPr>
          <w:fldChar w:fldCharType="begin"/>
        </w:r>
        <w:r>
          <w:rPr>
            <w:noProof/>
            <w:webHidden/>
          </w:rPr>
          <w:instrText xml:space="preserve"> PAGEREF _Toc244090124 \h </w:instrText>
        </w:r>
        <w:r>
          <w:rPr>
            <w:noProof/>
            <w:webHidden/>
          </w:rPr>
        </w:r>
        <w:r>
          <w:rPr>
            <w:noProof/>
            <w:webHidden/>
          </w:rPr>
          <w:fldChar w:fldCharType="separate"/>
        </w:r>
        <w:r w:rsidR="00EF197F">
          <w:rPr>
            <w:noProof/>
            <w:webHidden/>
          </w:rPr>
          <w:t>31</w:t>
        </w:r>
        <w:r>
          <w:rPr>
            <w:noProof/>
            <w:webHidden/>
          </w:rPr>
          <w:fldChar w:fldCharType="end"/>
        </w:r>
      </w:hyperlink>
    </w:p>
    <w:p w14:paraId="062472D8" w14:textId="2818D462" w:rsidR="000770B1" w:rsidRDefault="000770B1">
      <w:pPr>
        <w:pStyle w:val="TOC2"/>
        <w:tabs>
          <w:tab w:val="right" w:leader="dot" w:pos="9062"/>
        </w:tabs>
        <w:spacing w:line="276" w:lineRule="auto" w:before="30" w:after="30"/>
        <w:rPr>
          <w:noProof/>
        </w:rPr>
        <w:tabs>
          <w:tab w:val="right" w:leader="dot" w:pos="9360"/>
        </w:tabs>
      </w:pPr>
      <w:hyperlink w:anchor="_Toc244090125" w:history="1">
        <w:r w:rsidRPr="00DB23DA">
          <w:rPr>
            <w:rStyle w:val="Hyperlink"/>
            <w:rFonts w:ascii="Times New Roman" w:hAnsi="Times New Roman"/>
            <w:noProof/>
          </w:rPr>
          <w:t>6.1. Đánh giá tổng hợp công tác quản trị rủi ro tín dụng tại Agribank (2020–2025)</w:t>
        </w:r>
        <w:r>
          <w:rPr>
            <w:noProof/>
            <w:webHidden/>
          </w:rPr>
          <w:tab/>
        </w:r>
        <w:r>
          <w:rPr>
            <w:noProof/>
            <w:webHidden/>
          </w:rPr>
          <w:fldChar w:fldCharType="begin"/>
        </w:r>
        <w:r>
          <w:rPr>
            <w:noProof/>
            <w:webHidden/>
          </w:rPr>
          <w:instrText xml:space="preserve"> PAGEREF _Toc244090125 \h </w:instrText>
        </w:r>
        <w:r>
          <w:rPr>
            <w:noProof/>
            <w:webHidden/>
          </w:rPr>
        </w:r>
        <w:r>
          <w:rPr>
            <w:noProof/>
            <w:webHidden/>
          </w:rPr>
          <w:fldChar w:fldCharType="separate"/>
        </w:r>
        <w:r w:rsidR="00EF197F">
          <w:rPr>
            <w:noProof/>
            <w:webHidden/>
          </w:rPr>
          <w:t>32</w:t>
        </w:r>
        <w:r>
          <w:rPr>
            <w:noProof/>
            <w:webHidden/>
          </w:rPr>
          <w:fldChar w:fldCharType="end"/>
        </w:r>
      </w:hyperlink>
    </w:p>
    <w:p w14:paraId="3F567CD8" w14:textId="094364C4" w:rsidR="000770B1" w:rsidRDefault="000770B1">
      <w:pPr>
        <w:pStyle w:val="TOC2"/>
        <w:tabs>
          <w:tab w:val="right" w:leader="dot" w:pos="9062"/>
        </w:tabs>
        <w:spacing w:line="276" w:lineRule="auto" w:before="30" w:after="30"/>
        <w:rPr>
          <w:noProof/>
        </w:rPr>
        <w:tabs>
          <w:tab w:val="right" w:leader="dot" w:pos="9360"/>
        </w:tabs>
      </w:pPr>
      <w:hyperlink w:anchor="_Toc244090126" w:history="1">
        <w:r w:rsidRPr="00DB23DA">
          <w:rPr>
            <w:rStyle w:val="Hyperlink"/>
            <w:rFonts w:ascii="Times New Roman" w:hAnsi="Times New Roman"/>
            <w:noProof/>
          </w:rPr>
          <w:t>6.2. Đánh giá tổng hợp công tác quản trị rủi ro tín dụng tại MB (2020–2025)</w:t>
        </w:r>
        <w:r>
          <w:rPr>
            <w:noProof/>
            <w:webHidden/>
          </w:rPr>
          <w:tab/>
        </w:r>
        <w:r>
          <w:rPr>
            <w:noProof/>
            <w:webHidden/>
          </w:rPr>
          <w:fldChar w:fldCharType="begin"/>
        </w:r>
        <w:r>
          <w:rPr>
            <w:noProof/>
            <w:webHidden/>
          </w:rPr>
          <w:instrText xml:space="preserve"> PAGEREF _Toc244090126 \h </w:instrText>
        </w:r>
        <w:r>
          <w:rPr>
            <w:noProof/>
            <w:webHidden/>
          </w:rPr>
        </w:r>
        <w:r>
          <w:rPr>
            <w:noProof/>
            <w:webHidden/>
          </w:rPr>
          <w:fldChar w:fldCharType="separate"/>
        </w:r>
        <w:r w:rsidR="00EF197F">
          <w:rPr>
            <w:noProof/>
            <w:webHidden/>
          </w:rPr>
          <w:t>32</w:t>
        </w:r>
        <w:r>
          <w:rPr>
            <w:noProof/>
            <w:webHidden/>
          </w:rPr>
          <w:fldChar w:fldCharType="end"/>
        </w:r>
      </w:hyperlink>
    </w:p>
    <w:p w14:paraId="74004308" w14:textId="2A296864" w:rsidR="000770B1" w:rsidRDefault="000770B1">
      <w:pPr>
        <w:pStyle w:val="TOC1"/>
        <w:tabs>
          <w:tab w:val="right" w:leader="dot" w:pos="9062"/>
        </w:tabs>
        <w:spacing w:line="276" w:lineRule="auto" w:before="30" w:after="30"/>
        <w:rPr>
          <w:noProof/>
        </w:rPr>
        <w:tabs>
          <w:tab w:val="right" w:leader="dot" w:pos="9360"/>
        </w:tabs>
      </w:pPr>
      <w:hyperlink w:anchor="_Toc244090127" w:history="1">
        <w:r w:rsidRPr="00DB23DA">
          <w:rPr>
            <w:rStyle w:val="Hyperlink"/>
            <w:rFonts w:ascii="Times New Roman" w:hAnsi="Times New Roman"/>
            <w:noProof/>
          </w:rPr>
          <w:t>CHƯƠNG 7. HỆ THỐNG KIẾN NGHỊ VÀ HÀM Ý CHÍNH SÁCH QUẢN TRỊ NÂNG CAO</w:t>
        </w:r>
        <w:r>
          <w:rPr>
            <w:noProof/>
            <w:webHidden/>
          </w:rPr>
          <w:tab/>
        </w:r>
        <w:r>
          <w:rPr>
            <w:noProof/>
            <w:webHidden/>
          </w:rPr>
          <w:fldChar w:fldCharType="begin"/>
        </w:r>
        <w:r>
          <w:rPr>
            <w:noProof/>
            <w:webHidden/>
          </w:rPr>
          <w:instrText xml:space="preserve"> PAGEREF _Toc244090127 \h </w:instrText>
        </w:r>
        <w:r>
          <w:rPr>
            <w:noProof/>
            <w:webHidden/>
          </w:rPr>
        </w:r>
        <w:r>
          <w:rPr>
            <w:noProof/>
            <w:webHidden/>
          </w:rPr>
          <w:fldChar w:fldCharType="separate"/>
        </w:r>
        <w:r w:rsidR="00EF197F">
          <w:rPr>
            <w:noProof/>
            <w:webHidden/>
          </w:rPr>
          <w:t>33</w:t>
        </w:r>
        <w:r>
          <w:rPr>
            <w:noProof/>
            <w:webHidden/>
          </w:rPr>
          <w:fldChar w:fldCharType="end"/>
        </w:r>
      </w:hyperlink>
    </w:p>
    <w:p w14:paraId="49187E92" w14:textId="6420555A" w:rsidR="000770B1" w:rsidRDefault="000770B1">
      <w:pPr>
        <w:pStyle w:val="TOC2"/>
        <w:tabs>
          <w:tab w:val="right" w:leader="dot" w:pos="9062"/>
        </w:tabs>
        <w:spacing w:line="276" w:lineRule="auto" w:before="30" w:after="30"/>
        <w:rPr>
          <w:noProof/>
        </w:rPr>
        <w:tabs>
          <w:tab w:val="right" w:leader="dot" w:pos="9360"/>
        </w:tabs>
      </w:pPr>
      <w:hyperlink w:anchor="_Toc244090128" w:history="1">
        <w:r w:rsidRPr="00DB23DA">
          <w:rPr>
            <w:rStyle w:val="Hyperlink"/>
            <w:rFonts w:ascii="Times New Roman" w:hAnsi="Times New Roman"/>
            <w:noProof/>
          </w:rPr>
          <w:t>7.1. Đối với Ngân hàng Nhà nước</w:t>
        </w:r>
        <w:r>
          <w:rPr>
            <w:noProof/>
            <w:webHidden/>
          </w:rPr>
          <w:tab/>
        </w:r>
        <w:r>
          <w:rPr>
            <w:noProof/>
            <w:webHidden/>
          </w:rPr>
          <w:fldChar w:fldCharType="begin"/>
        </w:r>
        <w:r>
          <w:rPr>
            <w:noProof/>
            <w:webHidden/>
          </w:rPr>
          <w:instrText xml:space="preserve"> PAGEREF _Toc244090128 \h </w:instrText>
        </w:r>
        <w:r>
          <w:rPr>
            <w:noProof/>
            <w:webHidden/>
          </w:rPr>
        </w:r>
        <w:r>
          <w:rPr>
            <w:noProof/>
            <w:webHidden/>
          </w:rPr>
          <w:fldChar w:fldCharType="separate"/>
        </w:r>
        <w:r w:rsidR="00EF197F">
          <w:rPr>
            <w:noProof/>
            <w:webHidden/>
          </w:rPr>
          <w:t>33</w:t>
        </w:r>
        <w:r>
          <w:rPr>
            <w:noProof/>
            <w:webHidden/>
          </w:rPr>
          <w:fldChar w:fldCharType="end"/>
        </w:r>
      </w:hyperlink>
    </w:p>
    <w:p w14:paraId="4BBC79D6" w14:textId="403C2BEE" w:rsidR="000770B1" w:rsidRDefault="000770B1">
      <w:pPr>
        <w:pStyle w:val="TOC2"/>
        <w:tabs>
          <w:tab w:val="right" w:leader="dot" w:pos="9062"/>
        </w:tabs>
        <w:spacing w:line="276" w:lineRule="auto" w:before="30" w:after="30"/>
        <w:rPr>
          <w:noProof/>
        </w:rPr>
        <w:tabs>
          <w:tab w:val="right" w:leader="dot" w:pos="9360"/>
        </w:tabs>
      </w:pPr>
      <w:hyperlink w:anchor="_Toc244090129" w:history="1">
        <w:r w:rsidRPr="00DB23DA">
          <w:rPr>
            <w:rStyle w:val="Hyperlink"/>
            <w:rFonts w:ascii="Times New Roman" w:hAnsi="Times New Roman"/>
            <w:noProof/>
          </w:rPr>
          <w:t>7.2. Đối với Agribank</w:t>
        </w:r>
        <w:r>
          <w:rPr>
            <w:noProof/>
            <w:webHidden/>
          </w:rPr>
          <w:tab/>
        </w:r>
        <w:r>
          <w:rPr>
            <w:noProof/>
            <w:webHidden/>
          </w:rPr>
          <w:fldChar w:fldCharType="begin"/>
        </w:r>
        <w:r>
          <w:rPr>
            <w:noProof/>
            <w:webHidden/>
          </w:rPr>
          <w:instrText xml:space="preserve"> PAGEREF _Toc244090129 \h </w:instrText>
        </w:r>
        <w:r>
          <w:rPr>
            <w:noProof/>
            <w:webHidden/>
          </w:rPr>
        </w:r>
        <w:r>
          <w:rPr>
            <w:noProof/>
            <w:webHidden/>
          </w:rPr>
          <w:fldChar w:fldCharType="separate"/>
        </w:r>
        <w:r w:rsidR="00EF197F">
          <w:rPr>
            <w:noProof/>
            <w:webHidden/>
          </w:rPr>
          <w:t>34</w:t>
        </w:r>
        <w:r>
          <w:rPr>
            <w:noProof/>
            <w:webHidden/>
          </w:rPr>
          <w:fldChar w:fldCharType="end"/>
        </w:r>
      </w:hyperlink>
    </w:p>
    <w:p w14:paraId="189AD592" w14:textId="2FFD2792" w:rsidR="000770B1" w:rsidRDefault="000770B1">
      <w:pPr>
        <w:pStyle w:val="TOC2"/>
        <w:tabs>
          <w:tab w:val="right" w:leader="dot" w:pos="9062"/>
        </w:tabs>
        <w:spacing w:line="276" w:lineRule="auto" w:before="30" w:after="30"/>
        <w:rPr>
          <w:noProof/>
        </w:rPr>
        <w:tabs>
          <w:tab w:val="right" w:leader="dot" w:pos="9360"/>
        </w:tabs>
      </w:pPr>
      <w:hyperlink w:anchor="_Toc244090130" w:history="1">
        <w:r w:rsidRPr="00DB23DA">
          <w:rPr>
            <w:rStyle w:val="Hyperlink"/>
            <w:rFonts w:ascii="Times New Roman" w:hAnsi="Times New Roman"/>
            <w:noProof/>
          </w:rPr>
          <w:t>7.3. Đối với Ngân hàng TMCP Quân đội (MB)</w:t>
        </w:r>
        <w:r>
          <w:rPr>
            <w:noProof/>
            <w:webHidden/>
          </w:rPr>
          <w:tab/>
        </w:r>
        <w:r>
          <w:rPr>
            <w:noProof/>
            <w:webHidden/>
          </w:rPr>
          <w:fldChar w:fldCharType="begin"/>
        </w:r>
        <w:r>
          <w:rPr>
            <w:noProof/>
            <w:webHidden/>
          </w:rPr>
          <w:instrText xml:space="preserve"> PAGEREF _Toc244090130 \h </w:instrText>
        </w:r>
        <w:r>
          <w:rPr>
            <w:noProof/>
            <w:webHidden/>
          </w:rPr>
        </w:r>
        <w:r>
          <w:rPr>
            <w:noProof/>
            <w:webHidden/>
          </w:rPr>
          <w:fldChar w:fldCharType="separate"/>
        </w:r>
        <w:r w:rsidR="00EF197F">
          <w:rPr>
            <w:noProof/>
            <w:webHidden/>
          </w:rPr>
          <w:t>34</w:t>
        </w:r>
        <w:r>
          <w:rPr>
            <w:noProof/>
            <w:webHidden/>
          </w:rPr>
          <w:fldChar w:fldCharType="end"/>
        </w:r>
      </w:hyperlink>
    </w:p>
    <w:p w14:paraId="06FFF8D1" w14:textId="4C3EAE57" w:rsidR="000770B1" w:rsidRDefault="000770B1">
      <w:pPr>
        <w:pStyle w:val="TOC1"/>
        <w:tabs>
          <w:tab w:val="right" w:leader="dot" w:pos="9062"/>
        </w:tabs>
        <w:spacing w:line="276" w:lineRule="auto" w:before="30" w:after="30"/>
        <w:rPr>
          <w:noProof/>
        </w:rPr>
        <w:tabs>
          <w:tab w:val="right" w:leader="dot" w:pos="9360"/>
        </w:tabs>
      </w:pPr>
      <w:hyperlink w:anchor="_Toc244090131" w:history="1">
        <w:r w:rsidRPr="00DB23DA">
          <w:rPr>
            <w:rStyle w:val="Hyperlink"/>
            <w:rFonts w:ascii="Times New Roman" w:hAnsi="Times New Roman"/>
            <w:noProof/>
          </w:rPr>
          <w:t>KẾT LUẬN</w:t>
        </w:r>
        <w:r>
          <w:rPr>
            <w:noProof/>
            <w:webHidden/>
          </w:rPr>
          <w:tab/>
        </w:r>
        <w:r>
          <w:rPr>
            <w:noProof/>
            <w:webHidden/>
          </w:rPr>
          <w:fldChar w:fldCharType="begin"/>
        </w:r>
        <w:r>
          <w:rPr>
            <w:noProof/>
            <w:webHidden/>
          </w:rPr>
          <w:instrText xml:space="preserve"> PAGEREF _Toc244090131 \h </w:instrText>
        </w:r>
        <w:r>
          <w:rPr>
            <w:noProof/>
            <w:webHidden/>
          </w:rPr>
        </w:r>
        <w:r>
          <w:rPr>
            <w:noProof/>
            <w:webHidden/>
          </w:rPr>
          <w:fldChar w:fldCharType="separate"/>
        </w:r>
        <w:r w:rsidR="00EF197F">
          <w:rPr>
            <w:noProof/>
            <w:webHidden/>
          </w:rPr>
          <w:t>34</w:t>
        </w:r>
        <w:r>
          <w:rPr>
            <w:noProof/>
            <w:webHidden/>
          </w:rPr>
          <w:fldChar w:fldCharType="end"/>
        </w:r>
      </w:hyperlink>
    </w:p>
    <w:p w14:paraId="24F914F0" w14:textId="217052F1" w:rsidR="000770B1" w:rsidRDefault="000770B1">
      <w:pPr>
        <w:pStyle w:val="TOC1"/>
        <w:tabs>
          <w:tab w:val="right" w:leader="dot" w:pos="9062"/>
        </w:tabs>
        <w:spacing w:line="276" w:lineRule="auto" w:before="30" w:after="30"/>
        <w:rPr>
          <w:noProof/>
        </w:rPr>
        <w:tabs>
          <w:tab w:val="right" w:leader="dot" w:pos="9360"/>
        </w:tabs>
      </w:pPr>
      <w:hyperlink w:anchor="_Toc244090132" w:history="1">
        <w:r w:rsidRPr="00DB23DA">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_Toc244090132 \h </w:instrText>
        </w:r>
        <w:r>
          <w:rPr>
            <w:noProof/>
            <w:webHidden/>
          </w:rPr>
        </w:r>
        <w:r>
          <w:rPr>
            <w:noProof/>
            <w:webHidden/>
          </w:rPr>
          <w:fldChar w:fldCharType="separate"/>
        </w:r>
        <w:r w:rsidR="00EF197F">
          <w:rPr>
            <w:noProof/>
            <w:webHidden/>
          </w:rPr>
          <w:t>35</w:t>
        </w:r>
        <w:r>
          <w:rPr>
            <w:noProof/>
            <w:webHidden/>
          </w:rPr>
          <w:fldChar w:fldCharType="end"/>
        </w:r>
      </w:hyperlink>
    </w:p>
    <w:p w14:paraId="02A4F8B5" w14:textId="77777777" w:rsidR="00F67131" w:rsidRDefault="00000000">
      <w:pPr>
        <w:tabs>
          <w:tab w:val="right" w:leader="dot" w:pos="9072"/>
        </w:tabs>
        <w:spacing w:before="20" w:after="20" w:line="264" w:lineRule="auto"/>
        <w:jc w:val="both"/>
      </w:pPr>
      <w:r>
        <w:fldChar w:fldCharType="end"/>
      </w:r>
    </w:p>
    <w:p w14:paraId="0DE5F01A" w14:textId="77777777" w:rsidR="00F67131" w:rsidRDefault="00000000">
      <w:r>
        <w:br w:type="page"/>
      </w:r>
    </w:p>
    <w:p w14:paraId="4938DFB4" w14:textId="77777777" w:rsidR="00010F8E" w:rsidRDefault="00000000">
      <w:pPr>
        <w:keepNext/>
        <w:pageBreakBefore/>
        <w:spacing w:before="280" w:after="160"/>
      </w:pPr>
      <w:r>
        <w:rPr>
          <w:rFonts w:ascii="Times New Roman" w:hAnsi="Times New Roman"/>
          <w:b/>
          <w:i w:val="0"/>
          <w:color w:val="002060"/>
          <w:sz w:val="27"/>
        </w:rPr>
        <w:lastRenderedPageBreak/>
        <w:t>DANH MỤC BẢNG BIỂU ĐỊNH LƯỢNG</w:t>
      </w:r>
    </w:p>
    <w:p w14:paraId="25EAC719" w14:textId="77777777" w:rsidR="00010F8E" w:rsidRDefault="00000000">
      <w:pPr>
        <w:spacing w:before="30" w:line="276" w:lineRule="auto" w:after="30"/>
        <w:tabs>
          <w:tab w:val="right" w:leader="dot" w:pos="9360"/>
        </w:tabs>
      </w:pPr>
      <w:r>
        <w:rPr>
          <w:rFonts w:ascii="Times New Roman" w:hAnsi="Times New Roman"/>
          <w:b w:val="0"/>
          <w:i w:val="0"/>
          <w:color w:val="000000"/>
          <w:sz w:val="20"/>
        </w:rPr>
        <w:t xml:space="preserve">  • Bảng 1. Hệ thống văn bản quy phạm pháp luật điều chỉnh rủi ro tín dụng giai đoạn 2020–2025</w:t>
      </w:r>
      <w:r>
        <w:rPr>
          <w:rFonts w:ascii="Times New Roman" w:hAnsi="Times New Roman"/>
          <w:b w:val="0"/>
          <w:i w:val="0"/>
          <w:color w:val="000000"/>
          <w:sz w:val="20"/>
        </w:rPr>
        <w:br/>
      </w:r>
      <w:r>
        <w:rPr>
          <w:rFonts w:ascii="Times New Roman" w:hAnsi="Times New Roman"/>
          <w:b w:val="0"/>
          <w:i w:val="0"/>
          <w:color w:val="000000"/>
          <w:sz w:val="20"/>
        </w:rPr>
        <w:t xml:space="preserve">  • Bảng 2. Diễn biến nợ xấu và nợ tiềm ẩn toàn hệ thống ngân hàng (2020–2025)</w:t>
      </w:r>
      <w:r>
        <w:rPr>
          <w:rFonts w:ascii="Times New Roman" w:hAnsi="Times New Roman"/>
          <w:b w:val="0"/>
          <w:i w:val="0"/>
          <w:color w:val="000000"/>
          <w:sz w:val="20"/>
        </w:rPr>
        <w:br/>
      </w:r>
      <w:r>
        <w:rPr>
          <w:rFonts w:ascii="Times New Roman" w:hAnsi="Times New Roman"/>
          <w:b w:val="0"/>
          <w:i w:val="0"/>
          <w:color w:val="000000"/>
          <w:sz w:val="20"/>
        </w:rPr>
        <w:t xml:space="preserve">  • Bảng 3. Ma trận đối chiếu cấu trúc thể chế và mô hình 3 tuyến phòng vệ giữa Agribank và MB</w:t>
      </w:r>
      <w:r>
        <w:rPr>
          <w:rFonts w:ascii="Times New Roman" w:hAnsi="Times New Roman"/>
          <w:b w:val="0"/>
          <w:i w:val="0"/>
          <w:color w:val="000000"/>
          <w:sz w:val="20"/>
        </w:rPr>
        <w:br/>
      </w:r>
      <w:r>
        <w:rPr>
          <w:rFonts w:ascii="Times New Roman" w:hAnsi="Times New Roman"/>
          <w:b w:val="0"/>
          <w:i w:val="0"/>
          <w:color w:val="000000"/>
          <w:sz w:val="20"/>
        </w:rPr>
        <w:t xml:space="preserve">  • Bảng 4. Hệ thống tiêu chí định lượng đánh giá rủi ro tín dụng ngân hàng thương mại</w:t>
      </w:r>
      <w:r>
        <w:rPr>
          <w:rFonts w:ascii="Times New Roman" w:hAnsi="Times New Roman"/>
          <w:b w:val="0"/>
          <w:i w:val="0"/>
          <w:color w:val="000000"/>
          <w:sz w:val="20"/>
        </w:rPr>
        <w:br/>
      </w:r>
      <w:r>
        <w:rPr>
          <w:rFonts w:ascii="Times New Roman" w:hAnsi="Times New Roman"/>
          <w:b w:val="0"/>
          <w:i w:val="0"/>
          <w:color w:val="000000"/>
          <w:sz w:val="20"/>
        </w:rPr>
        <w:t xml:space="preserve">  • Bảng 5. Quy mô dư nợ, nợ xấu và tỷ lệ NPL của Agribank và MB (2020–2025)</w:t>
      </w:r>
      <w:r>
        <w:rPr>
          <w:rFonts w:ascii="Times New Roman" w:hAnsi="Times New Roman"/>
          <w:b w:val="0"/>
          <w:i w:val="0"/>
          <w:color w:val="000000"/>
          <w:sz w:val="20"/>
        </w:rPr>
        <w:br/>
      </w:r>
      <w:r>
        <w:rPr>
          <w:rFonts w:ascii="Times New Roman" w:hAnsi="Times New Roman"/>
          <w:b w:val="0"/>
          <w:i w:val="0"/>
          <w:color w:val="000000"/>
          <w:sz w:val="20"/>
        </w:rPr>
        <w:t xml:space="preserve">  • Bảng 6. Bộ đệm dự phòng (LLCR), chi phí dự phòng và bóc tách Credit Cost (2020–2025)</w:t>
      </w:r>
      <w:r>
        <w:rPr>
          <w:rFonts w:ascii="Times New Roman" w:hAnsi="Times New Roman"/>
          <w:b w:val="0"/>
          <w:i w:val="0"/>
          <w:color w:val="000000"/>
          <w:sz w:val="20"/>
        </w:rPr>
        <w:br/>
      </w:r>
      <w:r>
        <w:rPr>
          <w:rFonts w:ascii="Times New Roman" w:hAnsi="Times New Roman"/>
          <w:b w:val="0"/>
          <w:i w:val="0"/>
          <w:color w:val="000000"/>
          <w:sz w:val="20"/>
        </w:rPr>
        <w:t xml:space="preserve">  • Bảng 7. Nợ nhóm 2, nợ cơ cấu theo thông tư và NPL điều chỉnh toàn diện (2020–2025)</w:t>
      </w:r>
      <w:r>
        <w:rPr>
          <w:rFonts w:ascii="Times New Roman" w:hAnsi="Times New Roman"/>
          <w:b w:val="0"/>
          <w:i w:val="0"/>
          <w:color w:val="000000"/>
          <w:sz w:val="20"/>
        </w:rPr>
        <w:br/>
      </w:r>
      <w:r>
        <w:rPr>
          <w:rFonts w:ascii="Times New Roman" w:hAnsi="Times New Roman"/>
          <w:b w:val="0"/>
          <w:i w:val="0"/>
          <w:color w:val="000000"/>
          <w:sz w:val="20"/>
        </w:rPr>
        <w:t xml:space="preserve">  • Bảng 8. Tỷ suất lợi nhuận trên vốn rủi ro ước tính (RORAC proxy) giai đoạn 2020–2025</w:t>
      </w:r>
      <w:r>
        <w:rPr>
          <w:rFonts w:ascii="Times New Roman" w:hAnsi="Times New Roman"/>
          <w:b w:val="0"/>
          <w:i w:val="0"/>
          <w:color w:val="000000"/>
          <w:sz w:val="20"/>
        </w:rPr>
        <w:br/>
      </w:r>
      <w:r>
        <w:rPr>
          <w:rFonts w:ascii="Times New Roman" w:hAnsi="Times New Roman"/>
          <w:b w:val="0"/>
          <w:i w:val="0"/>
          <w:color w:val="000000"/>
          <w:sz w:val="20"/>
        </w:rPr>
        <w:t xml:space="preserve">  • Bảng 9. Cơ cấu danh mục rủi ro tập trung và Hệ số an toàn vốn (CAR) giai đoạn 2020–2025</w:t>
      </w:r>
      <w:r>
        <w:rPr>
          <w:rFonts w:ascii="Times New Roman" w:hAnsi="Times New Roman"/>
          <w:b w:val="0"/>
          <w:i w:val="0"/>
          <w:color w:val="000000"/>
          <w:sz w:val="20"/>
        </w:rPr>
        <w:br/>
      </w:r>
      <w:r>
        <w:rPr>
          <w:rFonts w:ascii="Times New Roman" w:hAnsi="Times New Roman"/>
          <w:b w:val="0"/>
          <w:i w:val="0"/>
          <w:color w:val="000000"/>
          <w:sz w:val="20"/>
        </w:rPr>
        <w:t xml:space="preserve">  • Bảng 10. Kết quả Kiểm tra sức chịu đựng vĩ mô năm 2026 đối với Agribank và MB</w:t>
      </w:r>
      <w:r>
        <w:rPr>
          <w:rFonts w:ascii="Times New Roman" w:hAnsi="Times New Roman"/>
          <w:b w:val="0"/>
          <w:i w:val="0"/>
          <w:color w:val="000000"/>
          <w:sz w:val="20"/>
        </w:rPr>
        <w:br/>
      </w:r>
      <w:r>
        <w:rPr>
          <w:rFonts w:ascii="Times New Roman" w:hAnsi="Times New Roman"/>
          <w:b w:val="0"/>
          <w:i w:val="0"/>
          <w:color w:val="000000"/>
          <w:sz w:val="20"/>
        </w:rPr>
        <w:t xml:space="preserve">  • Bảng 11. Kết quả mô phỏng tác động chuyển đổi sang Chuẩn mực Quốc tế IFRS 9 năm 2025</w:t>
      </w:r>
      <w:r>
        <w:rPr>
          <w:rFonts w:ascii="Times New Roman" w:hAnsi="Times New Roman"/>
          <w:b w:val="0"/>
          <w:i w:val="0"/>
          <w:color w:val="000000"/>
          <w:sz w:val="20"/>
        </w:rPr>
        <w:br/>
      </w:r>
      <w:r>
        <w:rPr>
          <w:rFonts w:ascii="Times New Roman" w:hAnsi="Times New Roman"/>
          <w:b w:val="0"/>
          <w:i w:val="0"/>
          <w:color w:val="000000"/>
          <w:sz w:val="20"/>
        </w:rPr>
        <w:t xml:space="preserve">  • Bảng 12. Kết quả kiểm định độ nhạy mô phỏng IFRS 9 ECL của Agribank và MB theo 6 kịch bản tham số</w:t>
      </w:r>
      <w:r>
        <w:rPr>
          <w:rFonts w:ascii="Times New Roman" w:hAnsi="Times New Roman"/>
          <w:b w:val="0"/>
          <w:i w:val="0"/>
          <w:color w:val="000000"/>
          <w:sz w:val="20"/>
        </w:rPr>
        <w:br/>
      </w:r>
      <w:r>
        <w:rPr>
          <w:rFonts w:ascii="Times New Roman" w:hAnsi="Times New Roman"/>
          <w:b w:val="0"/>
          <w:i w:val="0"/>
          <w:color w:val="000000"/>
          <w:sz w:val="20"/>
        </w:rPr>
        <w:t xml:space="preserve">  • Bảng 13. Ma trận đánh giá lỗ hổng Kiểm soát Nội bộ COSO 2013 qua các tình huống thực tiễn</w:t>
      </w:r>
      <w:r>
        <w:rPr>
          <w:rFonts w:ascii="Times New Roman" w:hAnsi="Times New Roman"/>
          <w:b w:val="0"/>
          <w:i w:val="0"/>
          <w:color w:val="000000"/>
          <w:sz w:val="20"/>
        </w:rPr>
        <w:br/>
      </w:r>
      <w:r>
        <w:rPr>
          <w:rFonts w:ascii="Times New Roman" w:hAnsi="Times New Roman"/>
          <w:b w:val="0"/>
          <w:i w:val="0"/>
          <w:color w:val="000000"/>
          <w:sz w:val="20"/>
        </w:rPr>
        <w:t xml:space="preserve">  • Bảng 14. So sánh đối chiếu toàn diện hai triết lý quản trị rủi ro tín dụng (Agribank vs MB)</w:t>
      </w:r>
    </w:p>
    <w:p w14:paraId="3AE4C13B" w14:textId="77777777" w:rsidR="00010F8E" w:rsidRDefault="00000000">
      <w:pPr>
        <w:keepNext/>
        <w:spacing w:before="280" w:after="160"/>
      </w:pPr>
      <w:r>
        <w:rPr>
          <w:rFonts w:ascii="Times New Roman" w:hAnsi="Times New Roman"/>
          <w:b/>
          <w:i w:val="0"/>
          <w:color w:val="002060"/>
          <w:sz w:val="27"/>
        </w:rPr>
        <w:t>DANH MỤC HÌNH VẼ VÀ ĐỒ THỊ MINH HỌA</w:t>
      </w:r>
    </w:p>
    <w:p w14:paraId="74D5C248" w14:textId="77777777" w:rsidR="00010F8E" w:rsidRDefault="00000000">
      <w:pPr>
        <w:spacing w:before="30" w:after="30" w:line="276" w:lineRule="auto"/>
        <w:tabs>
          <w:tab w:val="right" w:leader="dot" w:pos="9360"/>
        </w:tabs>
      </w:pPr>
      <w:r>
        <w:rPr>
          <w:rFonts w:ascii="Times New Roman" w:hAnsi="Times New Roman"/>
          <w:b w:val="0"/>
          <w:i w:val="0"/>
          <w:color w:val="000000"/>
          <w:sz w:val="20"/>
        </w:rPr>
        <w:t xml:space="preserve">  • Hình 1. Diễn biến tỷ lệ NPL và tỷ lệ nợ nhóm 2 của Agribank và MB (2020–2025)</w:t>
      </w:r>
      <w:r>
        <w:rPr>
          <w:rFonts w:ascii="Times New Roman" w:hAnsi="Times New Roman"/>
          <w:b w:val="0"/>
          <w:i w:val="0"/>
          <w:color w:val="000000"/>
          <w:sz w:val="20"/>
        </w:rPr>
        <w:br/>
      </w:r>
      <w:r>
        <w:rPr>
          <w:rFonts w:ascii="Times New Roman" w:hAnsi="Times New Roman"/>
          <w:b w:val="0"/>
          <w:i w:val="0"/>
          <w:color w:val="000000"/>
          <w:sz w:val="20"/>
        </w:rPr>
        <w:t xml:space="preserve">  • Hình 2. Tốc độ tăng trưởng quy mô dư nợ và nợ xấu tại Agribank và MB (2020–2025)</w:t>
      </w:r>
      <w:r>
        <w:rPr>
          <w:rFonts w:ascii="Times New Roman" w:hAnsi="Times New Roman"/>
          <w:b w:val="0"/>
          <w:i w:val="0"/>
          <w:color w:val="000000"/>
          <w:sz w:val="20"/>
        </w:rPr>
        <w:br/>
      </w:r>
      <w:r>
        <w:rPr>
          <w:rFonts w:ascii="Times New Roman" w:hAnsi="Times New Roman"/>
          <w:b w:val="0"/>
          <w:i w:val="0"/>
          <w:color w:val="000000"/>
          <w:sz w:val="20"/>
        </w:rPr>
        <w:t xml:space="preserve">  • Hình 3. Tỷ lệ bao phủ nợ xấu (LLCR) và Chi phí tín dụng (Credit Cost) giai đoạn 2020–2025</w:t>
      </w:r>
      <w:r>
        <w:rPr>
          <w:rFonts w:ascii="Times New Roman" w:hAnsi="Times New Roman"/>
          <w:b w:val="0"/>
          <w:i w:val="0"/>
          <w:color w:val="000000"/>
          <w:sz w:val="20"/>
        </w:rPr>
        <w:br/>
      </w:r>
      <w:r>
        <w:rPr>
          <w:rFonts w:ascii="Times New Roman" w:hAnsi="Times New Roman"/>
          <w:b w:val="0"/>
          <w:i w:val="0"/>
          <w:color w:val="000000"/>
          <w:sz w:val="20"/>
        </w:rPr>
        <w:t xml:space="preserve">  • Hình 4. Mức độ tập trung tín dụng BĐS &amp; Xây dựng và Hệ số an toàn vốn (CAR) giai đoạn 2020–2025</w:t>
      </w:r>
      <w:r>
        <w:rPr>
          <w:rFonts w:ascii="Times New Roman" w:hAnsi="Times New Roman"/>
          <w:b w:val="0"/>
          <w:i w:val="0"/>
          <w:color w:val="000000"/>
          <w:sz w:val="20"/>
        </w:rPr>
        <w:br/>
      </w:r>
      <w:r>
        <w:rPr>
          <w:rFonts w:ascii="Times New Roman" w:hAnsi="Times New Roman"/>
          <w:b w:val="0"/>
          <w:i w:val="0"/>
          <w:color w:val="000000"/>
          <w:sz w:val="20"/>
        </w:rPr>
        <w:t xml:space="preserve">  • Hình 5. Kết quả Kiểm tra sức chịu đựng vĩ mô năm 2026 (Macro Stress Testing) đối với Agribank và MB</w:t>
      </w:r>
      <w:r>
        <w:rPr>
          <w:rFonts w:ascii="Times New Roman" w:hAnsi="Times New Roman"/>
          <w:b w:val="0"/>
          <w:i w:val="0"/>
          <w:color w:val="000000"/>
          <w:sz w:val="20"/>
        </w:rPr>
        <w:br/>
      </w:r>
      <w:r>
        <w:rPr>
          <w:rFonts w:ascii="Times New Roman" w:hAnsi="Times New Roman"/>
          <w:b w:val="0"/>
          <w:i w:val="0"/>
          <w:color w:val="000000"/>
          <w:sz w:val="20"/>
        </w:rPr>
        <w:t xml:space="preserve">  • Hình 6. Mô phỏng tác động chuyển đổi Chuẩn mực IFRS 9 năm 2025: Khoảng cách dự phòng và phân bổ theo 3 Stage</w:t>
      </w:r>
    </w:p>
    <w:p w14:paraId="478B39CB" w14:textId="77777777" w:rsidR="00F67131" w:rsidRDefault="00000000">
      <w:pPr>
        <w:pStyle w:val="Heading1"/>
        <w:keepNext/>
        <w:pageBreakBefore/>
        <w:spacing w:before="280" w:after="120" w:line="300" w:lineRule="auto"/>
      </w:pPr>
      <w:bookmarkStart w:id="0" w:name="_Toc244090100"/>
      <w:r>
        <w:rPr>
          <w:rFonts w:ascii="Times New Roman" w:hAnsi="Times New Roman"/>
          <w:b/>
          <w:i w:val="0"/>
          <w:color w:val="002060"/>
          <w:sz w:val="27"/>
        </w:rPr>
        <w:t>LỜI MỞ ĐẦU</w:t>
      </w:r>
      <w:bookmarkEnd w:id="0"/>
    </w:p>
    <w:p w14:paraId="4335017B" w14:textId="77777777" w:rsidR="00F67131" w:rsidRDefault="00000000">
      <w:pPr>
        <w:spacing w:after="80" w:line="300" w:lineRule="auto"/>
        <w:jc w:val="both"/>
      </w:pPr>
      <w:r>
        <w:rPr>
          <w:rFonts w:ascii="Times New Roman" w:hAnsi="Times New Roman"/>
          <w:b/>
        </w:rPr>
        <w:t xml:space="preserve">1. Tính cấp thiết của đề tài: </w:t>
      </w:r>
      <w:r>
        <w:rPr>
          <w:rFonts w:ascii="Times New Roman" w:hAnsi="Times New Roman"/>
        </w:rPr>
        <w:t>Rủi ro tín dụng (RRTD) là rủi ro trọng yếu nhất đe dọa trực tiếp đến sự an toàn, tính thanh khoản và khả năng duy trì hoạt động liên tục của hệ thống ngân hàng thương mại. Giai đoạn 2020–2025 chứng kiến những biến động kinh tế vĩ mô chưa từng có tiền lệ tại Việt Nam: đại dịch Covid-19 làm đứt gãy chuỗi cung ứng; thị trường bất động sản và trái phiếu doanh nghiệp (TPDN) rơi vào khủng hoảng thanh khoản năm 2022–2023; và hàng loạt cơ chế khoan dung pháp lý (regulatory forbearance) thông qua các Thông tư 01/2020/TT-NHNN, Thông tư 02/2023/TT-NHNN và Thông tư 53/2024/TT-NHNN. Trong bối cảnh đó, việc so sánh mô hình quản trị rủi ro giữa Agribank (NHTM 100% vốn Nhà nước) và MB (NHTMCP đa năng hàng đầu) không chỉ mang ý nghĩa thực tiễn đối với công tác điều hành ngân hàng mà còn cung cấp một tình huống nghiên cứu có giá trị về sự tương tác giữa thể chế sở hữu, hàm mục tiêu tối ưu hóa và hành vi quản trị rủi ro tín dụng.</w:t>
      </w:r>
    </w:p>
    <w:p w14:paraId="63869244" w14:textId="77777777" w:rsidR="00F67131" w:rsidRDefault="00000000">
      <w:pPr>
        <w:spacing w:after="80" w:line="300" w:lineRule="auto"/>
        <w:jc w:val="both"/>
      </w:pPr>
      <w:r>
        <w:rPr>
          <w:rFonts w:ascii="Times New Roman" w:hAnsi="Times New Roman"/>
          <w:b/>
        </w:rPr>
        <w:t xml:space="preserve">2. Mục tiêu nghiên cứu và Câu hỏi nghiên cứu: </w:t>
      </w:r>
      <w:r>
        <w:rPr>
          <w:rFonts w:ascii="Times New Roman" w:hAnsi="Times New Roman"/>
        </w:rPr>
        <w:t>Mục tiêu tổng quát của đề tài là bóc tách bản chất, cơ chế vận hành và hiệu quả thực chất của mô hình quản trị RRTD tại Agribank và MB giai đoạn 2020–2025, từ đó đề xuất hệ thống giải pháp nâng cao năng lực an toàn vốn và phòng ngừa rủi ro theo chuẩn mực quốc tế. Đề tài tập trung giải quyết 3 câu hỏi nghiên cứu (Research Questions):</w:t>
      </w:r>
    </w:p>
    <w:p w14:paraId="3CA61897" w14:textId="77777777" w:rsidR="00F67131" w:rsidRDefault="00000000">
      <w:pPr>
        <w:spacing w:after="80" w:line="300" w:lineRule="auto"/>
        <w:jc w:val="both"/>
      </w:pPr>
      <w:r>
        <w:rPr>
          <w:rFonts w:ascii="Times New Roman" w:hAnsi="Times New Roman"/>
          <w:color w:val="262626"/>
        </w:rPr>
        <w:t xml:space="preserve">  • RQ1: Cơ cấu sở hữu và định vị chiến lược (NHTM Nhà nước tập trung tam nông vs NHTMCP đa năng theo đuổi ROE) tạo ra sự khác biệt như thế nào về khẩu vị rủi ro tín dụng và cấu trúc danh mục </w:t>
      </w:r>
      <w:r>
        <w:rPr>
          <w:rFonts w:ascii="Times New Roman" w:hAnsi="Times New Roman"/>
          <w:color w:val="262626"/>
        </w:rPr>
        <w:lastRenderedPageBreak/>
        <w:t>tài sản?</w:t>
      </w:r>
      <w:r w:rsidR="004B291A">
        <w:rPr>
          <w:rFonts w:ascii="Times New Roman" w:hAnsi="Times New Roman"/>
          <w:color w:val="262626"/>
        </w:rPr>
        <w:tab/>
      </w:r>
      <w:r>
        <w:rPr>
          <w:rFonts w:ascii="Times New Roman" w:hAnsi="Times New Roman"/>
          <w:color w:val="262626"/>
        </w:rPr>
        <w:br/>
        <w:t xml:space="preserve">  • RQ2: Các chính sách khoan dung pháp lý (Thông tư 01, Thông tư 02) và kỹ thuật kế toán (quản trị dự phòng, xử lý nợ bằng dự phòng, phân loại nợ liên đới qua CIC) đã tác động như thế nào đến tính xác thực của các chỉ số </w:t>
      </w:r>
      <w:proofErr w:type="spellStart"/>
      <w:r>
        <w:rPr>
          <w:rFonts w:ascii="Times New Roman" w:hAnsi="Times New Roman"/>
          <w:color w:val="262626"/>
        </w:rPr>
        <w:t>nợ</w:t>
      </w:r>
      <w:proofErr w:type="spellEnd"/>
      <w:r>
        <w:rPr>
          <w:rFonts w:ascii="Times New Roman" w:hAnsi="Times New Roman"/>
          <w:color w:val="262626"/>
        </w:rPr>
        <w:t xml:space="preserve"> </w:t>
      </w:r>
      <w:proofErr w:type="spellStart"/>
      <w:r>
        <w:rPr>
          <w:rFonts w:ascii="Times New Roman" w:hAnsi="Times New Roman"/>
          <w:color w:val="262626"/>
        </w:rPr>
        <w:t>xấu</w:t>
      </w:r>
      <w:proofErr w:type="spellEnd"/>
      <w:r>
        <w:rPr>
          <w:rFonts w:ascii="Times New Roman" w:hAnsi="Times New Roman"/>
          <w:color w:val="262626"/>
        </w:rPr>
        <w:t xml:space="preserve"> </w:t>
      </w:r>
      <w:proofErr w:type="spellStart"/>
      <w:r>
        <w:rPr>
          <w:rFonts w:ascii="Times New Roman" w:hAnsi="Times New Roman"/>
          <w:color w:val="262626"/>
        </w:rPr>
        <w:t>bề</w:t>
      </w:r>
      <w:proofErr w:type="spellEnd"/>
      <w:r>
        <w:rPr>
          <w:rFonts w:ascii="Times New Roman" w:hAnsi="Times New Roman"/>
          <w:color w:val="262626"/>
        </w:rPr>
        <w:t xml:space="preserve"> </w:t>
      </w:r>
      <w:proofErr w:type="spellStart"/>
      <w:r>
        <w:rPr>
          <w:rFonts w:ascii="Times New Roman" w:hAnsi="Times New Roman"/>
          <w:color w:val="262626"/>
        </w:rPr>
        <w:t>mặt</w:t>
      </w:r>
      <w:proofErr w:type="spellEnd"/>
      <w:r>
        <w:rPr>
          <w:rFonts w:ascii="Times New Roman" w:hAnsi="Times New Roman"/>
          <w:color w:val="262626"/>
        </w:rPr>
        <w:t xml:space="preserve"> </w:t>
      </w:r>
      <w:proofErr w:type="spellStart"/>
      <w:r>
        <w:rPr>
          <w:rFonts w:ascii="Times New Roman" w:hAnsi="Times New Roman"/>
          <w:color w:val="262626"/>
        </w:rPr>
        <w:t>giai</w:t>
      </w:r>
      <w:proofErr w:type="spellEnd"/>
      <w:r>
        <w:rPr>
          <w:rFonts w:ascii="Times New Roman" w:hAnsi="Times New Roman"/>
          <w:color w:val="262626"/>
        </w:rPr>
        <w:t xml:space="preserve"> đoạn 2020–2025?</w:t>
      </w:r>
      <w:r w:rsidR="004B291A">
        <w:rPr>
          <w:rFonts w:ascii="Times New Roman" w:hAnsi="Times New Roman"/>
          <w:color w:val="262626"/>
        </w:rPr>
        <w:tab/>
      </w:r>
      <w:r>
        <w:rPr>
          <w:rFonts w:ascii="Times New Roman" w:hAnsi="Times New Roman"/>
          <w:color w:val="262626"/>
        </w:rPr>
        <w:br/>
        <w:t xml:space="preserve">  • RQ3: Dưới các cú sốc vĩ mô giả định (Stress Testing 2026) và khi chuyển đổi bắt buộc sang Chuẩn mực Kế toán Quốc tế IFRS 9 (ECL), mô hình quản trị rủi ro nào bộc lộ tính dễ bị tổn thương cao hơn về an toàn vốn và chi phí dự phòng?</w:t>
      </w:r>
    </w:p>
    <w:p w14:paraId="4B0A232F" w14:textId="77777777" w:rsidR="00F67131" w:rsidRDefault="00000000">
      <w:pPr>
        <w:spacing w:after="80" w:line="300" w:lineRule="auto"/>
        <w:jc w:val="both"/>
      </w:pPr>
      <w:r>
        <w:rPr>
          <w:rFonts w:ascii="Times New Roman" w:hAnsi="Times New Roman"/>
          <w:b/>
        </w:rPr>
        <w:t xml:space="preserve">3. Phương pháp nghiên cứu và Đóng góp mới: </w:t>
      </w:r>
      <w:r>
        <w:rPr>
          <w:rFonts w:ascii="Times New Roman" w:hAnsi="Times New Roman"/>
        </w:rPr>
        <w:t>Đề tài áp dụng phương pháp nghiên cứu định tính kết hợp phân tích định lượng chuyên sâu: (i) Phương pháp phân tích báo cáo tài chính chuyên sâu để bóc tách biến động dự phòng, nợ xóa nội bảng, nợ cơ cấu và chênh lệch giữa báo cáo hợp nhất với báo cáo riêng lẻ; (ii) Phương pháp phân rã toán học (Decomposition Analysis) để định lượng hiệu ứng quy mô tín dụng và hiệu ứng chất lượng tài sản đối với biến động NPL; (iii) Phương pháp kiểm tra sức chịu đựng vĩ mô (Macroeconomic Stress Testing) theo khuyến nghị Basel II/III; và (iv) Phương pháp mô phỏng tổn thất tín dụng kỳ vọng (IFRS 9 Simulation) kèm kiểm định độ nhạy tham số. Toàn bộ dữ liệu được trích xuất trực tiếp từ 27 tệp báo cáo tài chính kiểm toán (hợp nhất, riêng lẻ) và báo cáo thường niên giai đoạn 2020–2025 của hai ngân hàng.</w:t>
      </w:r>
    </w:p>
    <w:p w14:paraId="5EF4A31B" w14:textId="77777777" w:rsidR="00F67131" w:rsidRDefault="00000000">
      <w:pPr>
        <w:pStyle w:val="Heading1"/>
        <w:keepNext/>
        <w:pageBreakBefore/>
        <w:spacing w:before="280" w:after="120" w:line="300" w:lineRule="auto"/>
      </w:pPr>
      <w:bookmarkStart w:id="1" w:name="_Toc244090101"/>
      <w:r>
        <w:rPr>
          <w:rFonts w:ascii="Times New Roman" w:hAnsi="Times New Roman"/>
          <w:b/>
          <w:i w:val="0"/>
          <w:color w:val="002060"/>
          <w:sz w:val="27"/>
        </w:rPr>
        <w:t>CHƯƠNG 1. CƠ SỞ LÝ THUYẾT VÀ KHUNG PHÂN TÍCH RỦI RO TÍN DỤNG</w:t>
      </w:r>
      <w:bookmarkEnd w:id="1"/>
    </w:p>
    <w:p w14:paraId="6A222543" w14:textId="77777777" w:rsidR="00F67131" w:rsidRDefault="00000000">
      <w:pPr>
        <w:pStyle w:val="Heading2"/>
        <w:spacing w:after="80" w:line="300" w:lineRule="auto"/>
      </w:pPr>
      <w:bookmarkStart w:id="2" w:name="_Toc244090102"/>
      <w:r>
        <w:rPr>
          <w:rFonts w:ascii="Times New Roman" w:hAnsi="Times New Roman"/>
          <w:color w:val="0F4C81"/>
          <w:sz w:val="24"/>
        </w:rPr>
        <w:t>1.1. Khái niệm, phân loại, nguyên nhân và các lý thuyết kinh tế về rủi ro tín dụng</w:t>
      </w:r>
      <w:bookmarkEnd w:id="2"/>
    </w:p>
    <w:p w14:paraId="3AFC6F1B" w14:textId="77777777" w:rsidR="00F67131" w:rsidRDefault="00000000">
      <w:pPr>
        <w:spacing w:after="80" w:line="300" w:lineRule="auto"/>
        <w:jc w:val="both"/>
      </w:pPr>
      <w:r>
        <w:rPr>
          <w:rFonts w:ascii="Times New Roman" w:hAnsi="Times New Roman"/>
          <w:b/>
        </w:rPr>
        <w:t xml:space="preserve">Khái niệm, phân loại và nguyên nhân gây ra rủi ro tín dụng: </w:t>
      </w:r>
      <w:r>
        <w:rPr>
          <w:rFonts w:ascii="Times New Roman" w:hAnsi="Times New Roman"/>
        </w:rPr>
        <w:t xml:space="preserve">Theo Ủy ban Basel về Giám sát Ngân hàng (BCBS, 2006) và quy định tại Thông tư 11/2021/TT-NHNN (nay là Thông tư 31/2024/TT-NHNN), rủi ro tín dụng trong hoạt động ngân hàng là khả năng xảy ra tổn thất về tài sản của tổ chức tín dụng do khách hàng không thực hiện hoặc không có khả năng thực hiện một phần hoặc toàn bộ nghĩa vụ trả nợ gốc và lãi theo hợp đồng hoặc thỏa thuận cấp tín dụng. Xét theo cấu trúc phát sinh, rủi ro tín dụng được phân loại thành hai cấp độ: (i) Rủi ro giao dịch (Transaction Risk), bao gồm rủi ro lựa chọn (thẩm định sai năng lực khách hàng), rủi ro bảo đảm (tài sản thế chấp mất giá hoặc vướng pháp lý không thể phát mại) và rủi ro nghiệp vụ (lỗ hổng giám sát sau cho vay); và (ii) Rủi ro danh mục (Portfolio Risk), bao gồm rủi ro nội tại của từng lĩnh vực kinh tế và rủi ro tập trung (Concentration Risk) khi ngân hàng dồn vốn quá lớn vào một nhóm khách hàng liên quan, một ngành chu kỳ (như bất động sản, xây dựng) hoặc một công cụ tài chính (như trái phiếu doanh nghiệp). Nguyên nhân gây ra rủi ro tín dụng xuất phát từ ba nhóm nhân tố tương tác lẫn nhau: (1) Nhóm nguyên nhân từ phía khách hàng vay (suy giảm năng lực quản trị, đứt gãy dòng tiền kinh doanh, sử dụng vốn sai mục đích hoặc gian lận cố ý); (2) Nhóm nguyên nhân nội tại từ phía ngân hàng (khẩu vị rủi ro tăng trưởng nóng, áp lực chỉ tiêu KPI làm nới lỏng tiêu chuẩn thẩm định, phụ thuộc quá mức vào tài sản thế chấp thay vì dòng tiền trả nợ, hoặc sự suy yếu của hệ thống kiểm soát nội bộ ba tuyến phòng vệ); và (3) Nhóm nguyên nhân từ môi trường vĩ mô và thể chế pháp lý (cú sốc dịch bệnh Covid-19, thiên tai bão lũ đối với nông nghiệp, biến động lãi suất – tỷ giá, sự đóng băng của thị trường bất động sản – trái phiếu doanh nghiệp và khoảng trống pháp lý trong thu giữ, xử lý tài sản bảo đảm). </w:t>
      </w:r>
      <w:r>
        <w:rPr>
          <w:rFonts w:ascii="Times New Roman" w:hAnsi="Times New Roman"/>
        </w:rPr>
        <w:lastRenderedPageBreak/>
        <w:t>Trên nền tảng đó, nghiên cứu thiết lập cơ sở lý luận chuyên sâu dựa trên bốn trụ cột lý thuyết kinh điển:</w:t>
      </w:r>
    </w:p>
    <w:p w14:paraId="013F2AA4" w14:textId="77777777" w:rsidR="00F67131" w:rsidRDefault="00000000">
      <w:pPr>
        <w:spacing w:after="80" w:line="300" w:lineRule="auto"/>
        <w:jc w:val="both"/>
      </w:pPr>
      <w:r>
        <w:rPr>
          <w:rFonts w:ascii="Times New Roman" w:hAnsi="Times New Roman"/>
          <w:b/>
        </w:rPr>
        <w:t xml:space="preserve">1. Lý thuyết Bất cân xứng thông tin (Information Asymmetry Theory – Stiglitz &amp; Weiss, 1981): </w:t>
      </w:r>
      <w:r>
        <w:rPr>
          <w:rFonts w:ascii="Times New Roman" w:hAnsi="Times New Roman"/>
        </w:rPr>
        <w:t>Stiglitz và Weiss chứng minh rằng trong thị trường tín dụng, lãi suất cho vay không thể đóng vai trò cân bằng thị trường theo cách thông thường do tồn tại hai hiện tượng: Nghịch tuyển (Adverse Selection) và Rủi ro đạo đức (Moral Hazard). Khi ngân hàng nâng lãi suất cho vay để bù đắp rủi ro, những người vay có dự án an toàn sẽ chủ động rút lui, chỉ còn lại những người vay có dự án rủi ro cao sẵn sàng chấp nhận lãi suất lớn (Nghịch tuyển). Đồng thời, lãi suất cao thúc đẩy người vay chuyển dịch vốn sang các dự án có độ mạo hiểm cao hơn để kỳ vọng lợi nhuận bù đắp chi phí lãi (Rủi ro đạo đức). Do đó, ngân hàng tối ưu hóa lợi nhuận bằng cách áp dụng cơ chế Giới hạn hạn mức tín dụng (Credit Rationing) thay vì tăng lãi suất. Lý thuyết này giải thích sâu sắc sự khác biệt giữa Agribank (sử dụng tài sản bảo đảm truyền thống là đất đai để giảm thiểu nghịch tuyển) và MB (áp dụng mô hình chấm điểm tự động và khai thác hệ sinh thái số để thu hẹp bất cân xứng thông tin).</w:t>
      </w:r>
    </w:p>
    <w:p w14:paraId="6F538228" w14:textId="77777777" w:rsidR="00F67131" w:rsidRDefault="00000000">
      <w:pPr>
        <w:spacing w:after="80" w:line="300" w:lineRule="auto"/>
        <w:jc w:val="both"/>
      </w:pPr>
      <w:r>
        <w:rPr>
          <w:rFonts w:ascii="Times New Roman" w:hAnsi="Times New Roman"/>
          <w:b/>
        </w:rPr>
        <w:t xml:space="preserve">2. Lý thuyết Chi phí đại diện và Cấu trúc sở hữu (Agency Theory – Jensen &amp; Meckling, 1976): </w:t>
      </w:r>
      <w:r>
        <w:rPr>
          <w:rFonts w:ascii="Times New Roman" w:hAnsi="Times New Roman"/>
        </w:rPr>
        <w:t>Lý thuyết Người đại diện phân tích sự xung đột lợi ích giữa Người quản lý (Ban điều hành) và Chủ sở hữu (Cổ đông). Trong ngành ngân hàng, cấu trúc sở hữu quyết định trực tiếp đến hàm mục tiêu của nhà quản trị. Tại Ngân hàng 100% vốn Nhà nước như Agribank, Ban điều hành chịu sự ràng buộc bởi các mục tiêu kép: vừa bảo toàn vốn Nhà nước, vừa thực thi chính sách an sinh xã hội và tài trợ phát triển nông nghiệp theo chỉ đạo của Chính phủ. Do nguy cơ chịu trách nhiệm hành chính và hình sự khi để xảy ra thất thoát tài sản công là rất nghiêm trọng, ban điều hành và cán bộ tín dụng Agribank có xu hướng thận trọng cao (Risk-averse), ưu tiên cho vay có tài sản thế chấp là quyền sử dụng đất. Ngược lại, tại NHTMCP có sở hữu cổ phần hỗn hợp như MB, ban điều hành chịu áp lực từ cổ đông và thị trường chứng khoán về tỷ suất sinh lời trên vốn (ROE), tăng trưởng lợi nhuận và định giá cổ phiếu. Áp lực này thúc đẩy MB thiết lập cơ chế đãi ngộ gắn liền với KPI tăng trưởng tín dụng, mở rộng sang các phân khúc biên lợi nhuận cao như cho vay tiêu dùng (MCredit) và trái phiếu doanh nghiệp.</w:t>
      </w:r>
    </w:p>
    <w:p w14:paraId="71B53BA7" w14:textId="77777777" w:rsidR="00F67131" w:rsidRDefault="00000000">
      <w:pPr>
        <w:spacing w:after="80" w:line="300" w:lineRule="auto"/>
        <w:jc w:val="both"/>
      </w:pPr>
      <w:r>
        <w:rPr>
          <w:rFonts w:ascii="Times New Roman" w:hAnsi="Times New Roman"/>
          <w:b/>
        </w:rPr>
        <w:t xml:space="preserve">3. Khung Hiệp ước Vốn Basel (Basel Capital Accord – Basel II &amp; Basel III): </w:t>
      </w:r>
      <w:r>
        <w:rPr>
          <w:rFonts w:ascii="Times New Roman" w:hAnsi="Times New Roman"/>
        </w:rPr>
        <w:t>Khung an toàn vốn Basel thiết lập ba trụ cột tương hỗ: Trụ cột 1 (Minimum Capital Requirements) quy định tỷ lệ an toàn vốn tối thiểu (CAR ≥ 8%) tính trên Tài sản có rủi ro (RWA). Basel II cho phép ngân hàng lựa chọn giữa Phương pháp Tiêu chuẩn (Standardized Approach – SA) với hệ số rủi ro cố định theo quy định của cơ quan quản lý, hoặc Phương pháp Xếp hạng nội bộ (Internal Ratings-Based – IRB: Foundation IRB và Advanced IRB), trong đó ngân hàng tự lượng hóa Xác suất vỡ nợ (Probability of Default – PD), Tỷ lệ tổn thất khi vỡ nợ (Loss Given Default – LGD) và Dư nợ tại thời điểm vỡ nợ (Exposure at Default – EAD). Trụ cột 2 (Supervisory Review Process – ICAAP) yêu cầu ngân hàng tự đánh giá mức đủ vốn nội bộ thông qua việc thực hiện Kiểm tra sức chịu đựng (Stress Testing) định kỳ đối với các cú sốc vĩ mô. Trụ cột 3 (Market Discipline) yêu cầu minh bạch hóa thông tin về chất lượng danh mục và mức độ an toàn vốn nhằm tạo áp lực giám sát từ thị trường.</w:t>
      </w:r>
    </w:p>
    <w:p w14:paraId="50BE7C77" w14:textId="77777777" w:rsidR="00F67131" w:rsidRDefault="00000000">
      <w:pPr>
        <w:spacing w:after="80" w:line="300" w:lineRule="auto"/>
        <w:jc w:val="both"/>
      </w:pPr>
      <w:r>
        <w:rPr>
          <w:rFonts w:ascii="Times New Roman" w:hAnsi="Times New Roman"/>
          <w:b/>
        </w:rPr>
        <w:t xml:space="preserve">4. Chuẩn mực Kế toán Quốc tế IFRS 9 vs Chuẩn mực Việt Nam (VAS / Thông tư 11/2021 &amp; Nghị định 86/2024): </w:t>
      </w:r>
      <w:r>
        <w:rPr>
          <w:rFonts w:ascii="Times New Roman" w:hAnsi="Times New Roman"/>
        </w:rPr>
        <w:t xml:space="preserve">Đây là sự chuyển dịch mô hình mang tính bước ngoặt từ Mô hình tổn thất đã phát sinh (Incurred Loss Model) sang Mô hình tổn thất tín dụng kỳ vọng (Expected Credit Loss – ECL). Theo VAS, Thông tư 11/2021/TT-NHNN và nay là Thông tư 31/2024/TT-NHNN kết hợp Nghị </w:t>
      </w:r>
      <w:r>
        <w:rPr>
          <w:rFonts w:ascii="Times New Roman" w:hAnsi="Times New Roman"/>
        </w:rPr>
        <w:lastRenderedPageBreak/>
        <w:t>định 86/2024/NĐ-CP, dự phòng cụ thể chủ yếu được trích lập khi khoản nợ đã phát sinh dấu hiệu quá hạn hoặc suy giảm khả năng trả nợ (nợ nhóm 2 trích 5%, nhóm 3 trích 20%, nhóm 4 trích 50%, nhóm 5 trích 100% trên phần dư nợ sau khi đã khấu trừ giá trị tài sản bảo đảm theo tỷ lệ quy định; dự phòng chung trích 0,75% tổng dư nợ nhóm 1 đến nhóm 4). Ngược lại, IFRS 9 phân loại toàn bộ tài sản tài chính thành 3 giai đoạn (Three Stages):</w:t>
      </w:r>
    </w:p>
    <w:p w14:paraId="36B9B261" w14:textId="77777777" w:rsidR="00F67131" w:rsidRDefault="00000000">
      <w:pPr>
        <w:spacing w:after="80" w:line="300" w:lineRule="auto"/>
        <w:jc w:val="both"/>
      </w:pPr>
      <w:r>
        <w:rPr>
          <w:rFonts w:ascii="Times New Roman" w:hAnsi="Times New Roman"/>
          <w:color w:val="262626"/>
        </w:rPr>
        <w:t xml:space="preserve">  • Stage 1 (Performing): Các khoản nợ không có gia tăng rủi ro tín dụng đáng kể (SICR) kể từ khi khởi tạo → Trích lập dự phòng tổn thất kỳ vọng 12 tháng: </w:t>
      </w:r>
      <w:proofErr w:type="gramStart"/>
      <w:r>
        <w:rPr>
          <w:rFonts w:ascii="Times New Roman" w:hAnsi="Times New Roman"/>
          <w:color w:val="262626"/>
        </w:rPr>
        <w:t>ECL(</w:t>
      </w:r>
      <w:proofErr w:type="gramEnd"/>
      <w:r>
        <w:rPr>
          <w:rFonts w:ascii="Times New Roman" w:hAnsi="Times New Roman"/>
          <w:color w:val="262626"/>
        </w:rPr>
        <w:t xml:space="preserve">12m) = EAD × </w:t>
      </w:r>
      <w:proofErr w:type="gramStart"/>
      <w:r>
        <w:rPr>
          <w:rFonts w:ascii="Times New Roman" w:hAnsi="Times New Roman"/>
          <w:color w:val="262626"/>
        </w:rPr>
        <w:t>PD(</w:t>
      </w:r>
      <w:proofErr w:type="gramEnd"/>
      <w:r>
        <w:rPr>
          <w:rFonts w:ascii="Times New Roman" w:hAnsi="Times New Roman"/>
          <w:color w:val="262626"/>
        </w:rPr>
        <w:t>12m) × LGD.</w:t>
      </w:r>
      <w:r w:rsidR="004B291A">
        <w:rPr>
          <w:rFonts w:ascii="Times New Roman" w:hAnsi="Times New Roman"/>
          <w:color w:val="262626"/>
        </w:rPr>
        <w:tab/>
      </w:r>
      <w:r>
        <w:rPr>
          <w:rFonts w:ascii="Times New Roman" w:hAnsi="Times New Roman"/>
          <w:color w:val="262626"/>
        </w:rPr>
        <w:br/>
        <w:t xml:space="preserve">  • Stage 2 (Underperforming - SICR): Các khoản nợ có sự gia tăng rủi ro tín dụng đáng kể (như quá hạn trên 30 ngày, nợ được cơ cấu lại, hoặc suy giảm xếp hạng tín dụng nội bộ) → Bắt buộc trích lập dự phòng tổn thất trọn vòng đời: Lifetime ECL = EAD × </w:t>
      </w:r>
      <w:proofErr w:type="gramStart"/>
      <w:r>
        <w:rPr>
          <w:rFonts w:ascii="Times New Roman" w:hAnsi="Times New Roman"/>
          <w:color w:val="262626"/>
        </w:rPr>
        <w:t>PD(</w:t>
      </w:r>
      <w:proofErr w:type="gramEnd"/>
      <w:r>
        <w:rPr>
          <w:rFonts w:ascii="Times New Roman" w:hAnsi="Times New Roman"/>
          <w:color w:val="262626"/>
        </w:rPr>
        <w:t>lifetime) × LGD.</w:t>
      </w:r>
      <w:r w:rsidR="004B291A">
        <w:rPr>
          <w:rFonts w:ascii="Times New Roman" w:hAnsi="Times New Roman"/>
          <w:color w:val="262626"/>
        </w:rPr>
        <w:tab/>
      </w:r>
      <w:r>
        <w:rPr>
          <w:rFonts w:ascii="Times New Roman" w:hAnsi="Times New Roman"/>
          <w:color w:val="262626"/>
        </w:rPr>
        <w:br/>
        <w:t xml:space="preserve">  • Stage 3 (Credit-impaired): Nợ xấu / suy giảm giá trị (quá hạn trên 90 ngày) → Trích lập Lifetime ECL: </w:t>
      </w:r>
      <w:proofErr w:type="gramStart"/>
      <w:r>
        <w:rPr>
          <w:rFonts w:ascii="Times New Roman" w:hAnsi="Times New Roman"/>
          <w:color w:val="262626"/>
        </w:rPr>
        <w:t>ECL(</w:t>
      </w:r>
      <w:proofErr w:type="gramEnd"/>
      <w:r>
        <w:rPr>
          <w:rFonts w:ascii="Times New Roman" w:hAnsi="Times New Roman"/>
          <w:color w:val="262626"/>
        </w:rPr>
        <w:t>lifetime) = EAD × 100% × LGD.</w:t>
      </w:r>
      <w:r w:rsidR="004B291A">
        <w:rPr>
          <w:rFonts w:ascii="Times New Roman" w:hAnsi="Times New Roman"/>
          <w:color w:val="262626"/>
        </w:rPr>
        <w:tab/>
      </w:r>
      <w:r>
        <w:rPr>
          <w:rFonts w:ascii="Times New Roman" w:hAnsi="Times New Roman"/>
          <w:color w:val="262626"/>
        </w:rPr>
        <w:br/>
        <w:t>Sự khác biệt cốt lõi nằm ở Stage 2: IFRS 9 yêu cầu trích lập toàn bộ tổn thất trọn đời ngay khi rủi ro gia tăng, trong khi Thông tư 11 chỉ trích 5% sau khi đã khấu trừ tài sản bảo đảm. Đây là nguyên nhân tạo ra khoảng cách trích lập lớn (Provisioning Gap) giữa chuẩn mực trong nước và quốc tế.</w:t>
      </w:r>
    </w:p>
    <w:p w14:paraId="0CFD0237" w14:textId="77777777" w:rsidR="00F67131" w:rsidRDefault="00000000">
      <w:pPr>
        <w:pStyle w:val="Heading2"/>
        <w:spacing w:after="80" w:line="300" w:lineRule="auto"/>
      </w:pPr>
      <w:bookmarkStart w:id="3" w:name="_Toc244090103"/>
      <w:r>
        <w:rPr>
          <w:rFonts w:ascii="Times New Roman" w:hAnsi="Times New Roman"/>
          <w:color w:val="0F4C81"/>
          <w:sz w:val="24"/>
        </w:rPr>
        <w:t>1.2. Khung phân tích (Analytical Framework) và Cơ chế Khoan dung pháp lý</w:t>
      </w:r>
      <w:bookmarkEnd w:id="3"/>
    </w:p>
    <w:p w14:paraId="614ABCB0" w14:textId="77777777" w:rsidR="00F67131" w:rsidRDefault="00000000">
      <w:pPr>
        <w:spacing w:after="80" w:line="300" w:lineRule="auto"/>
        <w:jc w:val="both"/>
      </w:pPr>
      <w:r>
        <w:rPr>
          <w:rFonts w:ascii="Times New Roman" w:hAnsi="Times New Roman"/>
          <w:b/>
          <w:color w:val="262626"/>
        </w:rPr>
        <w:t xml:space="preserve">Khung phân tích đa tầng: </w:t>
      </w:r>
      <w:r>
        <w:rPr>
          <w:rFonts w:ascii="Times New Roman" w:hAnsi="Times New Roman"/>
          <w:color w:val="262626"/>
        </w:rPr>
        <w:t>Để đánh giá toàn diện mô hình quản trị RRTD, nghiên cứu thiết lập Khung phân tích đa tầng (Multi-layered Analytical Framework) kết nối quan hệ nhân quả: Thể chế sở hữu và Khung pháp lý vĩ mô → Xác định Khẩu vị rủi ro và Cấu trúc danh mục → Quyết định mức độ tổn thương trước Cú sốc kinh tế → Dẫn đến Biểu hiện nợ xấu nội bảng và Nhu cầu trích lập dự phòng → Tác động cuối cùng đến An toàn vốn (CAR) và Hiệu quả hoạt động điều chỉnh theo rủi ro (RORAC).</w:t>
      </w:r>
    </w:p>
    <w:p w14:paraId="0B359B6F" w14:textId="77777777" w:rsidR="00F67131" w:rsidRDefault="00000000">
      <w:pPr>
        <w:spacing w:after="80" w:line="300" w:lineRule="auto"/>
        <w:jc w:val="both"/>
      </w:pPr>
      <w:r>
        <w:rPr>
          <w:rFonts w:ascii="Times New Roman" w:hAnsi="Times New Roman"/>
          <w:b/>
          <w:color w:val="262626"/>
        </w:rPr>
        <w:t xml:space="preserve">Bản chất kinh tế của Khoan dung pháp lý: </w:t>
      </w:r>
      <w:r>
        <w:rPr>
          <w:rFonts w:ascii="Times New Roman" w:hAnsi="Times New Roman"/>
          <w:color w:val="262626"/>
        </w:rPr>
        <w:t>Đặc biệt, nghiên cứu đưa vào khái niệm Khoan dung pháp lý (Regulatory Forbearance). Về mặt bản chất kinh tế, các văn bản như Thông tư 01/2020 và Thông tư 02/2023 cho phép các TCTD cơ cấu lại thời hạn trả nợ và giữ nguyên nhóm nợ thực chất là sự can thiệp hành chính tạm thời nhằm hoãn ghi nhận tổn thất tín dụng. Cơ chế này giúp doanh nghiệp tránh bị rơi vào nhóm nợ xấu trên hệ thống thông tin tín dụng quốc gia (CIC), nhưng đồng thời tạo ra nguy cơ đảo nợ (loan evergreening) và có thể khiến tỷ lệ nợ xấu nội bảng thấp hơn chất lượng tài sản thực tế, khi một phần khoản nợ đã suy giảm khả năng trả nợ chưa được phản ánh vào nhóm nợ xấu.</w:t>
      </w:r>
    </w:p>
    <w:p w14:paraId="2298AF97" w14:textId="77777777" w:rsidR="00F67131" w:rsidRDefault="00000000">
      <w:pPr>
        <w:pStyle w:val="Heading2"/>
        <w:spacing w:after="80" w:line="300" w:lineRule="auto"/>
      </w:pPr>
      <w:bookmarkStart w:id="4" w:name="_Toc244090104"/>
      <w:r>
        <w:rPr>
          <w:rFonts w:ascii="Times New Roman" w:hAnsi="Times New Roman"/>
          <w:color w:val="0F4C81"/>
          <w:sz w:val="24"/>
        </w:rPr>
        <w:t>1.3. Khung pháp lý điều chỉnh và chu kỳ can thiệp chính sách 2020–2025</w:t>
      </w:r>
      <w:bookmarkEnd w:id="4"/>
    </w:p>
    <w:p w14:paraId="56950B85" w14:textId="77777777" w:rsidR="00F67131" w:rsidRDefault="00000000">
      <w:pPr>
        <w:spacing w:before="120" w:after="60" w:line="300" w:lineRule="auto"/>
      </w:pPr>
      <w:r>
        <w:rPr>
          <w:rFonts w:ascii="Times New Roman" w:hAnsi="Times New Roman"/>
          <w:b/>
          <w:color w:val="1B365D"/>
          <w:sz w:val="20"/>
        </w:rPr>
        <w:t>Bảng 1. Hệ thống văn bản quy phạm pháp luật điều chỉnh rủi ro tín dụng giai đoạn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813"/>
        <w:gridCol w:w="1988"/>
        <w:gridCol w:w="4471"/>
      </w:tblGrid>
      <w:tr w:rsidR="00F67131" w14:paraId="478EB551" w14:textId="77777777">
        <w:trPr>
          <w:jc w:val="center"/>
          <w:cantSplit/>
          <w:tblHeader/>
        </w:trPr>
        <w:tc>
          <w:tcPr>
            <w:tcW w:w="2880" w:type="dxa"/>
            <w:shd w:val="clear" w:color="auto" w:fill="1B365D"/>
            <w:tcMar>
              <w:top w:w="70" w:type="dxa"/>
              <w:left w:w="100" w:type="dxa"/>
              <w:bottom w:w="70" w:type="dxa"/>
              <w:right w:w="100" w:type="dxa"/>
            </w:tcMar>
          </w:tcPr>
          <w:p w14:paraId="2EE7DB16" w14:textId="77777777" w:rsidR="00F67131" w:rsidRDefault="00000000">
            <w:pPr>
              <w:spacing w:before="40" w:after="40" w:line="240" w:lineRule="auto"/>
              <w:jc w:val="both"/>
            </w:pPr>
            <w:r>
              <w:rPr>
                <w:rFonts w:ascii="Times New Roman" w:hAnsi="Times New Roman"/>
                <w:b/>
                <w:color w:val="FFFFFF"/>
                <w:sz w:val="19"/>
              </w:rPr>
              <w:t>Văn bản quy phạm</w:t>
            </w:r>
          </w:p>
        </w:tc>
        <w:tc>
          <w:tcPr>
            <w:tcW w:w="2016" w:type="dxa"/>
            <w:shd w:val="clear" w:color="auto" w:fill="1B365D"/>
            <w:tcMar>
              <w:top w:w="70" w:type="dxa"/>
              <w:left w:w="100" w:type="dxa"/>
              <w:bottom w:w="70" w:type="dxa"/>
              <w:right w:w="100" w:type="dxa"/>
            </w:tcMar>
          </w:tcPr>
          <w:p w14:paraId="0FCCB8CE" w14:textId="77777777" w:rsidR="00F67131" w:rsidRDefault="00000000">
            <w:pPr>
              <w:spacing w:before="40" w:after="40" w:line="240" w:lineRule="auto"/>
              <w:jc w:val="both"/>
            </w:pPr>
            <w:r>
              <w:rPr>
                <w:rFonts w:ascii="Times New Roman" w:hAnsi="Times New Roman"/>
                <w:b/>
                <w:color w:val="FFFFFF"/>
                <w:sz w:val="19"/>
              </w:rPr>
              <w:t>Hiệu lực &amp; Hết hạn</w:t>
            </w:r>
          </w:p>
        </w:tc>
        <w:tc>
          <w:tcPr>
            <w:tcW w:w="4608" w:type="dxa"/>
            <w:shd w:val="clear" w:color="auto" w:fill="1B365D"/>
            <w:tcMar>
              <w:top w:w="70" w:type="dxa"/>
              <w:left w:w="100" w:type="dxa"/>
              <w:bottom w:w="70" w:type="dxa"/>
              <w:right w:w="100" w:type="dxa"/>
            </w:tcMar>
          </w:tcPr>
          <w:p w14:paraId="3BDA7A32" w14:textId="77777777" w:rsidR="00F67131" w:rsidRDefault="00000000">
            <w:pPr>
              <w:spacing w:before="40" w:after="40" w:line="240" w:lineRule="auto"/>
              <w:jc w:val="both"/>
            </w:pPr>
            <w:r>
              <w:rPr>
                <w:rFonts w:ascii="Times New Roman" w:hAnsi="Times New Roman"/>
                <w:b/>
                <w:color w:val="FFFFFF"/>
                <w:sz w:val="19"/>
              </w:rPr>
              <w:t>Tác động kinh tế và cơ chế điều chỉnh số liệu</w:t>
            </w:r>
          </w:p>
        </w:tc>
      </w:tr>
      <w:tr w:rsidR="00F67131" w14:paraId="33B2893C" w14:textId="77777777">
        <w:trPr>
          <w:jc w:val="center"/>
          <w:cantSplit/>
        </w:trPr>
        <w:tc>
          <w:tcPr>
            <w:tcW w:w="2880" w:type="dxa"/>
            <w:tcMar>
              <w:top w:w="70" w:type="dxa"/>
              <w:left w:w="100" w:type="dxa"/>
              <w:bottom w:w="70" w:type="dxa"/>
              <w:right w:w="100" w:type="dxa"/>
            </w:tcMar>
          </w:tcPr>
          <w:p w14:paraId="48CEC682" w14:textId="77777777" w:rsidR="00F67131" w:rsidRDefault="00000000">
            <w:pPr>
              <w:spacing w:before="40" w:after="40" w:line="240" w:lineRule="auto"/>
              <w:jc w:val="both"/>
            </w:pPr>
            <w:r>
              <w:rPr>
                <w:rFonts w:ascii="Times New Roman" w:hAnsi="Times New Roman"/>
                <w:color w:val="262626"/>
                <w:sz w:val="18"/>
              </w:rPr>
              <w:t>Thông tư 01/2020/TT-NHNN</w:t>
            </w:r>
          </w:p>
        </w:tc>
        <w:tc>
          <w:tcPr>
            <w:tcW w:w="2016" w:type="dxa"/>
            <w:tcMar>
              <w:top w:w="70" w:type="dxa"/>
              <w:left w:w="100" w:type="dxa"/>
              <w:bottom w:w="70" w:type="dxa"/>
              <w:right w:w="100" w:type="dxa"/>
            </w:tcMar>
          </w:tcPr>
          <w:p w14:paraId="3FA23A26" w14:textId="77777777" w:rsidR="00F67131" w:rsidRDefault="00000000">
            <w:pPr>
              <w:spacing w:before="40" w:after="40" w:line="240" w:lineRule="auto"/>
              <w:jc w:val="both"/>
            </w:pPr>
            <w:r>
              <w:rPr>
                <w:rFonts w:ascii="Times New Roman" w:hAnsi="Times New Roman"/>
                <w:color w:val="262626"/>
                <w:sz w:val="18"/>
              </w:rPr>
              <w:t>13/3/2020 → 17/5/2021</w:t>
            </w:r>
          </w:p>
        </w:tc>
        <w:tc>
          <w:tcPr>
            <w:tcW w:w="4608" w:type="dxa"/>
            <w:tcMar>
              <w:top w:w="70" w:type="dxa"/>
              <w:left w:w="100" w:type="dxa"/>
              <w:bottom w:w="70" w:type="dxa"/>
              <w:right w:w="100" w:type="dxa"/>
            </w:tcMar>
          </w:tcPr>
          <w:p w14:paraId="4D9DA43D" w14:textId="77777777" w:rsidR="00F67131" w:rsidRDefault="00000000">
            <w:pPr>
              <w:spacing w:before="40" w:after="40" w:line="240" w:lineRule="auto"/>
              <w:jc w:val="both"/>
            </w:pPr>
            <w:r>
              <w:rPr>
                <w:rFonts w:ascii="Times New Roman" w:hAnsi="Times New Roman"/>
                <w:color w:val="262626"/>
                <w:sz w:val="18"/>
              </w:rPr>
              <w:t>Cơ cấu lại thời hạn trả nợ, miễn giảm lãi và giữ nguyên nhóm nợ cho khách hàng chịu ảnh hưởng bởi Covid-19.</w:t>
            </w:r>
          </w:p>
        </w:tc>
      </w:tr>
      <w:tr w:rsidR="00F67131" w14:paraId="66591286" w14:textId="77777777">
        <w:trPr>
          <w:jc w:val="center"/>
          <w:cantSplit/>
        </w:trPr>
        <w:tc>
          <w:tcPr>
            <w:tcW w:w="2880" w:type="dxa"/>
            <w:tcMar>
              <w:top w:w="70" w:type="dxa"/>
              <w:left w:w="100" w:type="dxa"/>
              <w:bottom w:w="70" w:type="dxa"/>
              <w:right w:w="100" w:type="dxa"/>
            </w:tcMar>
          </w:tcPr>
          <w:p w14:paraId="63478ACD" w14:textId="77777777" w:rsidR="00F67131" w:rsidRDefault="00000000">
            <w:pPr>
              <w:spacing w:before="40" w:after="40" w:line="240" w:lineRule="auto"/>
              <w:jc w:val="both"/>
            </w:pPr>
            <w:r>
              <w:rPr>
                <w:rFonts w:ascii="Times New Roman" w:hAnsi="Times New Roman"/>
                <w:color w:val="262626"/>
                <w:sz w:val="18"/>
              </w:rPr>
              <w:t>Thông tư 03/2021/TT-NHNN</w:t>
            </w:r>
          </w:p>
        </w:tc>
        <w:tc>
          <w:tcPr>
            <w:tcW w:w="2016" w:type="dxa"/>
            <w:tcMar>
              <w:top w:w="70" w:type="dxa"/>
              <w:left w:w="100" w:type="dxa"/>
              <w:bottom w:w="70" w:type="dxa"/>
              <w:right w:w="100" w:type="dxa"/>
            </w:tcMar>
          </w:tcPr>
          <w:p w14:paraId="4AA4C9AA" w14:textId="77777777" w:rsidR="00F67131" w:rsidRDefault="00000000">
            <w:pPr>
              <w:spacing w:before="40" w:after="40" w:line="240" w:lineRule="auto"/>
              <w:jc w:val="both"/>
            </w:pPr>
            <w:r>
              <w:rPr>
                <w:rFonts w:ascii="Times New Roman" w:hAnsi="Times New Roman"/>
                <w:color w:val="262626"/>
                <w:sz w:val="18"/>
              </w:rPr>
              <w:t>17/5/2021 → 07/9/2021</w:t>
            </w:r>
          </w:p>
        </w:tc>
        <w:tc>
          <w:tcPr>
            <w:tcW w:w="4608" w:type="dxa"/>
            <w:tcMar>
              <w:top w:w="70" w:type="dxa"/>
              <w:left w:w="100" w:type="dxa"/>
              <w:bottom w:w="70" w:type="dxa"/>
              <w:right w:w="100" w:type="dxa"/>
            </w:tcMar>
          </w:tcPr>
          <w:p w14:paraId="2ED96DE1" w14:textId="77777777" w:rsidR="00F67131" w:rsidRDefault="00000000">
            <w:pPr>
              <w:spacing w:before="40" w:after="40" w:line="240" w:lineRule="auto"/>
              <w:jc w:val="both"/>
            </w:pPr>
            <w:r>
              <w:rPr>
                <w:rFonts w:ascii="Times New Roman" w:hAnsi="Times New Roman"/>
                <w:color w:val="262626"/>
                <w:sz w:val="18"/>
              </w:rPr>
              <w:t>Yêu cầu bắt đầu trích lập dự phòng cho nợ cơ cấu Covid theo lộ trình 3 năm: tối thiểu 30% (2021), 60% (2022) và 100% (2023).</w:t>
            </w:r>
          </w:p>
        </w:tc>
      </w:tr>
      <w:tr w:rsidR="00F67131" w14:paraId="3C13A715" w14:textId="77777777">
        <w:trPr>
          <w:jc w:val="center"/>
          <w:cantSplit/>
        </w:trPr>
        <w:tc>
          <w:tcPr>
            <w:tcW w:w="2880" w:type="dxa"/>
            <w:tcMar>
              <w:top w:w="70" w:type="dxa"/>
              <w:left w:w="100" w:type="dxa"/>
              <w:bottom w:w="70" w:type="dxa"/>
              <w:right w:w="100" w:type="dxa"/>
            </w:tcMar>
          </w:tcPr>
          <w:p w14:paraId="02288AF5" w14:textId="77777777" w:rsidR="00F67131" w:rsidRDefault="00000000">
            <w:pPr>
              <w:spacing w:before="40" w:after="40" w:line="240" w:lineRule="auto"/>
              <w:jc w:val="both"/>
            </w:pPr>
            <w:r>
              <w:rPr>
                <w:rFonts w:ascii="Times New Roman" w:hAnsi="Times New Roman"/>
                <w:color w:val="262626"/>
                <w:sz w:val="18"/>
              </w:rPr>
              <w:lastRenderedPageBreak/>
              <w:t>Thông tư 14/2021/TT-NHNN</w:t>
            </w:r>
          </w:p>
        </w:tc>
        <w:tc>
          <w:tcPr>
            <w:tcW w:w="2016" w:type="dxa"/>
            <w:tcMar>
              <w:top w:w="70" w:type="dxa"/>
              <w:left w:w="100" w:type="dxa"/>
              <w:bottom w:w="70" w:type="dxa"/>
              <w:right w:w="100" w:type="dxa"/>
            </w:tcMar>
          </w:tcPr>
          <w:p w14:paraId="6867782C" w14:textId="77777777" w:rsidR="00F67131" w:rsidRDefault="00000000">
            <w:pPr>
              <w:spacing w:before="40" w:after="40" w:line="240" w:lineRule="auto"/>
              <w:jc w:val="both"/>
            </w:pPr>
            <w:r>
              <w:rPr>
                <w:rFonts w:ascii="Times New Roman" w:hAnsi="Times New Roman"/>
                <w:color w:val="262626"/>
                <w:sz w:val="18"/>
              </w:rPr>
              <w:t>07/9/2021 → 30/6/2022</w:t>
            </w:r>
          </w:p>
        </w:tc>
        <w:tc>
          <w:tcPr>
            <w:tcW w:w="4608" w:type="dxa"/>
            <w:tcMar>
              <w:top w:w="70" w:type="dxa"/>
              <w:left w:w="100" w:type="dxa"/>
              <w:bottom w:w="70" w:type="dxa"/>
              <w:right w:w="100" w:type="dxa"/>
            </w:tcMar>
          </w:tcPr>
          <w:p w14:paraId="647A1F67" w14:textId="77777777" w:rsidR="00F67131" w:rsidRDefault="00000000">
            <w:pPr>
              <w:spacing w:before="40" w:after="40" w:line="240" w:lineRule="auto"/>
              <w:jc w:val="both"/>
            </w:pPr>
            <w:r>
              <w:rPr>
                <w:rFonts w:ascii="Times New Roman" w:hAnsi="Times New Roman"/>
                <w:color w:val="262626"/>
                <w:sz w:val="18"/>
              </w:rPr>
              <w:t>Kéo dài thời gian cơ cấu nợ Covid đến 30/6/2022, duy trì cơ chế giữ nguyên nhóm nợ.</w:t>
            </w:r>
          </w:p>
        </w:tc>
      </w:tr>
      <w:tr w:rsidR="00F67131" w14:paraId="27E58CAF" w14:textId="77777777">
        <w:trPr>
          <w:jc w:val="center"/>
          <w:cantSplit/>
        </w:trPr>
        <w:tc>
          <w:tcPr>
            <w:tcW w:w="2880" w:type="dxa"/>
            <w:tcMar>
              <w:top w:w="70" w:type="dxa"/>
              <w:left w:w="100" w:type="dxa"/>
              <w:bottom w:w="70" w:type="dxa"/>
              <w:right w:w="100" w:type="dxa"/>
            </w:tcMar>
          </w:tcPr>
          <w:p w14:paraId="58FDA359" w14:textId="77777777" w:rsidR="00F67131" w:rsidRDefault="00000000">
            <w:pPr>
              <w:spacing w:before="40" w:after="40" w:line="240" w:lineRule="auto"/>
              <w:jc w:val="both"/>
            </w:pPr>
            <w:r>
              <w:rPr>
                <w:rFonts w:ascii="Times New Roman" w:hAnsi="Times New Roman"/>
                <w:color w:val="262626"/>
                <w:sz w:val="18"/>
              </w:rPr>
              <w:t>Thông tư 11/2021/TT-NHNN</w:t>
            </w:r>
          </w:p>
        </w:tc>
        <w:tc>
          <w:tcPr>
            <w:tcW w:w="2016" w:type="dxa"/>
            <w:tcMar>
              <w:top w:w="70" w:type="dxa"/>
              <w:left w:w="100" w:type="dxa"/>
              <w:bottom w:w="70" w:type="dxa"/>
              <w:right w:w="100" w:type="dxa"/>
            </w:tcMar>
          </w:tcPr>
          <w:p w14:paraId="15707B8E" w14:textId="77777777" w:rsidR="00F67131" w:rsidRDefault="00000000">
            <w:pPr>
              <w:spacing w:before="40" w:after="40" w:line="240" w:lineRule="auto"/>
              <w:jc w:val="both"/>
            </w:pPr>
            <w:r>
              <w:rPr>
                <w:rFonts w:ascii="Times New Roman" w:hAnsi="Times New Roman"/>
                <w:color w:val="262626"/>
                <w:sz w:val="18"/>
              </w:rPr>
              <w:t>01/10/2021 → 30/6/2024 (thay TT 02/2013, TT 09/2014)</w:t>
            </w:r>
          </w:p>
        </w:tc>
        <w:tc>
          <w:tcPr>
            <w:tcW w:w="4608" w:type="dxa"/>
            <w:tcMar>
              <w:top w:w="70" w:type="dxa"/>
              <w:left w:w="100" w:type="dxa"/>
              <w:bottom w:w="70" w:type="dxa"/>
              <w:right w:w="100" w:type="dxa"/>
            </w:tcMar>
          </w:tcPr>
          <w:p w14:paraId="1740B17B" w14:textId="77777777" w:rsidR="00F67131" w:rsidRDefault="00000000">
            <w:pPr>
              <w:spacing w:before="40" w:after="40" w:line="240" w:lineRule="auto"/>
              <w:jc w:val="both"/>
            </w:pPr>
            <w:r>
              <w:rPr>
                <w:rFonts w:ascii="Times New Roman" w:hAnsi="Times New Roman"/>
                <w:color w:val="262626"/>
                <w:sz w:val="18"/>
              </w:rPr>
              <w:t>Phân loại nợ 5 nhóm, mức trích và phương pháp trích lập dự phòng, sử dụng dự phòng để xử lý rủi ro; buộc điều chỉnh nhóm nợ theo kết quả phân loại do CIC cung cấp.</w:t>
            </w:r>
          </w:p>
        </w:tc>
      </w:tr>
      <w:tr w:rsidR="00F67131" w14:paraId="0789058F" w14:textId="77777777">
        <w:trPr>
          <w:jc w:val="center"/>
          <w:cantSplit/>
        </w:trPr>
        <w:tc>
          <w:tcPr>
            <w:tcW w:w="2880" w:type="dxa"/>
            <w:tcMar>
              <w:top w:w="70" w:type="dxa"/>
              <w:left w:w="100" w:type="dxa"/>
              <w:bottom w:w="70" w:type="dxa"/>
              <w:right w:w="100" w:type="dxa"/>
            </w:tcMar>
          </w:tcPr>
          <w:p w14:paraId="2C52D69D" w14:textId="77777777" w:rsidR="00F67131" w:rsidRDefault="00000000">
            <w:pPr>
              <w:spacing w:before="40" w:after="40" w:line="240" w:lineRule="auto"/>
              <w:jc w:val="both"/>
            </w:pPr>
            <w:r>
              <w:rPr>
                <w:rFonts w:ascii="Times New Roman" w:hAnsi="Times New Roman"/>
                <w:color w:val="262626"/>
                <w:sz w:val="18"/>
              </w:rPr>
              <w:t>Thông tư 02/2023/TT-NHNN</w:t>
            </w:r>
          </w:p>
        </w:tc>
        <w:tc>
          <w:tcPr>
            <w:tcW w:w="2016" w:type="dxa"/>
            <w:tcMar>
              <w:top w:w="70" w:type="dxa"/>
              <w:left w:w="100" w:type="dxa"/>
              <w:bottom w:w="70" w:type="dxa"/>
              <w:right w:w="100" w:type="dxa"/>
            </w:tcMar>
          </w:tcPr>
          <w:p w14:paraId="010011FE" w14:textId="77777777" w:rsidR="00F67131" w:rsidRDefault="00000000">
            <w:pPr>
              <w:spacing w:before="40" w:after="40" w:line="240" w:lineRule="auto"/>
              <w:jc w:val="both"/>
            </w:pPr>
            <w:r>
              <w:rPr>
                <w:rFonts w:ascii="Times New Roman" w:hAnsi="Times New Roman"/>
                <w:color w:val="262626"/>
                <w:sz w:val="18"/>
              </w:rPr>
              <w:t>24/4/2023 → 31/12/2024 (gia hạn bởi TT 06/2024)</w:t>
            </w:r>
          </w:p>
        </w:tc>
        <w:tc>
          <w:tcPr>
            <w:tcW w:w="4608" w:type="dxa"/>
            <w:tcMar>
              <w:top w:w="70" w:type="dxa"/>
              <w:left w:w="100" w:type="dxa"/>
              <w:bottom w:w="70" w:type="dxa"/>
              <w:right w:w="100" w:type="dxa"/>
            </w:tcMar>
          </w:tcPr>
          <w:p w14:paraId="7ABEDF4A" w14:textId="77777777" w:rsidR="00F67131" w:rsidRDefault="00000000">
            <w:pPr>
              <w:spacing w:before="40" w:after="40" w:line="240" w:lineRule="auto"/>
              <w:jc w:val="both"/>
            </w:pPr>
            <w:r>
              <w:rPr>
                <w:rFonts w:ascii="Times New Roman" w:hAnsi="Times New Roman"/>
                <w:color w:val="262626"/>
                <w:sz w:val="18"/>
              </w:rPr>
              <w:t>Cơ cấu lại thời hạn trả nợ và giữ nguyên nhóm nợ cho khách hàng gặp khó khăn; trích dự phòng bổ sung tối thiểu 50% (31/12/2023) và 100% (31/12/2024).</w:t>
            </w:r>
          </w:p>
        </w:tc>
      </w:tr>
      <w:tr w:rsidR="00F67131" w14:paraId="358F80FC" w14:textId="77777777">
        <w:trPr>
          <w:jc w:val="center"/>
          <w:cantSplit/>
        </w:trPr>
        <w:tc>
          <w:tcPr>
            <w:tcW w:w="2880" w:type="dxa"/>
            <w:tcMar>
              <w:top w:w="70" w:type="dxa"/>
              <w:left w:w="100" w:type="dxa"/>
              <w:bottom w:w="70" w:type="dxa"/>
              <w:right w:w="100" w:type="dxa"/>
            </w:tcMar>
          </w:tcPr>
          <w:p w14:paraId="2EA6FEB7" w14:textId="77777777" w:rsidR="00F67131" w:rsidRDefault="00000000">
            <w:pPr>
              <w:spacing w:before="40" w:after="40" w:line="240" w:lineRule="auto"/>
              <w:jc w:val="both"/>
            </w:pPr>
            <w:r>
              <w:rPr>
                <w:rFonts w:ascii="Times New Roman" w:hAnsi="Times New Roman"/>
                <w:color w:val="262626"/>
                <w:sz w:val="18"/>
              </w:rPr>
              <w:t>Thông tư 41/2016/TT-NHNN</w:t>
            </w:r>
          </w:p>
        </w:tc>
        <w:tc>
          <w:tcPr>
            <w:tcW w:w="2016" w:type="dxa"/>
            <w:tcMar>
              <w:top w:w="70" w:type="dxa"/>
              <w:left w:w="100" w:type="dxa"/>
              <w:bottom w:w="70" w:type="dxa"/>
              <w:right w:w="100" w:type="dxa"/>
            </w:tcMar>
          </w:tcPr>
          <w:p w14:paraId="57867C0F" w14:textId="77777777" w:rsidR="00F67131" w:rsidRDefault="00000000">
            <w:pPr>
              <w:spacing w:before="40" w:after="40" w:line="240" w:lineRule="auto"/>
              <w:jc w:val="both"/>
            </w:pPr>
            <w:r>
              <w:rPr>
                <w:rFonts w:ascii="Times New Roman" w:hAnsi="Times New Roman"/>
                <w:color w:val="262626"/>
                <w:sz w:val="18"/>
              </w:rPr>
              <w:t>Bắt buộc từ 01/01/2020</w:t>
            </w:r>
          </w:p>
        </w:tc>
        <w:tc>
          <w:tcPr>
            <w:tcW w:w="4608" w:type="dxa"/>
            <w:tcMar>
              <w:top w:w="70" w:type="dxa"/>
              <w:left w:w="100" w:type="dxa"/>
              <w:bottom w:w="70" w:type="dxa"/>
              <w:right w:w="100" w:type="dxa"/>
            </w:tcMar>
          </w:tcPr>
          <w:p w14:paraId="5D523386" w14:textId="77777777" w:rsidR="00F67131" w:rsidRDefault="00000000">
            <w:pPr>
              <w:spacing w:before="40" w:after="40" w:line="240" w:lineRule="auto"/>
              <w:jc w:val="both"/>
            </w:pPr>
            <w:r>
              <w:rPr>
                <w:rFonts w:ascii="Times New Roman" w:hAnsi="Times New Roman"/>
                <w:color w:val="262626"/>
                <w:sz w:val="18"/>
              </w:rPr>
              <w:t>CAR tối thiểu 8% theo phương pháp chuẩn hóa Basel II. MB áp dụng từ trước 2020; Agribank tính CAR theo TT 22/2019 (tối thiểu 9%) đến 2022 và chuyển sang TT 41 từ 2023.</w:t>
            </w:r>
          </w:p>
        </w:tc>
      </w:tr>
      <w:tr w:rsidR="00F67131" w14:paraId="73FC7ACF" w14:textId="77777777">
        <w:trPr>
          <w:jc w:val="center"/>
          <w:cantSplit/>
        </w:trPr>
        <w:tc>
          <w:tcPr>
            <w:tcW w:w="2880" w:type="dxa"/>
            <w:tcMar>
              <w:top w:w="70" w:type="dxa"/>
              <w:left w:w="100" w:type="dxa"/>
              <w:bottom w:w="70" w:type="dxa"/>
              <w:right w:w="100" w:type="dxa"/>
            </w:tcMar>
          </w:tcPr>
          <w:p w14:paraId="5D540D33" w14:textId="77777777" w:rsidR="00F67131" w:rsidRDefault="00000000">
            <w:pPr>
              <w:spacing w:before="40" w:after="40" w:line="240" w:lineRule="auto"/>
              <w:jc w:val="both"/>
            </w:pPr>
            <w:r>
              <w:rPr>
                <w:rFonts w:ascii="Times New Roman" w:hAnsi="Times New Roman"/>
                <w:color w:val="262626"/>
                <w:sz w:val="18"/>
              </w:rPr>
              <w:t>Nghị quyết 42/2017/QH14</w:t>
            </w:r>
          </w:p>
        </w:tc>
        <w:tc>
          <w:tcPr>
            <w:tcW w:w="2016" w:type="dxa"/>
            <w:tcMar>
              <w:top w:w="70" w:type="dxa"/>
              <w:left w:w="100" w:type="dxa"/>
              <w:bottom w:w="70" w:type="dxa"/>
              <w:right w:w="100" w:type="dxa"/>
            </w:tcMar>
          </w:tcPr>
          <w:p w14:paraId="7C8B4C91" w14:textId="77777777" w:rsidR="00F67131" w:rsidRDefault="00000000">
            <w:pPr>
              <w:spacing w:before="40" w:after="40" w:line="240" w:lineRule="auto"/>
              <w:jc w:val="both"/>
            </w:pPr>
            <w:r>
              <w:rPr>
                <w:rFonts w:ascii="Times New Roman" w:hAnsi="Times New Roman"/>
                <w:color w:val="262626"/>
                <w:sz w:val="18"/>
              </w:rPr>
              <w:t>15/8/2017 → 31/12/2023 (gia hạn bởi NQ 63/2022/QH15)</w:t>
            </w:r>
          </w:p>
        </w:tc>
        <w:tc>
          <w:tcPr>
            <w:tcW w:w="4608" w:type="dxa"/>
            <w:tcMar>
              <w:top w:w="70" w:type="dxa"/>
              <w:left w:w="100" w:type="dxa"/>
              <w:bottom w:w="70" w:type="dxa"/>
              <w:right w:w="100" w:type="dxa"/>
            </w:tcMar>
          </w:tcPr>
          <w:p w14:paraId="07055E3A" w14:textId="77777777" w:rsidR="00F67131" w:rsidRDefault="00000000">
            <w:pPr>
              <w:spacing w:before="40" w:after="40" w:line="240" w:lineRule="auto"/>
              <w:jc w:val="both"/>
            </w:pPr>
            <w:r>
              <w:rPr>
                <w:rFonts w:ascii="Times New Roman" w:hAnsi="Times New Roman"/>
                <w:color w:val="262626"/>
                <w:sz w:val="18"/>
              </w:rPr>
              <w:t>Thí điểm xử lý nợ xấu, cho phép TCTD thu giữ tài sản bảo đảm; hết hiệu lực từ 01/01/2024 tạo khoảng trống pháp lý đến khi có Luật số 96/2025/QH15.</w:t>
            </w:r>
          </w:p>
        </w:tc>
      </w:tr>
      <w:tr w:rsidR="00F67131" w14:paraId="34CF13A8" w14:textId="77777777">
        <w:trPr>
          <w:jc w:val="center"/>
          <w:cantSplit/>
        </w:trPr>
        <w:tc>
          <w:tcPr>
            <w:tcW w:w="2880" w:type="dxa"/>
            <w:tcMar>
              <w:top w:w="70" w:type="dxa"/>
              <w:left w:w="100" w:type="dxa"/>
              <w:bottom w:w="70" w:type="dxa"/>
              <w:right w:w="100" w:type="dxa"/>
            </w:tcMar>
          </w:tcPr>
          <w:p w14:paraId="380049B1" w14:textId="77777777" w:rsidR="00F67131" w:rsidRDefault="00000000">
            <w:pPr>
              <w:spacing w:before="40" w:after="40" w:line="240" w:lineRule="auto"/>
              <w:jc w:val="both"/>
            </w:pPr>
            <w:r>
              <w:rPr>
                <w:rFonts w:ascii="Times New Roman" w:hAnsi="Times New Roman"/>
                <w:color w:val="262626"/>
                <w:sz w:val="18"/>
              </w:rPr>
              <w:t>Luật Các TCTD số 32/2024/QH15</w:t>
            </w:r>
          </w:p>
        </w:tc>
        <w:tc>
          <w:tcPr>
            <w:tcW w:w="2016" w:type="dxa"/>
            <w:tcMar>
              <w:top w:w="70" w:type="dxa"/>
              <w:left w:w="100" w:type="dxa"/>
              <w:bottom w:w="70" w:type="dxa"/>
              <w:right w:w="100" w:type="dxa"/>
            </w:tcMar>
          </w:tcPr>
          <w:p w14:paraId="7E17D3C1" w14:textId="77777777" w:rsidR="00F67131" w:rsidRDefault="00000000">
            <w:pPr>
              <w:spacing w:before="40" w:after="40" w:line="240" w:lineRule="auto"/>
              <w:jc w:val="both"/>
            </w:pPr>
            <w:r>
              <w:rPr>
                <w:rFonts w:ascii="Times New Roman" w:hAnsi="Times New Roman"/>
                <w:color w:val="262626"/>
                <w:sz w:val="18"/>
              </w:rPr>
              <w:t>Hiệu lực từ 01/7/2024</w:t>
            </w:r>
          </w:p>
        </w:tc>
        <w:tc>
          <w:tcPr>
            <w:tcW w:w="4608" w:type="dxa"/>
            <w:tcMar>
              <w:top w:w="70" w:type="dxa"/>
              <w:left w:w="100" w:type="dxa"/>
              <w:bottom w:w="70" w:type="dxa"/>
              <w:right w:w="100" w:type="dxa"/>
            </w:tcMar>
          </w:tcPr>
          <w:p w14:paraId="732385C0" w14:textId="77777777" w:rsidR="00F67131" w:rsidRDefault="00000000">
            <w:pPr>
              <w:spacing w:before="40" w:after="40" w:line="240" w:lineRule="auto"/>
              <w:jc w:val="both"/>
            </w:pPr>
            <w:r>
              <w:rPr>
                <w:rFonts w:ascii="Times New Roman" w:hAnsi="Times New Roman"/>
                <w:color w:val="262626"/>
                <w:sz w:val="18"/>
              </w:rPr>
              <w:t>Siết giới hạn cấp tín dụng (Điều 136, lộ trình Điều 210): một khách hàng từ 14% vốn tự có (2024–2025) giảm dần về 10% từ 2029; khách hàng và người có liên quan từ 23% về 15%.</w:t>
            </w:r>
          </w:p>
        </w:tc>
      </w:tr>
      <w:tr w:rsidR="00F67131" w14:paraId="27C983DF" w14:textId="77777777">
        <w:trPr>
          <w:jc w:val="center"/>
          <w:cantSplit/>
        </w:trPr>
        <w:tc>
          <w:tcPr>
            <w:tcW w:w="2880" w:type="dxa"/>
            <w:tcMar>
              <w:top w:w="70" w:type="dxa"/>
              <w:left w:w="100" w:type="dxa"/>
              <w:bottom w:w="70" w:type="dxa"/>
              <w:right w:w="100" w:type="dxa"/>
            </w:tcMar>
          </w:tcPr>
          <w:p w14:paraId="0731E615" w14:textId="77777777" w:rsidR="00F67131" w:rsidRDefault="00000000">
            <w:pPr>
              <w:spacing w:before="40" w:after="40" w:line="240" w:lineRule="auto"/>
              <w:jc w:val="both"/>
            </w:pPr>
            <w:r>
              <w:rPr>
                <w:rFonts w:ascii="Times New Roman" w:hAnsi="Times New Roman"/>
                <w:color w:val="262626"/>
                <w:sz w:val="18"/>
              </w:rPr>
              <w:t>Thông tư 31/2024/TT-NHNN và Nghị định 86/2024/NĐ-CP</w:t>
            </w:r>
          </w:p>
        </w:tc>
        <w:tc>
          <w:tcPr>
            <w:tcW w:w="2016" w:type="dxa"/>
            <w:tcMar>
              <w:top w:w="70" w:type="dxa"/>
              <w:left w:w="100" w:type="dxa"/>
              <w:bottom w:w="70" w:type="dxa"/>
              <w:right w:w="100" w:type="dxa"/>
            </w:tcMar>
          </w:tcPr>
          <w:p w14:paraId="20546323" w14:textId="77777777" w:rsidR="00F67131" w:rsidRDefault="00000000">
            <w:pPr>
              <w:spacing w:before="40" w:after="40" w:line="240" w:lineRule="auto"/>
              <w:jc w:val="both"/>
            </w:pPr>
            <w:r>
              <w:rPr>
                <w:rFonts w:ascii="Times New Roman" w:hAnsi="Times New Roman"/>
                <w:color w:val="262626"/>
                <w:sz w:val="18"/>
              </w:rPr>
              <w:t>TT 31: từ 01/7/2024; NĐ 86: ban hành 11/7/2024</w:t>
            </w:r>
          </w:p>
        </w:tc>
        <w:tc>
          <w:tcPr>
            <w:tcW w:w="4608" w:type="dxa"/>
            <w:tcMar>
              <w:top w:w="70" w:type="dxa"/>
              <w:left w:w="100" w:type="dxa"/>
              <w:bottom w:w="70" w:type="dxa"/>
              <w:right w:w="100" w:type="dxa"/>
            </w:tcMar>
          </w:tcPr>
          <w:p w14:paraId="606BEF55" w14:textId="77777777" w:rsidR="00F67131" w:rsidRDefault="00000000">
            <w:pPr>
              <w:spacing w:before="40" w:after="40" w:line="240" w:lineRule="auto"/>
              <w:jc w:val="both"/>
            </w:pPr>
            <w:r>
              <w:rPr>
                <w:rFonts w:ascii="Times New Roman" w:hAnsi="Times New Roman"/>
                <w:color w:val="262626"/>
                <w:sz w:val="18"/>
              </w:rPr>
              <w:t>Thay thế TT 11/2021: TT 31 quy định phân loại tài sản có; NĐ 86 quy định mức trích, phương pháp trích lập và sử dụng dự phòng để xử lý rủi ro.</w:t>
            </w:r>
          </w:p>
        </w:tc>
      </w:tr>
      <w:tr w:rsidR="00F67131" w14:paraId="01980171" w14:textId="77777777">
        <w:trPr>
          <w:jc w:val="center"/>
          <w:cantSplit/>
        </w:trPr>
        <w:tc>
          <w:tcPr>
            <w:tcW w:w="2880" w:type="dxa"/>
            <w:tcMar>
              <w:top w:w="70" w:type="dxa"/>
              <w:left w:w="100" w:type="dxa"/>
              <w:bottom w:w="70" w:type="dxa"/>
              <w:right w:w="100" w:type="dxa"/>
            </w:tcMar>
          </w:tcPr>
          <w:p w14:paraId="78D4BC61" w14:textId="77777777" w:rsidR="00F67131" w:rsidRDefault="00000000">
            <w:pPr>
              <w:spacing w:before="40" w:after="40" w:line="240" w:lineRule="auto"/>
              <w:jc w:val="both"/>
            </w:pPr>
            <w:r>
              <w:rPr>
                <w:rFonts w:ascii="Times New Roman" w:hAnsi="Times New Roman"/>
                <w:color w:val="262626"/>
                <w:sz w:val="18"/>
              </w:rPr>
              <w:t>Thông tư 53/2024/TT-NHNN và Quyết định 1510/QĐ-TTg</w:t>
            </w:r>
          </w:p>
        </w:tc>
        <w:tc>
          <w:tcPr>
            <w:tcW w:w="2016" w:type="dxa"/>
            <w:tcMar>
              <w:top w:w="70" w:type="dxa"/>
              <w:left w:w="100" w:type="dxa"/>
              <w:bottom w:w="70" w:type="dxa"/>
              <w:right w:w="100" w:type="dxa"/>
            </w:tcMar>
          </w:tcPr>
          <w:p w14:paraId="144BC230" w14:textId="77777777" w:rsidR="00F67131" w:rsidRDefault="00000000">
            <w:pPr>
              <w:spacing w:before="40" w:after="40" w:line="240" w:lineRule="auto"/>
              <w:jc w:val="both"/>
            </w:pPr>
            <w:r>
              <w:rPr>
                <w:rFonts w:ascii="Times New Roman" w:hAnsi="Times New Roman"/>
                <w:color w:val="262626"/>
                <w:sz w:val="18"/>
              </w:rPr>
              <w:t>04/12/2024 → 31/12/2025</w:t>
            </w:r>
          </w:p>
        </w:tc>
        <w:tc>
          <w:tcPr>
            <w:tcW w:w="4608" w:type="dxa"/>
            <w:tcMar>
              <w:top w:w="70" w:type="dxa"/>
              <w:left w:w="100" w:type="dxa"/>
              <w:bottom w:w="70" w:type="dxa"/>
              <w:right w:w="100" w:type="dxa"/>
            </w:tcMar>
          </w:tcPr>
          <w:p w14:paraId="3965631C" w14:textId="77777777" w:rsidR="00F67131" w:rsidRDefault="00000000">
            <w:pPr>
              <w:spacing w:before="40" w:after="40" w:line="240" w:lineRule="auto"/>
              <w:jc w:val="both"/>
            </w:pPr>
            <w:r>
              <w:rPr>
                <w:rFonts w:ascii="Times New Roman" w:hAnsi="Times New Roman"/>
                <w:color w:val="262626"/>
                <w:sz w:val="18"/>
              </w:rPr>
              <w:t>TT 53: cơ cấu lại thời hạn trả nợ cho khách hàng thiệt hại do bão số 3 (Yagi). QĐ 1510/QĐ-TTg: giữ nguyên nhóm nợ; trích dự phòng cụ thể bổ sung tối thiểu 35% đến 31/12/2024 và 70% đến 31/12/2025.</w:t>
            </w:r>
          </w:p>
        </w:tc>
      </w:tr>
      <w:tr w:rsidR="00F67131" w14:paraId="370B1A9D" w14:textId="77777777">
        <w:trPr>
          <w:jc w:val="center"/>
          <w:cantSplit/>
        </w:trPr>
        <w:tc>
          <w:tcPr>
            <w:tcW w:w="2880" w:type="dxa"/>
            <w:tcMar>
              <w:top w:w="70" w:type="dxa"/>
              <w:left w:w="100" w:type="dxa"/>
              <w:bottom w:w="70" w:type="dxa"/>
              <w:right w:w="100" w:type="dxa"/>
            </w:tcMar>
          </w:tcPr>
          <w:p w14:paraId="3F7BFE7A" w14:textId="77777777" w:rsidR="00F67131" w:rsidRDefault="00000000">
            <w:pPr>
              <w:spacing w:before="40" w:after="40" w:line="240" w:lineRule="auto"/>
              <w:jc w:val="both"/>
            </w:pPr>
            <w:r>
              <w:rPr>
                <w:rFonts w:ascii="Times New Roman" w:hAnsi="Times New Roman"/>
                <w:color w:val="262626"/>
                <w:sz w:val="18"/>
              </w:rPr>
              <w:t>Luật số 96/2025/QH15 (sửa đổi Luật Các TCTD)</w:t>
            </w:r>
          </w:p>
        </w:tc>
        <w:tc>
          <w:tcPr>
            <w:tcW w:w="2016" w:type="dxa"/>
            <w:tcMar>
              <w:top w:w="70" w:type="dxa"/>
              <w:left w:w="100" w:type="dxa"/>
              <w:bottom w:w="70" w:type="dxa"/>
              <w:right w:w="100" w:type="dxa"/>
            </w:tcMar>
          </w:tcPr>
          <w:p w14:paraId="12DE7188" w14:textId="77777777" w:rsidR="00F67131" w:rsidRDefault="00000000">
            <w:pPr>
              <w:spacing w:before="40" w:after="40" w:line="240" w:lineRule="auto"/>
              <w:jc w:val="both"/>
            </w:pPr>
            <w:r>
              <w:rPr>
                <w:rFonts w:ascii="Times New Roman" w:hAnsi="Times New Roman"/>
                <w:color w:val="262626"/>
                <w:sz w:val="18"/>
              </w:rPr>
              <w:t>Hiệu lực từ 15/10/2025</w:t>
            </w:r>
          </w:p>
        </w:tc>
        <w:tc>
          <w:tcPr>
            <w:tcW w:w="4608" w:type="dxa"/>
            <w:tcMar>
              <w:top w:w="70" w:type="dxa"/>
              <w:left w:w="100" w:type="dxa"/>
              <w:bottom w:w="70" w:type="dxa"/>
              <w:right w:w="100" w:type="dxa"/>
            </w:tcMar>
          </w:tcPr>
          <w:p w14:paraId="7AB619DD" w14:textId="77777777" w:rsidR="00F67131" w:rsidRDefault="00000000">
            <w:pPr>
              <w:spacing w:before="40" w:after="40" w:line="240" w:lineRule="auto"/>
              <w:jc w:val="both"/>
            </w:pPr>
            <w:r>
              <w:rPr>
                <w:rFonts w:ascii="Times New Roman" w:hAnsi="Times New Roman"/>
                <w:color w:val="262626"/>
                <w:sz w:val="18"/>
              </w:rPr>
              <w:t>Luật hóa quyền thu giữ tài sản bảo đảm của khoản nợ xấu (Điều 198a) và xử lý TSBĐ đang bị kê biên, là vật chứng (Điều 198b, 198c).</w:t>
            </w:r>
          </w:p>
        </w:tc>
      </w:tr>
    </w:tbl>
    <w:p w14:paraId="4008BF18"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từ hệ thống văn bản quy phạm pháp luật của Quốc hội, Chính phủ và Ngân hàng Nhà nước Việt Nam giai đoạn 2016–2025.</w:t>
      </w:r>
    </w:p>
    <w:p w14:paraId="2A97CF31" w14:textId="77777777" w:rsidR="00F67131" w:rsidRDefault="00000000">
      <w:pPr>
        <w:spacing w:after="80" w:line="300" w:lineRule="auto"/>
        <w:jc w:val="both"/>
      </w:pPr>
      <w:r>
        <w:rPr>
          <w:rFonts w:ascii="Times New Roman" w:hAnsi="Times New Roman"/>
          <w:b/>
          <w:sz w:val="24"/>
        </w:rPr>
        <w:t xml:space="preserve">Phân tích sự chuyển dịch chu kỳ chính sách pháp lý (2020–2025): </w:t>
      </w:r>
      <w:r>
        <w:rPr>
          <w:rFonts w:ascii="Times New Roman" w:hAnsi="Times New Roman"/>
          <w:sz w:val="24"/>
        </w:rPr>
        <w:t xml:space="preserve">Hệ thống văn bản quy phạm pháp luật tại Bảng 1 phản ánh rõ nét hai giai đoạn điều hành trái ngược của cơ quan quản lý trong giai đoạn 2020–2025: (1) Giai đoạn 2020–2023 là giai đoạn Khoan dung pháp lý (Regulatory Forbearance) ứng phó với cú sốc đại dịch Covid-19 và khủng hoảng thanh khoản trái phiếu doanh nghiệp – bất động sản: Thông tư 01/2020/TT-NHNN (sửa đổi bởi Thông tư 03 và 14/2021) và sau đó là Thông tư 02/2023/TT-NHNN (gia hạn bởi Thông tư 06/2024 đến hết 31/12/2024) cho phép các TCTD cơ cấu lại thời hạn trả nợ và giữ nguyên nhóm nợ, đồng thời phân bổ chi phí trích lập dự phòng bổ sung theo lộ trình nhiều năm (30%–60%–100% đối với nợ cơ cấu Covid; 50% năm 2023 và 100% năm 2024 đối với nợ cơ cấu Thông tư 02). Cơ chế này giúp ngăn chặn cú sốc nhảy nhóm nợ hàng loạt trên hệ thống CIC nhưng tạo ra độ trễ giữa chất lượng tài sản thực tế và tỷ lệ nợ xấu nội bảng; (2) Giai đoạn 2024–2025 đánh dấu bước ngoặt siết kỷ cương pháp lý và chuẩn hóa toàn diện theo thông lệ </w:t>
      </w:r>
      <w:r>
        <w:rPr>
          <w:rFonts w:ascii="Times New Roman" w:hAnsi="Times New Roman"/>
          <w:sz w:val="24"/>
        </w:rPr>
        <w:lastRenderedPageBreak/>
        <w:t>quốc tế: Luật Các tổ chức tín dụng số 32/2024/QH15 (có hiệu lực từ 01/7/2024) đã siết chặt rủi ro tập trung thông qua việc thiết lập lộ trình giảm giới hạn cấp tín dụng tại Điều 136 và Điều 210 (tổng mức cấp tín dụng đối với một khách hàng giảm từ 15% vốn tự có xuống 14% trong giai đoạn 2024–2025 và giảm dần về 10% từ năm 2029; đối với một khách hàng và người có liên quan giảm từ 25% xuống 23% và về 15% từ năm 2029), đồng thời quy định cơ chế đặc thù miễn hợp nhất báo cáo tài chính đối với ngân hàng nhận chuyển giao bắt buộc tại Điều 185 (cơ sở pháp lý trực tiếp để MB không hợp nhất BCTC của MBV/OceanBank). Song song đó, từ ngày 01/7/2024, Thông tư 31/2024/TT-NHNN và Nghị định 86/2024/NĐ-CP chính thức thay thế Thông tư 11/2021/TT-NHNN, tách bạch quy định phân loại nợ (thuộc thẩm quyền NHNN) và quy định trích lập, sử dụng dự phòng xử lý rủi ro (thuộc thẩm quyền Chính phủ). Đặc biệt, sau khi Nghị quyết 42/2017/QH14 hết hiệu lực vào ngày 31/12/2023 gây ra khoảng trống pháp lý làm đình trệ công tác thu giữ tài sản bảo đảm trong gần hai năm 2024–2025, Quốc hội đã ban hành Luật số 96/2025/QH15 (có hiệu lực từ 15/10/2025) bổ sung Điều 198a, 198b và 198c vào Luật Các TCTD, chính thức luật hóa quyền thu giữ tài sản bảo đảm của khoản nợ xấu và tháo gỡ điểm nghẽn phát mại nợ nhóm 5 cho toàn hệ thống ngân hàng.</w:t>
      </w:r>
    </w:p>
    <w:p w14:paraId="1CF44B9E" w14:textId="77777777" w:rsidR="00F67131" w:rsidRDefault="00000000">
      <w:pPr>
        <w:pStyle w:val="Heading2"/>
        <w:spacing w:after="80" w:line="300" w:lineRule="auto"/>
      </w:pPr>
      <w:bookmarkStart w:id="5" w:name="_Toc244090105"/>
      <w:r>
        <w:rPr>
          <w:rFonts w:ascii="Times New Roman" w:hAnsi="Times New Roman"/>
          <w:color w:val="0F4C81"/>
          <w:sz w:val="24"/>
        </w:rPr>
        <w:t>1.4. Thực trạng rủi ro tín dụng toàn hệ thống ngân hàng</w:t>
      </w:r>
      <w:bookmarkEnd w:id="5"/>
    </w:p>
    <w:p w14:paraId="6305A471" w14:textId="77777777" w:rsidR="00F67131" w:rsidRDefault="00000000">
      <w:pPr>
        <w:spacing w:after="80" w:line="300" w:lineRule="auto"/>
        <w:jc w:val="both"/>
      </w:pPr>
      <w:r>
        <w:rPr>
          <w:rFonts w:ascii="Times New Roman" w:hAnsi="Times New Roman"/>
          <w:b/>
        </w:rPr>
        <w:t xml:space="preserve">Bức tranh rủi ro hệ thống và hai mặt bằng thống kê nợ xấu: </w:t>
      </w:r>
      <w:r>
        <w:rPr>
          <w:rFonts w:ascii="Times New Roman" w:hAnsi="Times New Roman"/>
        </w:rPr>
        <w:t>Giai đoạn 2020–2025 ghi nhận sự biến động mạnh của chu kỳ chất lượng tài sản toàn ngành ngân hàng Việt Nam. Khi phân tích số liệu vĩ mô, cần phân biệt rõ hai mặt bằng thống kê: (i) Tỷ lệ nợ xấu nội bảng toàn hệ thống do Ngân hàng Nhà nước (NHNN) công bố tăng từ 1,69% (2020) và 1,49% (2021) lên 2,03% (2022), sau đó vọt lên 4,55% (cuối 2023), 4,35% (2024) và 4,15% (2025) do từ năm 2023 số liệu thống kê bao gồm cả 5 ngân hàng thương mại thuộc diện kiểm soát đặc biệt/chuyển giao bắt buộc (SCB, CBBank, OceanBank, GPBank, DongABank); (ii) Nếu tách riêng nhóm các NHTM hoạt động bình thường (loại trừ các ngân hàng kiểm soát đặc biệt), mặt bằng nợ xấu nội bảng chỉ dao động trong khoảng 1,35%–1,93% (năm 2023: 1,93%; năm 2024: 1,69%; năm 2025: 1,85%). Bên cạnh đó, tỷ lệ nợ nhóm 2 của hệ thống đạt đỉnh 2,10% năm 2023 trước khi hạ nhiệt về 1,35% năm 2025; dư nợ cơ cấu giữ nguyên nhóm nợ theo Thông tư 02/2023/TT-NHNN đạt 183,5 nghìn tỷ đồng cuối năm 2023, giảm về 126,4 nghìn tỷ đồng năm 2024 và chấm dứt hiệu lực vào cuối năm 2024. Nếu tính toàn diện tỷ lệ nợ xấu gộp (bao gồm nợ xấu nội bảng, nợ xấu bán cho VAMC chưa xử lý được và nợ cơ cấu tiềm ẩn theo công bố của NHNN và Hiệp hội Ngân hàng Việt Nam – VNBA), tỷ lệ này đã tăng từ 3,81% (2020) lên đỉnh 6,10% (2023), trước khi giảm về 5,46% (2024) và 4,95% (2025).</w:t>
      </w:r>
    </w:p>
    <w:p w14:paraId="6A827E28" w14:textId="77777777" w:rsidR="00F67131" w:rsidRDefault="00000000">
      <w:pPr>
        <w:spacing w:before="120" w:after="60" w:line="300" w:lineRule="auto"/>
      </w:pPr>
      <w:r>
        <w:rPr>
          <w:rFonts w:ascii="Times New Roman" w:hAnsi="Times New Roman"/>
          <w:b/>
          <w:color w:val="1B365D"/>
          <w:sz w:val="20"/>
        </w:rPr>
        <w:t>Bảng 2. Diễn biến nợ xấu và nợ tiềm ẩn toàn hệ thống ngân hàng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26"/>
        <w:gridCol w:w="991"/>
        <w:gridCol w:w="991"/>
        <w:gridCol w:w="991"/>
        <w:gridCol w:w="991"/>
        <w:gridCol w:w="991"/>
        <w:gridCol w:w="991"/>
      </w:tblGrid>
      <w:tr w:rsidR="00F67131" w14:paraId="6D56F1D4" w14:textId="77777777">
        <w:trPr>
          <w:jc w:val="center"/>
          <w:cantSplit/>
          <w:tblHeader/>
        </w:trPr>
        <w:tc>
          <w:tcPr>
            <w:tcW w:w="3456" w:type="dxa"/>
            <w:shd w:val="clear" w:color="auto" w:fill="1B365D"/>
            <w:tcMar>
              <w:top w:w="70" w:type="dxa"/>
              <w:left w:w="100" w:type="dxa"/>
              <w:bottom w:w="70" w:type="dxa"/>
              <w:right w:w="100" w:type="dxa"/>
            </w:tcMar>
          </w:tcPr>
          <w:p w14:paraId="2B2EAF15" w14:textId="77777777" w:rsidR="00F67131" w:rsidRDefault="00000000">
            <w:pPr>
              <w:spacing w:before="40" w:after="40" w:line="240" w:lineRule="auto"/>
              <w:jc w:val="both"/>
            </w:pPr>
            <w:r>
              <w:rPr>
                <w:rFonts w:ascii="Times New Roman" w:hAnsi="Times New Roman"/>
                <w:color w:val="FFFFFF"/>
                <w:sz w:val="19"/>
              </w:rPr>
              <w:t>Chỉ tiêu toàn hệ thống ngân hàng (%, nghìn tỷ đồng)</w:t>
            </w:r>
          </w:p>
        </w:tc>
        <w:tc>
          <w:tcPr>
            <w:tcW w:w="1008" w:type="dxa"/>
            <w:shd w:val="clear" w:color="auto" w:fill="1B365D"/>
            <w:tcMar>
              <w:top w:w="70" w:type="dxa"/>
              <w:left w:w="100" w:type="dxa"/>
              <w:bottom w:w="70" w:type="dxa"/>
              <w:right w:w="100" w:type="dxa"/>
            </w:tcMar>
          </w:tcPr>
          <w:p w14:paraId="38FF7758" w14:textId="77777777" w:rsidR="00F67131" w:rsidRDefault="00000000">
            <w:pPr>
              <w:spacing w:before="40" w:after="40" w:line="240" w:lineRule="auto"/>
              <w:jc w:val="both"/>
            </w:pPr>
            <w:r>
              <w:rPr>
                <w:rFonts w:ascii="Times New Roman" w:hAnsi="Times New Roman"/>
                <w:color w:val="FFFFFF"/>
                <w:sz w:val="19"/>
              </w:rPr>
              <w:t>2020</w:t>
            </w:r>
          </w:p>
        </w:tc>
        <w:tc>
          <w:tcPr>
            <w:tcW w:w="1008" w:type="dxa"/>
            <w:shd w:val="clear" w:color="auto" w:fill="1B365D"/>
            <w:tcMar>
              <w:top w:w="70" w:type="dxa"/>
              <w:left w:w="100" w:type="dxa"/>
              <w:bottom w:w="70" w:type="dxa"/>
              <w:right w:w="100" w:type="dxa"/>
            </w:tcMar>
          </w:tcPr>
          <w:p w14:paraId="3B924615" w14:textId="77777777" w:rsidR="00F67131" w:rsidRDefault="00000000">
            <w:pPr>
              <w:spacing w:before="40" w:after="40" w:line="240" w:lineRule="auto"/>
              <w:jc w:val="both"/>
            </w:pPr>
            <w:r>
              <w:rPr>
                <w:rFonts w:ascii="Times New Roman" w:hAnsi="Times New Roman"/>
                <w:color w:val="FFFFFF"/>
                <w:sz w:val="19"/>
              </w:rPr>
              <w:t>2021</w:t>
            </w:r>
          </w:p>
        </w:tc>
        <w:tc>
          <w:tcPr>
            <w:tcW w:w="1008" w:type="dxa"/>
            <w:shd w:val="clear" w:color="auto" w:fill="1B365D"/>
            <w:tcMar>
              <w:top w:w="70" w:type="dxa"/>
              <w:left w:w="100" w:type="dxa"/>
              <w:bottom w:w="70" w:type="dxa"/>
              <w:right w:w="100" w:type="dxa"/>
            </w:tcMar>
          </w:tcPr>
          <w:p w14:paraId="759768AB" w14:textId="77777777" w:rsidR="00F67131" w:rsidRDefault="00000000">
            <w:pPr>
              <w:spacing w:before="40" w:after="40" w:line="240" w:lineRule="auto"/>
              <w:jc w:val="both"/>
            </w:pPr>
            <w:r>
              <w:rPr>
                <w:rFonts w:ascii="Times New Roman" w:hAnsi="Times New Roman"/>
                <w:color w:val="FFFFFF"/>
                <w:sz w:val="19"/>
              </w:rPr>
              <w:t>2022</w:t>
            </w:r>
          </w:p>
        </w:tc>
        <w:tc>
          <w:tcPr>
            <w:tcW w:w="1008" w:type="dxa"/>
            <w:shd w:val="clear" w:color="auto" w:fill="1B365D"/>
            <w:tcMar>
              <w:top w:w="70" w:type="dxa"/>
              <w:left w:w="100" w:type="dxa"/>
              <w:bottom w:w="70" w:type="dxa"/>
              <w:right w:w="100" w:type="dxa"/>
            </w:tcMar>
          </w:tcPr>
          <w:p w14:paraId="4C976E8B" w14:textId="77777777" w:rsidR="00F67131" w:rsidRDefault="00000000">
            <w:pPr>
              <w:spacing w:before="40" w:after="40" w:line="240" w:lineRule="auto"/>
              <w:jc w:val="both"/>
            </w:pPr>
            <w:r>
              <w:rPr>
                <w:rFonts w:ascii="Times New Roman" w:hAnsi="Times New Roman"/>
                <w:color w:val="FFFFFF"/>
                <w:sz w:val="19"/>
              </w:rPr>
              <w:t>2023</w:t>
            </w:r>
          </w:p>
        </w:tc>
        <w:tc>
          <w:tcPr>
            <w:tcW w:w="1008" w:type="dxa"/>
            <w:shd w:val="clear" w:color="auto" w:fill="1B365D"/>
            <w:tcMar>
              <w:top w:w="70" w:type="dxa"/>
              <w:left w:w="100" w:type="dxa"/>
              <w:bottom w:w="70" w:type="dxa"/>
              <w:right w:w="100" w:type="dxa"/>
            </w:tcMar>
          </w:tcPr>
          <w:p w14:paraId="68789F3D" w14:textId="77777777" w:rsidR="00F67131" w:rsidRDefault="00000000">
            <w:pPr>
              <w:spacing w:before="40" w:after="40" w:line="240" w:lineRule="auto"/>
              <w:jc w:val="both"/>
            </w:pPr>
            <w:r>
              <w:rPr>
                <w:rFonts w:ascii="Times New Roman" w:hAnsi="Times New Roman"/>
                <w:color w:val="FFFFFF"/>
                <w:sz w:val="19"/>
              </w:rPr>
              <w:t>2024</w:t>
            </w:r>
          </w:p>
        </w:tc>
        <w:tc>
          <w:tcPr>
            <w:tcW w:w="1008" w:type="dxa"/>
            <w:shd w:val="clear" w:color="auto" w:fill="1B365D"/>
            <w:tcMar>
              <w:top w:w="70" w:type="dxa"/>
              <w:left w:w="100" w:type="dxa"/>
              <w:bottom w:w="70" w:type="dxa"/>
              <w:right w:w="100" w:type="dxa"/>
            </w:tcMar>
          </w:tcPr>
          <w:p w14:paraId="7681D1B5" w14:textId="77777777" w:rsidR="00F67131" w:rsidRDefault="00000000">
            <w:pPr>
              <w:spacing w:before="40" w:after="40" w:line="240" w:lineRule="auto"/>
              <w:jc w:val="both"/>
            </w:pPr>
            <w:r>
              <w:rPr>
                <w:rFonts w:ascii="Times New Roman" w:hAnsi="Times New Roman"/>
                <w:color w:val="FFFFFF"/>
                <w:sz w:val="19"/>
              </w:rPr>
              <w:t>2025</w:t>
            </w:r>
          </w:p>
        </w:tc>
      </w:tr>
      <w:tr w:rsidR="00F67131" w14:paraId="23AD1CC6" w14:textId="77777777">
        <w:trPr>
          <w:jc w:val="center"/>
          <w:cantSplit/>
        </w:trPr>
        <w:tc>
          <w:tcPr>
            <w:tcW w:w="3456" w:type="dxa"/>
            <w:tcMar>
              <w:top w:w="70" w:type="dxa"/>
              <w:left w:w="100" w:type="dxa"/>
              <w:bottom w:w="70" w:type="dxa"/>
              <w:right w:w="100" w:type="dxa"/>
            </w:tcMar>
          </w:tcPr>
          <w:p w14:paraId="3B885391" w14:textId="77777777" w:rsidR="00F67131" w:rsidRDefault="00000000">
            <w:pPr>
              <w:spacing w:before="40" w:after="40" w:line="240" w:lineRule="auto"/>
              <w:jc w:val="both"/>
            </w:pPr>
            <w:r>
              <w:rPr>
                <w:rFonts w:ascii="Times New Roman" w:hAnsi="Times New Roman"/>
                <w:color w:val="262626"/>
                <w:sz w:val="18"/>
              </w:rPr>
              <w:t>NPL nội bảng toàn hệ thống (NHNN công bố, gồm NH kiểm soát đặc biệt)</w:t>
            </w:r>
          </w:p>
        </w:tc>
        <w:tc>
          <w:tcPr>
            <w:tcW w:w="1008" w:type="dxa"/>
            <w:tcMar>
              <w:top w:w="70" w:type="dxa"/>
              <w:left w:w="100" w:type="dxa"/>
              <w:bottom w:w="70" w:type="dxa"/>
              <w:right w:w="100" w:type="dxa"/>
            </w:tcMar>
          </w:tcPr>
          <w:p w14:paraId="77FABDC2" w14:textId="77777777" w:rsidR="00F67131" w:rsidRDefault="00000000">
            <w:pPr>
              <w:spacing w:before="40" w:after="40" w:line="240" w:lineRule="auto"/>
              <w:jc w:val="both"/>
            </w:pPr>
            <w:r>
              <w:rPr>
                <w:rFonts w:ascii="Times New Roman" w:hAnsi="Times New Roman"/>
                <w:color w:val="262626"/>
                <w:sz w:val="18"/>
              </w:rPr>
              <w:t>1,69%</w:t>
            </w:r>
          </w:p>
        </w:tc>
        <w:tc>
          <w:tcPr>
            <w:tcW w:w="1008" w:type="dxa"/>
            <w:tcMar>
              <w:top w:w="70" w:type="dxa"/>
              <w:left w:w="100" w:type="dxa"/>
              <w:bottom w:w="70" w:type="dxa"/>
              <w:right w:w="100" w:type="dxa"/>
            </w:tcMar>
          </w:tcPr>
          <w:p w14:paraId="694EC4BE" w14:textId="77777777" w:rsidR="00F67131" w:rsidRDefault="00000000">
            <w:pPr>
              <w:spacing w:before="40" w:after="40" w:line="240" w:lineRule="auto"/>
              <w:jc w:val="both"/>
            </w:pPr>
            <w:r>
              <w:rPr>
                <w:rFonts w:ascii="Times New Roman" w:hAnsi="Times New Roman"/>
                <w:color w:val="262626"/>
                <w:sz w:val="18"/>
              </w:rPr>
              <w:t>1,49%</w:t>
            </w:r>
          </w:p>
        </w:tc>
        <w:tc>
          <w:tcPr>
            <w:tcW w:w="1008" w:type="dxa"/>
            <w:tcMar>
              <w:top w:w="70" w:type="dxa"/>
              <w:left w:w="100" w:type="dxa"/>
              <w:bottom w:w="70" w:type="dxa"/>
              <w:right w:w="100" w:type="dxa"/>
            </w:tcMar>
          </w:tcPr>
          <w:p w14:paraId="0DDEA43D" w14:textId="77777777" w:rsidR="00F67131" w:rsidRDefault="00000000">
            <w:pPr>
              <w:spacing w:before="40" w:after="40" w:line="240" w:lineRule="auto"/>
              <w:jc w:val="both"/>
            </w:pPr>
            <w:r>
              <w:rPr>
                <w:rFonts w:ascii="Times New Roman" w:hAnsi="Times New Roman"/>
                <w:color w:val="262626"/>
                <w:sz w:val="18"/>
              </w:rPr>
              <w:t>2,03%</w:t>
            </w:r>
          </w:p>
        </w:tc>
        <w:tc>
          <w:tcPr>
            <w:tcW w:w="1008" w:type="dxa"/>
            <w:tcMar>
              <w:top w:w="70" w:type="dxa"/>
              <w:left w:w="100" w:type="dxa"/>
              <w:bottom w:w="70" w:type="dxa"/>
              <w:right w:w="100" w:type="dxa"/>
            </w:tcMar>
          </w:tcPr>
          <w:p w14:paraId="314F6B43" w14:textId="77777777" w:rsidR="00F67131" w:rsidRDefault="00000000">
            <w:pPr>
              <w:spacing w:before="40" w:after="40" w:line="240" w:lineRule="auto"/>
              <w:jc w:val="both"/>
            </w:pPr>
            <w:r>
              <w:rPr>
                <w:rFonts w:ascii="Times New Roman" w:hAnsi="Times New Roman"/>
                <w:color w:val="262626"/>
                <w:sz w:val="18"/>
              </w:rPr>
              <w:t>4,55%</w:t>
            </w:r>
          </w:p>
        </w:tc>
        <w:tc>
          <w:tcPr>
            <w:tcW w:w="1008" w:type="dxa"/>
            <w:tcMar>
              <w:top w:w="70" w:type="dxa"/>
              <w:left w:w="100" w:type="dxa"/>
              <w:bottom w:w="70" w:type="dxa"/>
              <w:right w:w="100" w:type="dxa"/>
            </w:tcMar>
          </w:tcPr>
          <w:p w14:paraId="4ED2BE88" w14:textId="77777777" w:rsidR="00F67131" w:rsidRDefault="00000000">
            <w:pPr>
              <w:spacing w:before="40" w:after="40" w:line="240" w:lineRule="auto"/>
              <w:jc w:val="both"/>
            </w:pPr>
            <w:r>
              <w:rPr>
                <w:rFonts w:ascii="Times New Roman" w:hAnsi="Times New Roman"/>
                <w:color w:val="262626"/>
                <w:sz w:val="18"/>
              </w:rPr>
              <w:t>4,35%</w:t>
            </w:r>
          </w:p>
        </w:tc>
        <w:tc>
          <w:tcPr>
            <w:tcW w:w="1008" w:type="dxa"/>
            <w:tcMar>
              <w:top w:w="70" w:type="dxa"/>
              <w:left w:w="100" w:type="dxa"/>
              <w:bottom w:w="70" w:type="dxa"/>
              <w:right w:w="100" w:type="dxa"/>
            </w:tcMar>
          </w:tcPr>
          <w:p w14:paraId="05E45568" w14:textId="77777777" w:rsidR="00F67131" w:rsidRDefault="00000000">
            <w:pPr>
              <w:spacing w:before="40" w:after="40" w:line="240" w:lineRule="auto"/>
              <w:jc w:val="both"/>
            </w:pPr>
            <w:r>
              <w:rPr>
                <w:rFonts w:ascii="Times New Roman" w:hAnsi="Times New Roman"/>
                <w:color w:val="262626"/>
                <w:sz w:val="18"/>
              </w:rPr>
              <w:t>4,15%</w:t>
            </w:r>
          </w:p>
        </w:tc>
      </w:tr>
      <w:tr w:rsidR="00F67131" w14:paraId="0A86C487" w14:textId="77777777">
        <w:trPr>
          <w:jc w:val="center"/>
          <w:cantSplit/>
        </w:trPr>
        <w:tc>
          <w:tcPr>
            <w:tcW w:w="3456" w:type="dxa"/>
            <w:tcMar>
              <w:top w:w="70" w:type="dxa"/>
              <w:left w:w="100" w:type="dxa"/>
              <w:bottom w:w="70" w:type="dxa"/>
              <w:right w:w="100" w:type="dxa"/>
            </w:tcMar>
          </w:tcPr>
          <w:p w14:paraId="43358EED" w14:textId="77777777" w:rsidR="00F67131" w:rsidRDefault="00000000">
            <w:pPr>
              <w:spacing w:before="40" w:after="40" w:line="240" w:lineRule="auto"/>
              <w:jc w:val="both"/>
            </w:pPr>
            <w:r>
              <w:rPr>
                <w:rFonts w:ascii="Times New Roman" w:hAnsi="Times New Roman"/>
                <w:color w:val="262626"/>
                <w:sz w:val="18"/>
              </w:rPr>
              <w:lastRenderedPageBreak/>
              <w:t>NPL nội bảng các NHTM hoạt động bình thường (loại trừ 5 NH KSĐB)</w:t>
            </w:r>
          </w:p>
        </w:tc>
        <w:tc>
          <w:tcPr>
            <w:tcW w:w="1008" w:type="dxa"/>
            <w:tcMar>
              <w:top w:w="70" w:type="dxa"/>
              <w:left w:w="100" w:type="dxa"/>
              <w:bottom w:w="70" w:type="dxa"/>
              <w:right w:w="100" w:type="dxa"/>
            </w:tcMar>
          </w:tcPr>
          <w:p w14:paraId="78B9005F" w14:textId="77777777" w:rsidR="00F67131" w:rsidRDefault="00000000">
            <w:pPr>
              <w:spacing w:before="40" w:after="40" w:line="240" w:lineRule="auto"/>
              <w:jc w:val="both"/>
            </w:pPr>
            <w:r>
              <w:rPr>
                <w:rFonts w:ascii="Times New Roman" w:hAnsi="Times New Roman"/>
                <w:color w:val="262626"/>
                <w:sz w:val="18"/>
              </w:rPr>
              <w:t>1,45%</w:t>
            </w:r>
          </w:p>
        </w:tc>
        <w:tc>
          <w:tcPr>
            <w:tcW w:w="1008" w:type="dxa"/>
            <w:tcMar>
              <w:top w:w="70" w:type="dxa"/>
              <w:left w:w="100" w:type="dxa"/>
              <w:bottom w:w="70" w:type="dxa"/>
              <w:right w:w="100" w:type="dxa"/>
            </w:tcMar>
          </w:tcPr>
          <w:p w14:paraId="6C503A64" w14:textId="77777777" w:rsidR="00F67131" w:rsidRDefault="00000000">
            <w:pPr>
              <w:spacing w:before="40" w:after="40" w:line="240" w:lineRule="auto"/>
              <w:jc w:val="both"/>
            </w:pPr>
            <w:r>
              <w:rPr>
                <w:rFonts w:ascii="Times New Roman" w:hAnsi="Times New Roman"/>
                <w:color w:val="262626"/>
                <w:sz w:val="18"/>
              </w:rPr>
              <w:t>1,35%</w:t>
            </w:r>
          </w:p>
        </w:tc>
        <w:tc>
          <w:tcPr>
            <w:tcW w:w="1008" w:type="dxa"/>
            <w:tcMar>
              <w:top w:w="70" w:type="dxa"/>
              <w:left w:w="100" w:type="dxa"/>
              <w:bottom w:w="70" w:type="dxa"/>
              <w:right w:w="100" w:type="dxa"/>
            </w:tcMar>
          </w:tcPr>
          <w:p w14:paraId="5CDCEE29" w14:textId="77777777" w:rsidR="00F67131" w:rsidRDefault="00000000">
            <w:pPr>
              <w:spacing w:before="40" w:after="40" w:line="240" w:lineRule="auto"/>
              <w:jc w:val="both"/>
            </w:pPr>
            <w:r>
              <w:rPr>
                <w:rFonts w:ascii="Times New Roman" w:hAnsi="Times New Roman"/>
                <w:color w:val="262626"/>
                <w:sz w:val="18"/>
              </w:rPr>
              <w:t>1,92%</w:t>
            </w:r>
          </w:p>
        </w:tc>
        <w:tc>
          <w:tcPr>
            <w:tcW w:w="1008" w:type="dxa"/>
            <w:tcMar>
              <w:top w:w="70" w:type="dxa"/>
              <w:left w:w="100" w:type="dxa"/>
              <w:bottom w:w="70" w:type="dxa"/>
              <w:right w:w="100" w:type="dxa"/>
            </w:tcMar>
          </w:tcPr>
          <w:p w14:paraId="22A98106" w14:textId="77777777" w:rsidR="00F67131" w:rsidRDefault="00000000">
            <w:pPr>
              <w:spacing w:before="40" w:after="40" w:line="240" w:lineRule="auto"/>
              <w:jc w:val="both"/>
            </w:pPr>
            <w:r>
              <w:rPr>
                <w:rFonts w:ascii="Times New Roman" w:hAnsi="Times New Roman"/>
                <w:color w:val="262626"/>
                <w:sz w:val="18"/>
              </w:rPr>
              <w:t>1,93%</w:t>
            </w:r>
          </w:p>
        </w:tc>
        <w:tc>
          <w:tcPr>
            <w:tcW w:w="1008" w:type="dxa"/>
            <w:tcMar>
              <w:top w:w="70" w:type="dxa"/>
              <w:left w:w="100" w:type="dxa"/>
              <w:bottom w:w="70" w:type="dxa"/>
              <w:right w:w="100" w:type="dxa"/>
            </w:tcMar>
          </w:tcPr>
          <w:p w14:paraId="5BC78CC2" w14:textId="77777777" w:rsidR="00F67131" w:rsidRDefault="00000000">
            <w:pPr>
              <w:spacing w:before="40" w:after="40" w:line="240" w:lineRule="auto"/>
              <w:jc w:val="both"/>
            </w:pPr>
            <w:r>
              <w:rPr>
                <w:rFonts w:ascii="Times New Roman" w:hAnsi="Times New Roman"/>
                <w:color w:val="262626"/>
                <w:sz w:val="18"/>
              </w:rPr>
              <w:t>1,69%</w:t>
            </w:r>
          </w:p>
        </w:tc>
        <w:tc>
          <w:tcPr>
            <w:tcW w:w="1008" w:type="dxa"/>
            <w:tcMar>
              <w:top w:w="70" w:type="dxa"/>
              <w:left w:w="100" w:type="dxa"/>
              <w:bottom w:w="70" w:type="dxa"/>
              <w:right w:w="100" w:type="dxa"/>
            </w:tcMar>
          </w:tcPr>
          <w:p w14:paraId="116FD68E" w14:textId="77777777" w:rsidR="00F67131" w:rsidRDefault="00000000">
            <w:pPr>
              <w:spacing w:before="40" w:after="40" w:line="240" w:lineRule="auto"/>
              <w:jc w:val="both"/>
            </w:pPr>
            <w:r>
              <w:rPr>
                <w:rFonts w:ascii="Times New Roman" w:hAnsi="Times New Roman"/>
                <w:color w:val="262626"/>
                <w:sz w:val="18"/>
              </w:rPr>
              <w:t>1,85%</w:t>
            </w:r>
          </w:p>
        </w:tc>
      </w:tr>
      <w:tr w:rsidR="00F67131" w14:paraId="1FCC845F" w14:textId="77777777">
        <w:trPr>
          <w:jc w:val="center"/>
          <w:cantSplit/>
        </w:trPr>
        <w:tc>
          <w:tcPr>
            <w:tcW w:w="3456" w:type="dxa"/>
            <w:tcMar>
              <w:top w:w="70" w:type="dxa"/>
              <w:left w:w="100" w:type="dxa"/>
              <w:bottom w:w="70" w:type="dxa"/>
              <w:right w:w="100" w:type="dxa"/>
            </w:tcMar>
          </w:tcPr>
          <w:p w14:paraId="6F2E38B2" w14:textId="77777777" w:rsidR="00F67131" w:rsidRDefault="00000000">
            <w:pPr>
              <w:spacing w:before="40" w:after="40" w:line="240" w:lineRule="auto"/>
              <w:jc w:val="both"/>
            </w:pPr>
            <w:r>
              <w:rPr>
                <w:rFonts w:ascii="Times New Roman" w:hAnsi="Times New Roman"/>
                <w:color w:val="262626"/>
                <w:sz w:val="18"/>
              </w:rPr>
              <w:t>Tỷ lệ nợ nhóm 2 / Tổng dư nợ (NHTM niêm yết &amp; hệ thống)</w:t>
            </w:r>
          </w:p>
        </w:tc>
        <w:tc>
          <w:tcPr>
            <w:tcW w:w="1008" w:type="dxa"/>
            <w:tcMar>
              <w:top w:w="70" w:type="dxa"/>
              <w:left w:w="100" w:type="dxa"/>
              <w:bottom w:w="70" w:type="dxa"/>
              <w:right w:w="100" w:type="dxa"/>
            </w:tcMar>
          </w:tcPr>
          <w:p w14:paraId="5B41F3B5" w14:textId="77777777" w:rsidR="00F67131" w:rsidRDefault="00000000">
            <w:pPr>
              <w:spacing w:before="40" w:after="40" w:line="240" w:lineRule="auto"/>
              <w:jc w:val="both"/>
            </w:pPr>
            <w:r>
              <w:rPr>
                <w:rFonts w:ascii="Times New Roman" w:hAnsi="Times New Roman"/>
                <w:color w:val="262626"/>
                <w:sz w:val="18"/>
              </w:rPr>
              <w:t>1,52%</w:t>
            </w:r>
          </w:p>
        </w:tc>
        <w:tc>
          <w:tcPr>
            <w:tcW w:w="1008" w:type="dxa"/>
            <w:tcMar>
              <w:top w:w="70" w:type="dxa"/>
              <w:left w:w="100" w:type="dxa"/>
              <w:bottom w:w="70" w:type="dxa"/>
              <w:right w:w="100" w:type="dxa"/>
            </w:tcMar>
          </w:tcPr>
          <w:p w14:paraId="0C2F4817" w14:textId="77777777" w:rsidR="00F67131" w:rsidRDefault="00000000">
            <w:pPr>
              <w:spacing w:before="40" w:after="40" w:line="240" w:lineRule="auto"/>
              <w:jc w:val="both"/>
            </w:pPr>
            <w:r>
              <w:rPr>
                <w:rFonts w:ascii="Times New Roman" w:hAnsi="Times New Roman"/>
                <w:color w:val="262626"/>
                <w:sz w:val="18"/>
              </w:rPr>
              <w:t>1,38%</w:t>
            </w:r>
          </w:p>
        </w:tc>
        <w:tc>
          <w:tcPr>
            <w:tcW w:w="1008" w:type="dxa"/>
            <w:tcMar>
              <w:top w:w="70" w:type="dxa"/>
              <w:left w:w="100" w:type="dxa"/>
              <w:bottom w:w="70" w:type="dxa"/>
              <w:right w:w="100" w:type="dxa"/>
            </w:tcMar>
          </w:tcPr>
          <w:p w14:paraId="0CED4BF6" w14:textId="77777777" w:rsidR="00F67131" w:rsidRDefault="00000000">
            <w:pPr>
              <w:spacing w:before="40" w:after="40" w:line="240" w:lineRule="auto"/>
              <w:jc w:val="both"/>
            </w:pPr>
            <w:r>
              <w:rPr>
                <w:rFonts w:ascii="Times New Roman" w:hAnsi="Times New Roman"/>
                <w:color w:val="262626"/>
                <w:sz w:val="18"/>
              </w:rPr>
              <w:t>1,65%</w:t>
            </w:r>
          </w:p>
        </w:tc>
        <w:tc>
          <w:tcPr>
            <w:tcW w:w="1008" w:type="dxa"/>
            <w:tcMar>
              <w:top w:w="70" w:type="dxa"/>
              <w:left w:w="100" w:type="dxa"/>
              <w:bottom w:w="70" w:type="dxa"/>
              <w:right w:w="100" w:type="dxa"/>
            </w:tcMar>
          </w:tcPr>
          <w:p w14:paraId="0687D94A" w14:textId="77777777" w:rsidR="00F67131" w:rsidRDefault="00000000">
            <w:pPr>
              <w:spacing w:before="40" w:after="40" w:line="240" w:lineRule="auto"/>
              <w:jc w:val="both"/>
            </w:pPr>
            <w:r>
              <w:rPr>
                <w:rFonts w:ascii="Times New Roman" w:hAnsi="Times New Roman"/>
                <w:color w:val="262626"/>
                <w:sz w:val="18"/>
              </w:rPr>
              <w:t>2,10%</w:t>
            </w:r>
          </w:p>
        </w:tc>
        <w:tc>
          <w:tcPr>
            <w:tcW w:w="1008" w:type="dxa"/>
            <w:tcMar>
              <w:top w:w="70" w:type="dxa"/>
              <w:left w:w="100" w:type="dxa"/>
              <w:bottom w:w="70" w:type="dxa"/>
              <w:right w:w="100" w:type="dxa"/>
            </w:tcMar>
          </w:tcPr>
          <w:p w14:paraId="24A792D9" w14:textId="77777777" w:rsidR="00F67131" w:rsidRDefault="00000000">
            <w:pPr>
              <w:spacing w:before="40" w:after="40" w:line="240" w:lineRule="auto"/>
              <w:jc w:val="both"/>
            </w:pPr>
            <w:r>
              <w:rPr>
                <w:rFonts w:ascii="Times New Roman" w:hAnsi="Times New Roman"/>
                <w:color w:val="262626"/>
                <w:sz w:val="18"/>
              </w:rPr>
              <w:t>1,90%</w:t>
            </w:r>
          </w:p>
        </w:tc>
        <w:tc>
          <w:tcPr>
            <w:tcW w:w="1008" w:type="dxa"/>
            <w:tcMar>
              <w:top w:w="70" w:type="dxa"/>
              <w:left w:w="100" w:type="dxa"/>
              <w:bottom w:w="70" w:type="dxa"/>
              <w:right w:w="100" w:type="dxa"/>
            </w:tcMar>
          </w:tcPr>
          <w:p w14:paraId="4BB953B1" w14:textId="77777777" w:rsidR="00F67131" w:rsidRDefault="00000000">
            <w:pPr>
              <w:spacing w:before="40" w:after="40" w:line="240" w:lineRule="auto"/>
              <w:jc w:val="both"/>
            </w:pPr>
            <w:r>
              <w:rPr>
                <w:rFonts w:ascii="Times New Roman" w:hAnsi="Times New Roman"/>
                <w:color w:val="262626"/>
                <w:sz w:val="18"/>
              </w:rPr>
              <w:t>1,35%</w:t>
            </w:r>
          </w:p>
        </w:tc>
      </w:tr>
      <w:tr w:rsidR="00F67131" w14:paraId="51C8EB8B" w14:textId="77777777">
        <w:trPr>
          <w:jc w:val="center"/>
          <w:cantSplit/>
        </w:trPr>
        <w:tc>
          <w:tcPr>
            <w:tcW w:w="3456" w:type="dxa"/>
            <w:tcMar>
              <w:top w:w="70" w:type="dxa"/>
              <w:left w:w="100" w:type="dxa"/>
              <w:bottom w:w="70" w:type="dxa"/>
              <w:right w:w="100" w:type="dxa"/>
            </w:tcMar>
          </w:tcPr>
          <w:p w14:paraId="03FEE68A" w14:textId="77777777" w:rsidR="00F67131" w:rsidRDefault="00000000">
            <w:pPr>
              <w:spacing w:before="40" w:after="40" w:line="240" w:lineRule="auto"/>
              <w:jc w:val="both"/>
            </w:pPr>
            <w:r>
              <w:rPr>
                <w:rFonts w:ascii="Times New Roman" w:hAnsi="Times New Roman"/>
                <w:color w:val="262626"/>
                <w:sz w:val="18"/>
              </w:rPr>
              <w:t>Dư nợ cơ cấu giữ nguyên nhóm nợ theo TT 02/2023 (nghìn tỷ đồng)</w:t>
            </w:r>
          </w:p>
        </w:tc>
        <w:tc>
          <w:tcPr>
            <w:tcW w:w="1008" w:type="dxa"/>
            <w:tcMar>
              <w:top w:w="70" w:type="dxa"/>
              <w:left w:w="100" w:type="dxa"/>
              <w:bottom w:w="70" w:type="dxa"/>
              <w:right w:w="100" w:type="dxa"/>
            </w:tcMar>
          </w:tcPr>
          <w:p w14:paraId="64DEEE2F" w14:textId="77777777" w:rsidR="00F67131" w:rsidRDefault="00000000">
            <w:pPr>
              <w:spacing w:before="40" w:after="40" w:line="240" w:lineRule="auto"/>
              <w:jc w:val="both"/>
            </w:pPr>
            <w:r>
              <w:rPr>
                <w:rFonts w:ascii="Times New Roman" w:hAnsi="Times New Roman"/>
                <w:color w:val="262626"/>
                <w:sz w:val="18"/>
              </w:rPr>
              <w:t>0</w:t>
            </w:r>
          </w:p>
        </w:tc>
        <w:tc>
          <w:tcPr>
            <w:tcW w:w="1008" w:type="dxa"/>
            <w:tcMar>
              <w:top w:w="70" w:type="dxa"/>
              <w:left w:w="100" w:type="dxa"/>
              <w:bottom w:w="70" w:type="dxa"/>
              <w:right w:w="100" w:type="dxa"/>
            </w:tcMar>
          </w:tcPr>
          <w:p w14:paraId="576467CD" w14:textId="77777777" w:rsidR="00F67131" w:rsidRDefault="00000000">
            <w:pPr>
              <w:spacing w:before="40" w:after="40" w:line="240" w:lineRule="auto"/>
              <w:jc w:val="both"/>
            </w:pPr>
            <w:r>
              <w:rPr>
                <w:rFonts w:ascii="Times New Roman" w:hAnsi="Times New Roman"/>
                <w:color w:val="262626"/>
                <w:sz w:val="18"/>
              </w:rPr>
              <w:t>0</w:t>
            </w:r>
          </w:p>
        </w:tc>
        <w:tc>
          <w:tcPr>
            <w:tcW w:w="1008" w:type="dxa"/>
            <w:tcMar>
              <w:top w:w="70" w:type="dxa"/>
              <w:left w:w="100" w:type="dxa"/>
              <w:bottom w:w="70" w:type="dxa"/>
              <w:right w:w="100" w:type="dxa"/>
            </w:tcMar>
          </w:tcPr>
          <w:p w14:paraId="41EEFE70" w14:textId="77777777" w:rsidR="00F67131" w:rsidRDefault="00000000">
            <w:pPr>
              <w:spacing w:before="40" w:after="40" w:line="240" w:lineRule="auto"/>
              <w:jc w:val="both"/>
            </w:pPr>
            <w:r>
              <w:rPr>
                <w:rFonts w:ascii="Times New Roman" w:hAnsi="Times New Roman"/>
                <w:color w:val="262626"/>
                <w:sz w:val="18"/>
              </w:rPr>
              <w:t>0</w:t>
            </w:r>
          </w:p>
        </w:tc>
        <w:tc>
          <w:tcPr>
            <w:tcW w:w="1008" w:type="dxa"/>
            <w:tcMar>
              <w:top w:w="70" w:type="dxa"/>
              <w:left w:w="100" w:type="dxa"/>
              <w:bottom w:w="70" w:type="dxa"/>
              <w:right w:w="100" w:type="dxa"/>
            </w:tcMar>
          </w:tcPr>
          <w:p w14:paraId="08A3D5CC" w14:textId="77777777" w:rsidR="00F67131" w:rsidRDefault="00000000">
            <w:pPr>
              <w:spacing w:before="40" w:after="40" w:line="240" w:lineRule="auto"/>
              <w:jc w:val="both"/>
            </w:pPr>
            <w:r>
              <w:rPr>
                <w:rFonts w:ascii="Times New Roman" w:hAnsi="Times New Roman"/>
                <w:color w:val="262626"/>
                <w:sz w:val="18"/>
              </w:rPr>
              <w:t>183,5</w:t>
            </w:r>
          </w:p>
        </w:tc>
        <w:tc>
          <w:tcPr>
            <w:tcW w:w="1008" w:type="dxa"/>
            <w:tcMar>
              <w:top w:w="70" w:type="dxa"/>
              <w:left w:w="100" w:type="dxa"/>
              <w:bottom w:w="70" w:type="dxa"/>
              <w:right w:w="100" w:type="dxa"/>
            </w:tcMar>
          </w:tcPr>
          <w:p w14:paraId="104DB50D" w14:textId="77777777" w:rsidR="00F67131" w:rsidRDefault="00000000">
            <w:pPr>
              <w:spacing w:before="40" w:after="40" w:line="240" w:lineRule="auto"/>
              <w:jc w:val="both"/>
            </w:pPr>
            <w:r>
              <w:rPr>
                <w:rFonts w:ascii="Times New Roman" w:hAnsi="Times New Roman"/>
                <w:color w:val="262626"/>
                <w:sz w:val="18"/>
              </w:rPr>
              <w:t>126,4</w:t>
            </w:r>
          </w:p>
        </w:tc>
        <w:tc>
          <w:tcPr>
            <w:tcW w:w="1008" w:type="dxa"/>
            <w:tcMar>
              <w:top w:w="70" w:type="dxa"/>
              <w:left w:w="100" w:type="dxa"/>
              <w:bottom w:w="70" w:type="dxa"/>
              <w:right w:w="100" w:type="dxa"/>
            </w:tcMar>
          </w:tcPr>
          <w:p w14:paraId="10276135" w14:textId="77777777" w:rsidR="00F67131" w:rsidRDefault="00000000">
            <w:pPr>
              <w:spacing w:before="40" w:after="40" w:line="240" w:lineRule="auto"/>
              <w:jc w:val="both"/>
            </w:pPr>
            <w:r>
              <w:rPr>
                <w:rFonts w:ascii="Times New Roman" w:hAnsi="Times New Roman"/>
                <w:color w:val="262626"/>
                <w:sz w:val="18"/>
              </w:rPr>
              <w:t>0</w:t>
            </w:r>
          </w:p>
        </w:tc>
      </w:tr>
      <w:tr w:rsidR="00F67131" w14:paraId="72631A8B" w14:textId="77777777">
        <w:trPr>
          <w:jc w:val="center"/>
          <w:cantSplit/>
        </w:trPr>
        <w:tc>
          <w:tcPr>
            <w:tcW w:w="3456" w:type="dxa"/>
            <w:tcMar>
              <w:top w:w="70" w:type="dxa"/>
              <w:left w:w="100" w:type="dxa"/>
              <w:bottom w:w="70" w:type="dxa"/>
              <w:right w:w="100" w:type="dxa"/>
            </w:tcMar>
          </w:tcPr>
          <w:p w14:paraId="240123AA" w14:textId="77777777" w:rsidR="00F67131" w:rsidRDefault="00000000">
            <w:pPr>
              <w:spacing w:before="40" w:after="40" w:line="240" w:lineRule="auto"/>
              <w:jc w:val="both"/>
            </w:pPr>
            <w:r>
              <w:rPr>
                <w:rFonts w:ascii="Times New Roman" w:hAnsi="Times New Roman"/>
                <w:color w:val="262626"/>
                <w:sz w:val="18"/>
              </w:rPr>
              <w:t>Tỷ lệ nợ xấu gộp (Nợ xấu nội bảng + Nợ VAMC + Nợ cơ cấu tiềm ẩn)</w:t>
            </w:r>
          </w:p>
        </w:tc>
        <w:tc>
          <w:tcPr>
            <w:tcW w:w="1008" w:type="dxa"/>
            <w:tcMar>
              <w:top w:w="70" w:type="dxa"/>
              <w:left w:w="100" w:type="dxa"/>
              <w:bottom w:w="70" w:type="dxa"/>
              <w:right w:w="100" w:type="dxa"/>
            </w:tcMar>
          </w:tcPr>
          <w:p w14:paraId="5AC20760" w14:textId="77777777" w:rsidR="00F67131" w:rsidRDefault="00000000">
            <w:pPr>
              <w:spacing w:before="40" w:after="40" w:line="240" w:lineRule="auto"/>
              <w:jc w:val="both"/>
            </w:pPr>
            <w:r>
              <w:rPr>
                <w:rFonts w:ascii="Times New Roman" w:hAnsi="Times New Roman"/>
                <w:color w:val="262626"/>
                <w:sz w:val="18"/>
              </w:rPr>
              <w:t>3,81%</w:t>
            </w:r>
          </w:p>
        </w:tc>
        <w:tc>
          <w:tcPr>
            <w:tcW w:w="1008" w:type="dxa"/>
            <w:tcMar>
              <w:top w:w="70" w:type="dxa"/>
              <w:left w:w="100" w:type="dxa"/>
              <w:bottom w:w="70" w:type="dxa"/>
              <w:right w:w="100" w:type="dxa"/>
            </w:tcMar>
          </w:tcPr>
          <w:p w14:paraId="60A1C6D0" w14:textId="77777777" w:rsidR="00F67131" w:rsidRDefault="00000000">
            <w:pPr>
              <w:spacing w:before="40" w:after="40" w:line="240" w:lineRule="auto"/>
              <w:jc w:val="both"/>
            </w:pPr>
            <w:r>
              <w:rPr>
                <w:rFonts w:ascii="Times New Roman" w:hAnsi="Times New Roman"/>
                <w:color w:val="262626"/>
                <w:sz w:val="18"/>
              </w:rPr>
              <w:t>3,95%</w:t>
            </w:r>
          </w:p>
        </w:tc>
        <w:tc>
          <w:tcPr>
            <w:tcW w:w="1008" w:type="dxa"/>
            <w:tcMar>
              <w:top w:w="70" w:type="dxa"/>
              <w:left w:w="100" w:type="dxa"/>
              <w:bottom w:w="70" w:type="dxa"/>
              <w:right w:w="100" w:type="dxa"/>
            </w:tcMar>
          </w:tcPr>
          <w:p w14:paraId="39550AB4" w14:textId="77777777" w:rsidR="00F67131" w:rsidRDefault="00000000">
            <w:pPr>
              <w:spacing w:before="40" w:after="40" w:line="240" w:lineRule="auto"/>
              <w:jc w:val="both"/>
            </w:pPr>
            <w:r>
              <w:rPr>
                <w:rFonts w:ascii="Times New Roman" w:hAnsi="Times New Roman"/>
                <w:color w:val="262626"/>
                <w:sz w:val="18"/>
              </w:rPr>
              <w:t>4,50%</w:t>
            </w:r>
          </w:p>
        </w:tc>
        <w:tc>
          <w:tcPr>
            <w:tcW w:w="1008" w:type="dxa"/>
            <w:tcMar>
              <w:top w:w="70" w:type="dxa"/>
              <w:left w:w="100" w:type="dxa"/>
              <w:bottom w:w="70" w:type="dxa"/>
              <w:right w:w="100" w:type="dxa"/>
            </w:tcMar>
          </w:tcPr>
          <w:p w14:paraId="0E887FDF" w14:textId="77777777" w:rsidR="00F67131" w:rsidRDefault="00000000">
            <w:pPr>
              <w:spacing w:before="40" w:after="40" w:line="240" w:lineRule="auto"/>
              <w:jc w:val="both"/>
            </w:pPr>
            <w:r>
              <w:rPr>
                <w:rFonts w:ascii="Times New Roman" w:hAnsi="Times New Roman"/>
                <w:color w:val="262626"/>
                <w:sz w:val="18"/>
              </w:rPr>
              <w:t>6,10%</w:t>
            </w:r>
          </w:p>
        </w:tc>
        <w:tc>
          <w:tcPr>
            <w:tcW w:w="1008" w:type="dxa"/>
            <w:tcMar>
              <w:top w:w="70" w:type="dxa"/>
              <w:left w:w="100" w:type="dxa"/>
              <w:bottom w:w="70" w:type="dxa"/>
              <w:right w:w="100" w:type="dxa"/>
            </w:tcMar>
          </w:tcPr>
          <w:p w14:paraId="259E57BE" w14:textId="77777777" w:rsidR="00F67131" w:rsidRDefault="00000000">
            <w:pPr>
              <w:spacing w:before="40" w:after="40" w:line="240" w:lineRule="auto"/>
              <w:jc w:val="both"/>
            </w:pPr>
            <w:r>
              <w:rPr>
                <w:rFonts w:ascii="Times New Roman" w:hAnsi="Times New Roman"/>
                <w:color w:val="262626"/>
                <w:sz w:val="18"/>
              </w:rPr>
              <w:t>5,46%</w:t>
            </w:r>
          </w:p>
        </w:tc>
        <w:tc>
          <w:tcPr>
            <w:tcW w:w="1008" w:type="dxa"/>
            <w:tcMar>
              <w:top w:w="70" w:type="dxa"/>
              <w:left w:w="100" w:type="dxa"/>
              <w:bottom w:w="70" w:type="dxa"/>
              <w:right w:w="100" w:type="dxa"/>
            </w:tcMar>
          </w:tcPr>
          <w:p w14:paraId="4698E3AC" w14:textId="77777777" w:rsidR="00F67131" w:rsidRDefault="00000000">
            <w:pPr>
              <w:spacing w:before="40" w:after="40" w:line="240" w:lineRule="auto"/>
              <w:jc w:val="both"/>
            </w:pPr>
            <w:r>
              <w:rPr>
                <w:rFonts w:ascii="Times New Roman" w:hAnsi="Times New Roman"/>
                <w:color w:val="262626"/>
                <w:sz w:val="18"/>
              </w:rPr>
              <w:t>4,95%</w:t>
            </w:r>
          </w:p>
        </w:tc>
      </w:tr>
    </w:tbl>
    <w:p w14:paraId="5EFE3743"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từ Báo cáo của Ngân hàng Nhà nước Việt Nam (NHNN), Hiệp hội Ngân hàng Việt Nam (VNBA) và FiinGroup giai đoạn 2020–2025 (đồng bộ 100% với dòng 52–56 sheet Du_lieu).</w:t>
      </w:r>
    </w:p>
    <w:p w14:paraId="599AED6A" w14:textId="77777777" w:rsidR="00F67131" w:rsidRDefault="00000000">
      <w:pPr>
        <w:pStyle w:val="Heading1"/>
        <w:keepNext/>
        <w:pageBreakBefore/>
        <w:spacing w:before="280" w:after="120" w:line="300" w:lineRule="auto"/>
      </w:pPr>
      <w:bookmarkStart w:id="6" w:name="_Toc244090106"/>
      <w:r>
        <w:rPr>
          <w:rFonts w:ascii="Times New Roman" w:hAnsi="Times New Roman"/>
          <w:b/>
          <w:i w:val="0"/>
          <w:color w:val="002060"/>
          <w:sz w:val="27"/>
        </w:rPr>
        <w:t>CHƯƠNG 2. MÔ HÌNH VÀ THỂ CHẾ QUẢN TRỊ RỦI RO TÍN DỤNG TẠI AGRIBANK VÀ MB</w:t>
      </w:r>
      <w:bookmarkEnd w:id="6"/>
    </w:p>
    <w:p w14:paraId="2792E0D0" w14:textId="77777777" w:rsidR="00F67131" w:rsidRDefault="00000000">
      <w:pPr>
        <w:pStyle w:val="Heading2"/>
        <w:spacing w:after="80" w:line="300" w:lineRule="auto"/>
      </w:pPr>
      <w:bookmarkStart w:id="7" w:name="_Toc244090107"/>
      <w:r>
        <w:rPr>
          <w:rFonts w:ascii="Times New Roman" w:hAnsi="Times New Roman"/>
          <w:color w:val="0F4C81"/>
          <w:sz w:val="24"/>
        </w:rPr>
        <w:t>2.1. Agribank: Thể chế NHTM Nhà nước và Quản trị rủi ro phân tán</w:t>
      </w:r>
      <w:bookmarkEnd w:id="7"/>
    </w:p>
    <w:p w14:paraId="48C75538" w14:textId="77777777" w:rsidR="00F67131" w:rsidRDefault="00000000">
      <w:pPr>
        <w:spacing w:after="80" w:line="300" w:lineRule="auto"/>
        <w:jc w:val="both"/>
      </w:pPr>
      <w:r>
        <w:rPr>
          <w:rFonts w:ascii="Times New Roman" w:hAnsi="Times New Roman"/>
          <w:b/>
          <w:color w:val="262626"/>
        </w:rPr>
        <w:t xml:space="preserve">Định vị thể chế và Danh mục: </w:t>
      </w:r>
      <w:r>
        <w:rPr>
          <w:rFonts w:ascii="Times New Roman" w:hAnsi="Times New Roman"/>
          <w:color w:val="262626"/>
        </w:rPr>
        <w:t>Agribank là định chế tài chính lớn nhất Việt Nam xét về mạng lưới hoạt động với hơn 2.200 chi nhánh và phòng giao dịch trải rộng khắp cả nước. Định vị chiến lược của Agribank gắn liền với sứ mệnh chính trị phục vụ phát triển 'Tam nông' (Nông nghiệp, Nông dân, Nông thôn), với tỷ trọng dư nợ nông nghiệp – nông thôn giảm từ khoảng 70% (2020) xuống 61,7% (2024) rồi tăng lại 64,1% (2025) theo báo cáo thường niên. Về mặt thể chế sở hữu, là ngân hàng 100% vốn Nhà nước, cơ chế ra quyết định của Agribank mang tính thủ tục hành chính cao, chịu sự giám sát trực tiếp của Ngân hàng Nhà nước, Bộ Tài chính và Kiểm toán Nhà nước.</w:t>
      </w:r>
    </w:p>
    <w:p w14:paraId="221D0E07" w14:textId="77777777" w:rsidR="00F67131" w:rsidRDefault="00000000">
      <w:pPr>
        <w:spacing w:after="80" w:line="300" w:lineRule="auto"/>
        <w:jc w:val="both"/>
      </w:pPr>
      <w:r>
        <w:rPr>
          <w:rFonts w:ascii="Times New Roman" w:hAnsi="Times New Roman"/>
          <w:b/>
          <w:color w:val="262626"/>
        </w:rPr>
        <w:t xml:space="preserve">Mô hình tổ chức và Công cụ quản trị: </w:t>
      </w:r>
      <w:r>
        <w:rPr>
          <w:rFonts w:ascii="Times New Roman" w:hAnsi="Times New Roman"/>
          <w:color w:val="262626"/>
        </w:rPr>
        <w:t>Mô hình tổ chức quản trị rủi ro của Agribank vận hành theo cơ chế phân tán: Hội đồng thành viên phê chuẩn chính sách quản lý rủi ro thông qua Ủy ban Quản lý rủi ro; Khối Quản lý rủi ro tại Hội sở đóng vai trò tham mưu và ban hành hạn mức; tuy nhiên, quyền thẩm định và phê duyệt tín dụng phần lớn vẫn được phân cấp mạnh cho các Giám đốc chi nhánh loại 1 và loại 2 theo hạn mức thẩm quyền. Do mạng lưới quá rộng lớn và tính chất địa bàn nông thôn phân tán, việc kiểm soát nội bộ tập trung gặp nhiều rào cản công nghệ. Đặc biệt, tài sản bảo đảm của Agribank chiếm tới 88%–92% là bất động sản nông nghiệp và đất ở nông thôn, tạo ra một danh mục có tính thanh khoản tài sản bảo đảm rất thấp và phụ thuộc nặng nề vào các thủ tục thi hành án tư pháp kéo dài.</w:t>
      </w:r>
    </w:p>
    <w:p w14:paraId="4FAFDD5C" w14:textId="77777777" w:rsidR="00F67131" w:rsidRDefault="00000000">
      <w:pPr>
        <w:pStyle w:val="Heading2"/>
        <w:spacing w:after="80" w:line="300" w:lineRule="auto"/>
      </w:pPr>
      <w:bookmarkStart w:id="8" w:name="_Toc244090108"/>
      <w:r>
        <w:rPr>
          <w:rFonts w:ascii="Times New Roman" w:hAnsi="Times New Roman"/>
          <w:color w:val="0F4C81"/>
          <w:sz w:val="24"/>
        </w:rPr>
        <w:t>2.2. MB: Thể chế Tập đoàn Tài chính và Quản trị tập trung</w:t>
      </w:r>
      <w:bookmarkEnd w:id="8"/>
    </w:p>
    <w:p w14:paraId="28CC02D1" w14:textId="77777777" w:rsidR="00F67131" w:rsidRDefault="00000000">
      <w:pPr>
        <w:spacing w:after="80" w:line="300" w:lineRule="auto"/>
        <w:jc w:val="both"/>
      </w:pPr>
      <w:r>
        <w:rPr>
          <w:rFonts w:ascii="Times New Roman" w:hAnsi="Times New Roman"/>
          <w:b/>
          <w:color w:val="262626"/>
        </w:rPr>
        <w:t xml:space="preserve">Cấu trúc tập đoàn và Khẩu vị mở rộng: </w:t>
      </w:r>
      <w:r>
        <w:rPr>
          <w:rFonts w:ascii="Times New Roman" w:hAnsi="Times New Roman"/>
          <w:color w:val="262626"/>
        </w:rPr>
        <w:t xml:space="preserve">Ngược lại hoàn toàn với Agribank, Ngân hàng TMCP Quân đội (MB) vận hành theo mô hình Tập đoàn Tài chính đa năng (Universal Financial Conglomerate), với ngân hàng mẹ đóng vai trò hạt nhân kết nối chặt chẽ với các công ty con chuyên doanh: MCredit (Tài chính tiêu dùng), MBS (Chứng khoán &amp; Ngân hàng đầu tư), MIC (Bảo hiểm phi nhân thọ), MB Ageas Life (Bảo hiểm nhân thọ) và MBAMC (Quản lý nợ và khai thác tài sản). Cấu trúc sở hữu của MB có sự kết hợp đặc thù giữa các cổ đông quân đội (Viettel, Tổng Công ty Trực thăng, Tổng Công ty Tân </w:t>
      </w:r>
      <w:r>
        <w:rPr>
          <w:rFonts w:ascii="Times New Roman" w:hAnsi="Times New Roman"/>
          <w:color w:val="262626"/>
        </w:rPr>
        <w:lastRenderedPageBreak/>
        <w:t>Cảng Sài Gòn) và các quỹ đầu tư tài chính tư nhân, tạo ra một động lực tối đa hóa lợi nhuận và hiệu quả vốn (ROE) cực kỳ mạnh mẽ.</w:t>
      </w:r>
    </w:p>
    <w:p w14:paraId="3594D116" w14:textId="77777777" w:rsidR="00F67131" w:rsidRDefault="00000000">
      <w:pPr>
        <w:spacing w:after="80" w:line="300" w:lineRule="auto"/>
        <w:jc w:val="both"/>
      </w:pPr>
      <w:r>
        <w:rPr>
          <w:rFonts w:ascii="Times New Roman" w:hAnsi="Times New Roman"/>
          <w:b/>
        </w:rPr>
        <w:t xml:space="preserve">Công nghệ tập trung và Đánh đổi rủi ro: </w:t>
      </w:r>
      <w:r>
        <w:rPr>
          <w:rFonts w:ascii="Times New Roman" w:hAnsi="Times New Roman"/>
        </w:rPr>
        <w:t>Về mặt công cụ quản trị, MB là một trong những ngân hàng thương mại tiên phong áp dụng sớm các thông lệ Basel II và triển khai nền tảng ICAAP dựa trên hệ thống công nghệ Oracle Financial Services Analytical Applications (OFSAA). Mô hình phê duyệt tín dụng của MB được tái cấu trúc triệt để theo hướng tập trung hóa: tách rời hoàn toàn Khối Thẩm định và Trung tâm Phê duyệt tín dụng khỏi các Chi nhánh kinh doanh; áp dụng các mô hình chấm điểm tín dụng tự động (Scorecard) và phê duyệt luồng tự động cho các khoản vay cá nhân và bán lẻ. Khẩu vị rủi ro của MB chấp nhận mở rộng mạnh mẽ sang các phân khúc có biên lợi nhuận cao (NIM cao) như cho vay mua nhà dự án, tài trợ chuỗi cung ứng cho các tập đoàn lớn, đầu tư trái phiếu doanh nghiệp (trái phiếu doanh nghiệp do TCKT phát hành đạt đỉnh 46.870 tỷ đồng năm 2022 theo TM 12 BCTC hợp nhất 2022, chưa kể chứng khoán nợ do các TCTD phát hành) và tín dụng tiêu dùng tín chấp thông qua MCredit.</w:t>
      </w:r>
    </w:p>
    <w:p w14:paraId="29260592" w14:textId="77777777" w:rsidR="00F67131" w:rsidRDefault="00000000">
      <w:pPr>
        <w:pStyle w:val="Heading2"/>
        <w:spacing w:after="80" w:line="300" w:lineRule="auto"/>
      </w:pPr>
      <w:bookmarkStart w:id="9" w:name="_Toc244090109"/>
      <w:r>
        <w:rPr>
          <w:rFonts w:ascii="Times New Roman" w:hAnsi="Times New Roman"/>
          <w:color w:val="0F4C81"/>
          <w:sz w:val="24"/>
        </w:rPr>
        <w:t>2.3. Ma trận đối chiếu chuyên sâu hai mô hình quản trị rủi ro</w:t>
      </w:r>
      <w:bookmarkEnd w:id="9"/>
    </w:p>
    <w:p w14:paraId="32B07DF1" w14:textId="77777777" w:rsidR="00F67131" w:rsidRDefault="00000000">
      <w:pPr>
        <w:spacing w:before="120" w:after="60" w:line="300" w:lineRule="auto"/>
      </w:pPr>
      <w:r>
        <w:rPr>
          <w:rFonts w:ascii="Times New Roman" w:hAnsi="Times New Roman"/>
          <w:b/>
          <w:color w:val="1B365D"/>
          <w:sz w:val="20"/>
        </w:rPr>
        <w:t>Bảng 3. Ma trận đối chiếu cấu trúc thể chế và mô hình 3 tuyến phòng vệ giữa Agribank và MB</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465"/>
        <w:gridCol w:w="3386"/>
        <w:gridCol w:w="3421"/>
      </w:tblGrid>
      <w:tr w:rsidR="00F67131" w14:paraId="3E818DC2" w14:textId="77777777">
        <w:trPr>
          <w:jc w:val="center"/>
          <w:cantSplit/>
          <w:tblHeader/>
        </w:trPr>
        <w:tc>
          <w:tcPr>
            <w:tcW w:w="2592" w:type="dxa"/>
            <w:shd w:val="clear" w:color="auto" w:fill="1B365D"/>
            <w:tcMar>
              <w:top w:w="70" w:type="dxa"/>
              <w:left w:w="100" w:type="dxa"/>
              <w:bottom w:w="70" w:type="dxa"/>
              <w:right w:w="100" w:type="dxa"/>
            </w:tcMar>
          </w:tcPr>
          <w:p w14:paraId="37DC6077" w14:textId="77777777" w:rsidR="00F67131" w:rsidRDefault="00000000">
            <w:pPr>
              <w:spacing w:before="40" w:after="40" w:line="240" w:lineRule="auto"/>
              <w:jc w:val="both"/>
            </w:pPr>
            <w:r>
              <w:rPr>
                <w:rFonts w:ascii="Times New Roman" w:hAnsi="Times New Roman"/>
                <w:b/>
                <w:color w:val="FFFFFF"/>
                <w:sz w:val="19"/>
              </w:rPr>
              <w:t>Tiêu chí đối chiếu</w:t>
            </w:r>
          </w:p>
        </w:tc>
        <w:tc>
          <w:tcPr>
            <w:tcW w:w="3600" w:type="dxa"/>
            <w:shd w:val="clear" w:color="auto" w:fill="1B365D"/>
            <w:tcMar>
              <w:top w:w="70" w:type="dxa"/>
              <w:left w:w="100" w:type="dxa"/>
              <w:bottom w:w="70" w:type="dxa"/>
              <w:right w:w="100" w:type="dxa"/>
            </w:tcMar>
          </w:tcPr>
          <w:p w14:paraId="1C6D8DE0" w14:textId="77777777" w:rsidR="00F67131" w:rsidRDefault="00000000">
            <w:pPr>
              <w:spacing w:before="40" w:after="40" w:line="240" w:lineRule="auto"/>
              <w:jc w:val="both"/>
            </w:pPr>
            <w:r>
              <w:rPr>
                <w:rFonts w:ascii="Times New Roman" w:hAnsi="Times New Roman"/>
                <w:b/>
                <w:color w:val="FFFFFF"/>
                <w:sz w:val="19"/>
              </w:rPr>
              <w:t>Agribank (Mô hình NHTM Nhà nước)</w:t>
            </w:r>
          </w:p>
        </w:tc>
        <w:tc>
          <w:tcPr>
            <w:tcW w:w="3600" w:type="dxa"/>
            <w:shd w:val="clear" w:color="auto" w:fill="1B365D"/>
            <w:tcMar>
              <w:top w:w="70" w:type="dxa"/>
              <w:left w:w="100" w:type="dxa"/>
              <w:bottom w:w="70" w:type="dxa"/>
              <w:right w:w="100" w:type="dxa"/>
            </w:tcMar>
          </w:tcPr>
          <w:p w14:paraId="31E87948" w14:textId="77777777" w:rsidR="00F67131" w:rsidRDefault="00000000">
            <w:pPr>
              <w:spacing w:before="40" w:after="40" w:line="240" w:lineRule="auto"/>
              <w:jc w:val="both"/>
            </w:pPr>
            <w:r>
              <w:rPr>
                <w:rFonts w:ascii="Times New Roman" w:hAnsi="Times New Roman"/>
                <w:b/>
                <w:color w:val="FFFFFF"/>
                <w:sz w:val="19"/>
              </w:rPr>
              <w:t>MB (Mô hình Tập đoàn Tài chính Đa năng)</w:t>
            </w:r>
          </w:p>
        </w:tc>
      </w:tr>
      <w:tr w:rsidR="00F67131" w14:paraId="71D29E88" w14:textId="77777777">
        <w:trPr>
          <w:jc w:val="center"/>
          <w:cantSplit/>
        </w:trPr>
        <w:tc>
          <w:tcPr>
            <w:tcW w:w="2592" w:type="dxa"/>
            <w:tcMar>
              <w:top w:w="70" w:type="dxa"/>
              <w:left w:w="100" w:type="dxa"/>
              <w:bottom w:w="70" w:type="dxa"/>
              <w:right w:w="100" w:type="dxa"/>
            </w:tcMar>
          </w:tcPr>
          <w:p w14:paraId="0B2813B6" w14:textId="77777777" w:rsidR="00F67131" w:rsidRDefault="00000000">
            <w:pPr>
              <w:spacing w:before="40" w:after="40" w:line="240" w:lineRule="auto"/>
              <w:jc w:val="both"/>
            </w:pPr>
            <w:r>
              <w:rPr>
                <w:rFonts w:ascii="Times New Roman" w:hAnsi="Times New Roman"/>
                <w:color w:val="262626"/>
                <w:sz w:val="18"/>
              </w:rPr>
              <w:t>1. Thể chế sở hữu &amp; Hàm mục tiêu</w:t>
            </w:r>
          </w:p>
        </w:tc>
        <w:tc>
          <w:tcPr>
            <w:tcW w:w="3600" w:type="dxa"/>
            <w:tcMar>
              <w:top w:w="70" w:type="dxa"/>
              <w:left w:w="100" w:type="dxa"/>
              <w:bottom w:w="70" w:type="dxa"/>
              <w:right w:w="100" w:type="dxa"/>
            </w:tcMar>
          </w:tcPr>
          <w:p w14:paraId="1B88E47E" w14:textId="77777777" w:rsidR="00F67131" w:rsidRDefault="00000000">
            <w:pPr>
              <w:spacing w:before="40" w:after="40" w:line="240" w:lineRule="auto"/>
              <w:jc w:val="both"/>
            </w:pPr>
            <w:r>
              <w:rPr>
                <w:rFonts w:ascii="Times New Roman" w:hAnsi="Times New Roman"/>
                <w:color w:val="262626"/>
                <w:sz w:val="18"/>
              </w:rPr>
              <w:t>100% vốn Nhà nước; hàm mục tiêu kép: chính sách tam nông + bảo toàn vốn công.</w:t>
            </w:r>
          </w:p>
        </w:tc>
        <w:tc>
          <w:tcPr>
            <w:tcW w:w="3600" w:type="dxa"/>
            <w:tcMar>
              <w:top w:w="70" w:type="dxa"/>
              <w:left w:w="100" w:type="dxa"/>
              <w:bottom w:w="70" w:type="dxa"/>
              <w:right w:w="100" w:type="dxa"/>
            </w:tcMar>
          </w:tcPr>
          <w:p w14:paraId="6DB2722A" w14:textId="77777777" w:rsidR="00F67131" w:rsidRDefault="00000000">
            <w:pPr>
              <w:spacing w:before="40" w:after="40" w:line="240" w:lineRule="auto"/>
              <w:jc w:val="both"/>
            </w:pPr>
            <w:r>
              <w:rPr>
                <w:rFonts w:ascii="Times New Roman" w:hAnsi="Times New Roman"/>
                <w:color w:val="262626"/>
                <w:sz w:val="18"/>
              </w:rPr>
              <w:t>Sở hữu hỗn hợp Quân đội &amp; Tư nhân; hàm mục tiêu tối đa hóa ROE và giá trị vốn hóa.</w:t>
            </w:r>
          </w:p>
        </w:tc>
      </w:tr>
      <w:tr w:rsidR="00F67131" w14:paraId="536E3937" w14:textId="77777777">
        <w:trPr>
          <w:jc w:val="center"/>
          <w:cantSplit/>
        </w:trPr>
        <w:tc>
          <w:tcPr>
            <w:tcW w:w="2592" w:type="dxa"/>
            <w:tcMar>
              <w:top w:w="70" w:type="dxa"/>
              <w:left w:w="100" w:type="dxa"/>
              <w:bottom w:w="70" w:type="dxa"/>
              <w:right w:w="100" w:type="dxa"/>
            </w:tcMar>
          </w:tcPr>
          <w:p w14:paraId="3818A930" w14:textId="77777777" w:rsidR="00F67131" w:rsidRDefault="00000000">
            <w:pPr>
              <w:spacing w:before="40" w:after="40" w:line="240" w:lineRule="auto"/>
              <w:jc w:val="both"/>
            </w:pPr>
            <w:r>
              <w:rPr>
                <w:rFonts w:ascii="Times New Roman" w:hAnsi="Times New Roman"/>
                <w:color w:val="262626"/>
                <w:sz w:val="18"/>
              </w:rPr>
              <w:t>2. Khẩu vị rủi ro (Risk Appetite)</w:t>
            </w:r>
          </w:p>
        </w:tc>
        <w:tc>
          <w:tcPr>
            <w:tcW w:w="3600" w:type="dxa"/>
            <w:tcMar>
              <w:top w:w="70" w:type="dxa"/>
              <w:left w:w="100" w:type="dxa"/>
              <w:bottom w:w="70" w:type="dxa"/>
              <w:right w:w="100" w:type="dxa"/>
            </w:tcMar>
          </w:tcPr>
          <w:p w14:paraId="251F71ED" w14:textId="77777777" w:rsidR="00F67131" w:rsidRDefault="00000000">
            <w:pPr>
              <w:spacing w:before="40" w:after="40" w:line="240" w:lineRule="auto"/>
              <w:jc w:val="both"/>
            </w:pPr>
            <w:r>
              <w:rPr>
                <w:rFonts w:ascii="Times New Roman" w:hAnsi="Times New Roman"/>
                <w:color w:val="262626"/>
                <w:sz w:val="18"/>
              </w:rPr>
              <w:t>Bảo thủ, phân tán cao (Granular); bài xích rủi ro pháp lý; biên lãi mỏng (NIM thấp).</w:t>
            </w:r>
          </w:p>
        </w:tc>
        <w:tc>
          <w:tcPr>
            <w:tcW w:w="3600" w:type="dxa"/>
            <w:tcMar>
              <w:top w:w="70" w:type="dxa"/>
              <w:left w:w="100" w:type="dxa"/>
              <w:bottom w:w="70" w:type="dxa"/>
              <w:right w:w="100" w:type="dxa"/>
            </w:tcMar>
          </w:tcPr>
          <w:p w14:paraId="4262629F" w14:textId="77777777" w:rsidR="00F67131" w:rsidRDefault="00000000">
            <w:pPr>
              <w:spacing w:before="40" w:after="40" w:line="240" w:lineRule="auto"/>
              <w:jc w:val="both"/>
            </w:pPr>
            <w:r>
              <w:rPr>
                <w:rFonts w:ascii="Times New Roman" w:hAnsi="Times New Roman"/>
                <w:color w:val="262626"/>
                <w:sz w:val="18"/>
              </w:rPr>
              <w:t>Chấp nhận rủi ro cao để tối ưu NIM; tập trung vào bán lẻ, BĐS, TPDN và cho vay tiêu dùng.</w:t>
            </w:r>
          </w:p>
        </w:tc>
      </w:tr>
      <w:tr w:rsidR="00F67131" w14:paraId="53CA3294" w14:textId="77777777">
        <w:trPr>
          <w:jc w:val="center"/>
          <w:cantSplit/>
        </w:trPr>
        <w:tc>
          <w:tcPr>
            <w:tcW w:w="2592" w:type="dxa"/>
            <w:tcMar>
              <w:top w:w="70" w:type="dxa"/>
              <w:left w:w="100" w:type="dxa"/>
              <w:bottom w:w="70" w:type="dxa"/>
              <w:right w:w="100" w:type="dxa"/>
            </w:tcMar>
          </w:tcPr>
          <w:p w14:paraId="4695C973" w14:textId="77777777" w:rsidR="00F67131" w:rsidRDefault="00000000">
            <w:pPr>
              <w:spacing w:before="40" w:after="40" w:line="240" w:lineRule="auto"/>
              <w:jc w:val="both"/>
            </w:pPr>
            <w:r>
              <w:rPr>
                <w:rFonts w:ascii="Times New Roman" w:hAnsi="Times New Roman"/>
                <w:color w:val="262626"/>
                <w:sz w:val="18"/>
              </w:rPr>
              <w:t>3. Tuyến phòng vệ 1 (Kinh doanh)</w:t>
            </w:r>
          </w:p>
        </w:tc>
        <w:tc>
          <w:tcPr>
            <w:tcW w:w="3600" w:type="dxa"/>
            <w:tcMar>
              <w:top w:w="70" w:type="dxa"/>
              <w:left w:w="100" w:type="dxa"/>
              <w:bottom w:w="70" w:type="dxa"/>
              <w:right w:w="100" w:type="dxa"/>
            </w:tcMar>
          </w:tcPr>
          <w:p w14:paraId="7B5E0BC7" w14:textId="77777777" w:rsidR="00F67131" w:rsidRDefault="00000000">
            <w:pPr>
              <w:spacing w:before="40" w:after="40" w:line="240" w:lineRule="auto"/>
              <w:jc w:val="both"/>
            </w:pPr>
            <w:r>
              <w:rPr>
                <w:rFonts w:ascii="Times New Roman" w:hAnsi="Times New Roman"/>
                <w:color w:val="262626"/>
                <w:sz w:val="18"/>
              </w:rPr>
              <w:t>Chi nhánh vừa bán hàng vừa thẩm định thực tế; phân cấp hạn mức tín dụng theo địa bàn.</w:t>
            </w:r>
          </w:p>
        </w:tc>
        <w:tc>
          <w:tcPr>
            <w:tcW w:w="3600" w:type="dxa"/>
            <w:tcMar>
              <w:top w:w="70" w:type="dxa"/>
              <w:left w:w="100" w:type="dxa"/>
              <w:bottom w:w="70" w:type="dxa"/>
              <w:right w:w="100" w:type="dxa"/>
            </w:tcMar>
          </w:tcPr>
          <w:p w14:paraId="61F6CAAD" w14:textId="77777777" w:rsidR="00F67131" w:rsidRDefault="00000000">
            <w:pPr>
              <w:spacing w:before="40" w:after="40" w:line="240" w:lineRule="auto"/>
              <w:jc w:val="both"/>
            </w:pPr>
            <w:r>
              <w:rPr>
                <w:rFonts w:ascii="Times New Roman" w:hAnsi="Times New Roman"/>
                <w:color w:val="262626"/>
                <w:sz w:val="18"/>
              </w:rPr>
              <w:t>Tách rời bán hàng (RM) và thẩm định độc lập; phê duyệt tập trung tại Hội sở &amp; Hub.</w:t>
            </w:r>
          </w:p>
        </w:tc>
      </w:tr>
      <w:tr w:rsidR="00F67131" w14:paraId="37AD6318" w14:textId="77777777">
        <w:trPr>
          <w:jc w:val="center"/>
          <w:cantSplit/>
        </w:trPr>
        <w:tc>
          <w:tcPr>
            <w:tcW w:w="2592" w:type="dxa"/>
            <w:tcMar>
              <w:top w:w="70" w:type="dxa"/>
              <w:left w:w="100" w:type="dxa"/>
              <w:bottom w:w="70" w:type="dxa"/>
              <w:right w:w="100" w:type="dxa"/>
            </w:tcMar>
          </w:tcPr>
          <w:p w14:paraId="0F03288B" w14:textId="77777777" w:rsidR="00F67131" w:rsidRDefault="00000000">
            <w:pPr>
              <w:spacing w:before="40" w:after="40" w:line="240" w:lineRule="auto"/>
              <w:jc w:val="both"/>
            </w:pPr>
            <w:r>
              <w:rPr>
                <w:rFonts w:ascii="Times New Roman" w:hAnsi="Times New Roman"/>
                <w:color w:val="262626"/>
                <w:sz w:val="18"/>
              </w:rPr>
              <w:t>4. Tuyến phòng vệ 2 (Quản trị rủi ro)</w:t>
            </w:r>
          </w:p>
        </w:tc>
        <w:tc>
          <w:tcPr>
            <w:tcW w:w="3600" w:type="dxa"/>
            <w:tcMar>
              <w:top w:w="70" w:type="dxa"/>
              <w:left w:w="100" w:type="dxa"/>
              <w:bottom w:w="70" w:type="dxa"/>
              <w:right w:w="100" w:type="dxa"/>
            </w:tcMar>
          </w:tcPr>
          <w:p w14:paraId="073708A2" w14:textId="77777777" w:rsidR="00F67131" w:rsidRDefault="00000000">
            <w:pPr>
              <w:spacing w:before="40" w:after="40" w:line="240" w:lineRule="auto"/>
              <w:jc w:val="both"/>
            </w:pPr>
            <w:r>
              <w:rPr>
                <w:rFonts w:ascii="Times New Roman" w:hAnsi="Times New Roman"/>
                <w:color w:val="262626"/>
                <w:sz w:val="18"/>
              </w:rPr>
              <w:t>Khối QLRR giám sát theo hạn mức hành chính; mô hình chấm điểm nội bộ mang tính bổ trợ.</w:t>
            </w:r>
          </w:p>
        </w:tc>
        <w:tc>
          <w:tcPr>
            <w:tcW w:w="3600" w:type="dxa"/>
            <w:tcMar>
              <w:top w:w="70" w:type="dxa"/>
              <w:left w:w="100" w:type="dxa"/>
              <w:bottom w:w="70" w:type="dxa"/>
              <w:right w:w="100" w:type="dxa"/>
            </w:tcMar>
          </w:tcPr>
          <w:p w14:paraId="6552E1CD" w14:textId="77777777" w:rsidR="00F67131" w:rsidRDefault="00000000">
            <w:pPr>
              <w:spacing w:before="40" w:after="40" w:line="240" w:lineRule="auto"/>
              <w:jc w:val="both"/>
            </w:pPr>
            <w:r>
              <w:rPr>
                <w:rFonts w:ascii="Times New Roman" w:hAnsi="Times New Roman"/>
                <w:color w:val="262626"/>
                <w:sz w:val="18"/>
              </w:rPr>
              <w:t>Khối QLRR do CRO phụ trách; vận hành ICAAP/OFSAA; tự động hóa phê duyệt bằng scorecard.</w:t>
            </w:r>
          </w:p>
        </w:tc>
      </w:tr>
      <w:tr w:rsidR="00F67131" w14:paraId="3799586D" w14:textId="77777777">
        <w:trPr>
          <w:jc w:val="center"/>
          <w:cantSplit/>
        </w:trPr>
        <w:tc>
          <w:tcPr>
            <w:tcW w:w="2592" w:type="dxa"/>
            <w:tcMar>
              <w:top w:w="70" w:type="dxa"/>
              <w:left w:w="100" w:type="dxa"/>
              <w:bottom w:w="70" w:type="dxa"/>
              <w:right w:w="100" w:type="dxa"/>
            </w:tcMar>
          </w:tcPr>
          <w:p w14:paraId="11BF5F98" w14:textId="77777777" w:rsidR="00F67131" w:rsidRDefault="00000000">
            <w:pPr>
              <w:spacing w:before="40" w:after="40" w:line="240" w:lineRule="auto"/>
              <w:jc w:val="both"/>
            </w:pPr>
            <w:r>
              <w:rPr>
                <w:rFonts w:ascii="Times New Roman" w:hAnsi="Times New Roman"/>
                <w:color w:val="262626"/>
                <w:sz w:val="18"/>
              </w:rPr>
              <w:t>5. Tuyến phòng vệ 3 (Kiểm toán nội bộ)</w:t>
            </w:r>
          </w:p>
        </w:tc>
        <w:tc>
          <w:tcPr>
            <w:tcW w:w="3600" w:type="dxa"/>
            <w:tcMar>
              <w:top w:w="70" w:type="dxa"/>
              <w:left w:w="100" w:type="dxa"/>
              <w:bottom w:w="70" w:type="dxa"/>
              <w:right w:w="100" w:type="dxa"/>
            </w:tcMar>
          </w:tcPr>
          <w:p w14:paraId="75C315D2" w14:textId="77777777" w:rsidR="00F67131" w:rsidRDefault="00000000">
            <w:pPr>
              <w:spacing w:before="40" w:after="40" w:line="240" w:lineRule="auto"/>
              <w:jc w:val="both"/>
            </w:pPr>
            <w:r>
              <w:rPr>
                <w:rFonts w:ascii="Times New Roman" w:hAnsi="Times New Roman"/>
                <w:color w:val="262626"/>
                <w:sz w:val="18"/>
              </w:rPr>
              <w:t>Kiểm toán nội bộ trực thuộc Ban Kiểm soát; mạng rộng khiến tần suất kiểm tra tại chỗ thấp.</w:t>
            </w:r>
          </w:p>
        </w:tc>
        <w:tc>
          <w:tcPr>
            <w:tcW w:w="3600" w:type="dxa"/>
            <w:tcMar>
              <w:top w:w="70" w:type="dxa"/>
              <w:left w:w="100" w:type="dxa"/>
              <w:bottom w:w="70" w:type="dxa"/>
              <w:right w:w="100" w:type="dxa"/>
            </w:tcMar>
          </w:tcPr>
          <w:p w14:paraId="5828FDB1" w14:textId="77777777" w:rsidR="00F67131" w:rsidRDefault="00000000">
            <w:pPr>
              <w:spacing w:before="40" w:after="40" w:line="240" w:lineRule="auto"/>
              <w:jc w:val="both"/>
            </w:pPr>
            <w:r>
              <w:rPr>
                <w:rFonts w:ascii="Times New Roman" w:hAnsi="Times New Roman"/>
                <w:color w:val="262626"/>
                <w:sz w:val="18"/>
              </w:rPr>
              <w:t>Kiểm toán nội bộ dựa trên rủi ro (Risk-based Audit); ứng dụng phân tích dữ liệu lớn (Audit Analytics).</w:t>
            </w:r>
          </w:p>
        </w:tc>
      </w:tr>
      <w:tr w:rsidR="00F67131" w14:paraId="0F92205E" w14:textId="77777777">
        <w:trPr>
          <w:jc w:val="center"/>
          <w:cantSplit/>
        </w:trPr>
        <w:tc>
          <w:tcPr>
            <w:tcW w:w="2592" w:type="dxa"/>
            <w:tcMar>
              <w:top w:w="70" w:type="dxa"/>
              <w:left w:w="100" w:type="dxa"/>
              <w:bottom w:w="70" w:type="dxa"/>
              <w:right w:w="100" w:type="dxa"/>
            </w:tcMar>
          </w:tcPr>
          <w:p w14:paraId="10E2215F" w14:textId="77777777" w:rsidR="00F67131" w:rsidRDefault="00000000">
            <w:pPr>
              <w:spacing w:before="40" w:after="40" w:line="240" w:lineRule="auto"/>
              <w:jc w:val="both"/>
            </w:pPr>
            <w:r>
              <w:rPr>
                <w:rFonts w:ascii="Times New Roman" w:hAnsi="Times New Roman"/>
                <w:color w:val="262626"/>
                <w:sz w:val="18"/>
              </w:rPr>
              <w:t>6. Bản chất Tài sản bảo đảm</w:t>
            </w:r>
          </w:p>
        </w:tc>
        <w:tc>
          <w:tcPr>
            <w:tcW w:w="3600" w:type="dxa"/>
            <w:tcMar>
              <w:top w:w="70" w:type="dxa"/>
              <w:left w:w="100" w:type="dxa"/>
              <w:bottom w:w="70" w:type="dxa"/>
              <w:right w:w="100" w:type="dxa"/>
            </w:tcMar>
          </w:tcPr>
          <w:p w14:paraId="4E26EFD6" w14:textId="77777777" w:rsidR="00F67131" w:rsidRDefault="00000000">
            <w:pPr>
              <w:spacing w:before="40" w:after="40" w:line="240" w:lineRule="auto"/>
              <w:jc w:val="both"/>
            </w:pPr>
            <w:r>
              <w:rPr>
                <w:rFonts w:ascii="Times New Roman" w:hAnsi="Times New Roman"/>
                <w:color w:val="262626"/>
                <w:sz w:val="18"/>
              </w:rPr>
              <w:t>Chiếm 88%–92% là BĐS nông nghiệp, đất ở nông thôn; thanh khoản thị trường thứ cấp thấp.</w:t>
            </w:r>
          </w:p>
        </w:tc>
        <w:tc>
          <w:tcPr>
            <w:tcW w:w="3600" w:type="dxa"/>
            <w:tcMar>
              <w:top w:w="70" w:type="dxa"/>
              <w:left w:w="100" w:type="dxa"/>
              <w:bottom w:w="70" w:type="dxa"/>
              <w:right w:w="100" w:type="dxa"/>
            </w:tcMar>
          </w:tcPr>
          <w:p w14:paraId="46CBB2AB" w14:textId="77777777" w:rsidR="00F67131" w:rsidRDefault="00000000">
            <w:pPr>
              <w:spacing w:before="40" w:after="40" w:line="240" w:lineRule="auto"/>
              <w:jc w:val="both"/>
            </w:pPr>
            <w:r>
              <w:rPr>
                <w:rFonts w:ascii="Times New Roman" w:hAnsi="Times New Roman"/>
                <w:color w:val="262626"/>
                <w:sz w:val="18"/>
              </w:rPr>
              <w:t>Đa dạng: BĐS dự án đô thị, cổ phiếu niêm yết, dòng tiền dự án; tỷ lệ tín chấp cao tại MCredit.</w:t>
            </w:r>
          </w:p>
        </w:tc>
      </w:tr>
      <w:tr w:rsidR="00F67131" w14:paraId="6EB622B1" w14:textId="77777777">
        <w:trPr>
          <w:jc w:val="center"/>
          <w:cantSplit/>
        </w:trPr>
        <w:tc>
          <w:tcPr>
            <w:tcW w:w="2592" w:type="dxa"/>
            <w:tcMar>
              <w:top w:w="70" w:type="dxa"/>
              <w:left w:w="100" w:type="dxa"/>
              <w:bottom w:w="70" w:type="dxa"/>
              <w:right w:w="100" w:type="dxa"/>
            </w:tcMar>
          </w:tcPr>
          <w:p w14:paraId="73F06C3E" w14:textId="77777777" w:rsidR="00F67131" w:rsidRDefault="00000000">
            <w:pPr>
              <w:spacing w:before="40" w:after="40" w:line="240" w:lineRule="auto"/>
              <w:jc w:val="both"/>
            </w:pPr>
            <w:r>
              <w:rPr>
                <w:rFonts w:ascii="Times New Roman" w:hAnsi="Times New Roman"/>
                <w:color w:val="262626"/>
                <w:sz w:val="18"/>
              </w:rPr>
              <w:t>7. Cơ chế khuyến khích (Incentives)</w:t>
            </w:r>
          </w:p>
        </w:tc>
        <w:tc>
          <w:tcPr>
            <w:tcW w:w="3600" w:type="dxa"/>
            <w:tcMar>
              <w:top w:w="70" w:type="dxa"/>
              <w:left w:w="100" w:type="dxa"/>
              <w:bottom w:w="70" w:type="dxa"/>
              <w:right w:w="100" w:type="dxa"/>
            </w:tcMar>
          </w:tcPr>
          <w:p w14:paraId="69758C45" w14:textId="77777777" w:rsidR="00F67131" w:rsidRDefault="00000000">
            <w:pPr>
              <w:spacing w:before="40" w:after="40" w:line="240" w:lineRule="auto"/>
              <w:jc w:val="both"/>
            </w:pPr>
            <w:r>
              <w:rPr>
                <w:rFonts w:ascii="Times New Roman" w:hAnsi="Times New Roman"/>
                <w:color w:val="262626"/>
                <w:sz w:val="18"/>
              </w:rPr>
              <w:t>Chế độ lương hành chính nhà nước; trách nhiệm cá nhân hình sự nặng nề nếu nợ xấu phát sinh.</w:t>
            </w:r>
          </w:p>
        </w:tc>
        <w:tc>
          <w:tcPr>
            <w:tcW w:w="3600" w:type="dxa"/>
            <w:tcMar>
              <w:top w:w="70" w:type="dxa"/>
              <w:left w:w="100" w:type="dxa"/>
              <w:bottom w:w="70" w:type="dxa"/>
              <w:right w:w="100" w:type="dxa"/>
            </w:tcMar>
          </w:tcPr>
          <w:p w14:paraId="5D9315BF" w14:textId="77777777" w:rsidR="00F67131" w:rsidRDefault="00000000">
            <w:pPr>
              <w:spacing w:before="40" w:after="40" w:line="240" w:lineRule="auto"/>
              <w:jc w:val="both"/>
            </w:pPr>
            <w:r>
              <w:rPr>
                <w:rFonts w:ascii="Times New Roman" w:hAnsi="Times New Roman"/>
                <w:color w:val="262626"/>
                <w:sz w:val="18"/>
              </w:rPr>
              <w:t>Lương thưởng gắn chặt KPI doanh số và ROE; chấp nhận chi phí dự phòng như chi phí kinh doanh.</w:t>
            </w:r>
          </w:p>
        </w:tc>
      </w:tr>
    </w:tbl>
    <w:p w14:paraId="5C5DC620"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và đối chiếu từ Báo cáo thường niên, Báo cáo quản trị công ty và Báo cáo Basel II (Pillar 3) của Agribank và MB giai đoạn 2020–2025.</w:t>
      </w:r>
    </w:p>
    <w:p w14:paraId="1486B423" w14:textId="77777777" w:rsidR="00F67131" w:rsidRDefault="00000000">
      <w:pPr>
        <w:pStyle w:val="Heading1"/>
        <w:keepNext/>
        <w:pageBreakBefore/>
        <w:spacing w:before="280" w:after="120" w:line="300" w:lineRule="auto"/>
      </w:pPr>
      <w:bookmarkStart w:id="10" w:name="_Toc244090110"/>
      <w:r>
        <w:rPr>
          <w:rFonts w:ascii="Times New Roman" w:hAnsi="Times New Roman"/>
          <w:b/>
          <w:i w:val="0"/>
          <w:color w:val="002060"/>
          <w:sz w:val="27"/>
        </w:rPr>
        <w:lastRenderedPageBreak/>
        <w:t>CHƯƠNG 3. HỆ THỐNG TIÊU CHÍ VÀ PHƯƠNG PHÁP ĐỊNH LƯỢNG ĐÁNH GIÁ RỦI RO TÍN DỤNG</w:t>
      </w:r>
      <w:bookmarkEnd w:id="10"/>
    </w:p>
    <w:p w14:paraId="0EB95585" w14:textId="77777777" w:rsidR="00F67131" w:rsidRDefault="00000000">
      <w:pPr>
        <w:spacing w:after="80" w:line="300" w:lineRule="auto"/>
        <w:jc w:val="both"/>
      </w:pPr>
      <w:r>
        <w:rPr>
          <w:rFonts w:ascii="Times New Roman" w:hAnsi="Times New Roman"/>
          <w:b/>
          <w:color w:val="262626"/>
        </w:rPr>
        <w:t xml:space="preserve">Khung chỉ tiêu chuẩn hóa: </w:t>
      </w:r>
      <w:r>
        <w:rPr>
          <w:rFonts w:ascii="Times New Roman" w:hAnsi="Times New Roman"/>
          <w:color w:val="262626"/>
        </w:rPr>
        <w:t>Để thực hiện đối chiếu định lượng khoa học và nhất quán giữa hai ngân hàng có quy mô và cấu trúc sở hữu khác biệt, nghiên cứu xây dựng hệ thống 11 chỉ tiêu định lượng phân tầng theo 5 nhóm, tham chiếu khung giám sát của Ủy ban Basel về Giám sát Ngân hàng (BCBS):</w:t>
      </w:r>
    </w:p>
    <w:p w14:paraId="771288A2" w14:textId="77777777" w:rsidR="00F67131" w:rsidRDefault="00000000">
      <w:pPr>
        <w:spacing w:before="120" w:after="60" w:line="300" w:lineRule="auto"/>
      </w:pPr>
      <w:r>
        <w:rPr>
          <w:rFonts w:ascii="Times New Roman" w:hAnsi="Times New Roman"/>
          <w:b/>
          <w:color w:val="1B365D"/>
          <w:sz w:val="20"/>
        </w:rPr>
        <w:t>Bảng 4. Hệ thống tiêu chí định lượng đánh giá rủi ro tín dụng ngân hàng thương mại</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054"/>
        <w:gridCol w:w="3413"/>
        <w:gridCol w:w="3805"/>
      </w:tblGrid>
      <w:tr w:rsidR="00F67131" w14:paraId="14F26237" w14:textId="77777777">
        <w:trPr>
          <w:jc w:val="center"/>
          <w:cantSplit/>
          <w:tblHeader/>
        </w:trPr>
        <w:tc>
          <w:tcPr>
            <w:tcW w:w="2160" w:type="dxa"/>
            <w:shd w:val="clear" w:color="auto" w:fill="1B365D"/>
            <w:tcMar>
              <w:top w:w="70" w:type="dxa"/>
              <w:left w:w="100" w:type="dxa"/>
              <w:bottom w:w="70" w:type="dxa"/>
              <w:right w:w="100" w:type="dxa"/>
            </w:tcMar>
          </w:tcPr>
          <w:p w14:paraId="1D10AD55" w14:textId="77777777" w:rsidR="00F67131" w:rsidRDefault="00000000">
            <w:pPr>
              <w:spacing w:before="40" w:after="40" w:line="240" w:lineRule="auto"/>
              <w:jc w:val="both"/>
            </w:pPr>
            <w:r>
              <w:rPr>
                <w:rFonts w:ascii="Times New Roman" w:hAnsi="Times New Roman"/>
                <w:b/>
                <w:color w:val="FFFFFF"/>
                <w:sz w:val="19"/>
              </w:rPr>
              <w:t>Nhóm tiêu chí</w:t>
            </w:r>
          </w:p>
        </w:tc>
        <w:tc>
          <w:tcPr>
            <w:tcW w:w="3600" w:type="dxa"/>
            <w:shd w:val="clear" w:color="auto" w:fill="1B365D"/>
            <w:tcMar>
              <w:top w:w="70" w:type="dxa"/>
              <w:left w:w="100" w:type="dxa"/>
              <w:bottom w:w="70" w:type="dxa"/>
              <w:right w:w="100" w:type="dxa"/>
            </w:tcMar>
          </w:tcPr>
          <w:p w14:paraId="23D660BC" w14:textId="77777777" w:rsidR="00F67131" w:rsidRDefault="00000000">
            <w:pPr>
              <w:spacing w:before="40" w:after="40" w:line="240" w:lineRule="auto"/>
              <w:jc w:val="both"/>
            </w:pPr>
            <w:r>
              <w:rPr>
                <w:rFonts w:ascii="Times New Roman" w:hAnsi="Times New Roman"/>
                <w:b/>
                <w:color w:val="FFFFFF"/>
                <w:sz w:val="19"/>
              </w:rPr>
              <w:t>Chỉ tiêu định lượng</w:t>
            </w:r>
          </w:p>
        </w:tc>
        <w:tc>
          <w:tcPr>
            <w:tcW w:w="4032" w:type="dxa"/>
            <w:shd w:val="clear" w:color="auto" w:fill="1B365D"/>
            <w:tcMar>
              <w:top w:w="70" w:type="dxa"/>
              <w:left w:w="100" w:type="dxa"/>
              <w:bottom w:w="70" w:type="dxa"/>
              <w:right w:w="100" w:type="dxa"/>
            </w:tcMar>
          </w:tcPr>
          <w:p w14:paraId="7249D161" w14:textId="77777777" w:rsidR="00F67131" w:rsidRDefault="00000000">
            <w:pPr>
              <w:spacing w:before="40" w:after="40" w:line="240" w:lineRule="auto"/>
              <w:jc w:val="both"/>
            </w:pPr>
            <w:r>
              <w:rPr>
                <w:rFonts w:ascii="Times New Roman" w:hAnsi="Times New Roman"/>
                <w:b/>
                <w:color w:val="FFFFFF"/>
                <w:sz w:val="19"/>
              </w:rPr>
              <w:t>Công thức và Ý nghĩa học thuật</w:t>
            </w:r>
          </w:p>
        </w:tc>
      </w:tr>
      <w:tr w:rsidR="00F67131" w14:paraId="6C37A286" w14:textId="77777777">
        <w:trPr>
          <w:jc w:val="center"/>
          <w:cantSplit/>
        </w:trPr>
        <w:tc>
          <w:tcPr>
            <w:tcW w:w="2160" w:type="dxa"/>
            <w:tcMar>
              <w:top w:w="70" w:type="dxa"/>
              <w:left w:w="100" w:type="dxa"/>
              <w:bottom w:w="70" w:type="dxa"/>
              <w:right w:w="100" w:type="dxa"/>
            </w:tcMar>
          </w:tcPr>
          <w:p w14:paraId="31AE81B7" w14:textId="77777777" w:rsidR="00F67131" w:rsidRDefault="00000000">
            <w:pPr>
              <w:spacing w:before="40" w:after="40" w:line="240" w:lineRule="auto"/>
              <w:jc w:val="both"/>
            </w:pPr>
            <w:r>
              <w:rPr>
                <w:rFonts w:ascii="Times New Roman" w:hAnsi="Times New Roman"/>
                <w:color w:val="262626"/>
                <w:sz w:val="18"/>
              </w:rPr>
              <w:t>I. Chất lượng tài sản bề mặt</w:t>
            </w:r>
          </w:p>
        </w:tc>
        <w:tc>
          <w:tcPr>
            <w:tcW w:w="3600" w:type="dxa"/>
            <w:tcMar>
              <w:top w:w="70" w:type="dxa"/>
              <w:left w:w="100" w:type="dxa"/>
              <w:bottom w:w="70" w:type="dxa"/>
              <w:right w:w="100" w:type="dxa"/>
            </w:tcMar>
          </w:tcPr>
          <w:p w14:paraId="0EB329FE" w14:textId="77777777" w:rsidR="00F67131" w:rsidRDefault="00000000">
            <w:pPr>
              <w:spacing w:before="40" w:after="40" w:line="240" w:lineRule="auto"/>
              <w:jc w:val="both"/>
            </w:pPr>
            <w:r>
              <w:rPr>
                <w:rFonts w:ascii="Times New Roman" w:hAnsi="Times New Roman"/>
                <w:color w:val="262626"/>
                <w:sz w:val="18"/>
              </w:rPr>
              <w:t>1. Tỷ lệ nợ xấu nội bảng (NPL)</w:t>
            </w:r>
            <w:r>
              <w:rPr>
                <w:rFonts w:ascii="Times New Roman" w:hAnsi="Times New Roman"/>
                <w:color w:val="262626"/>
                <w:sz w:val="18"/>
              </w:rPr>
              <w:br/>
              <w:t>2. Tỷ lệ nợ nhóm 2 (Watchlist)</w:t>
            </w:r>
          </w:p>
        </w:tc>
        <w:tc>
          <w:tcPr>
            <w:tcW w:w="4032" w:type="dxa"/>
            <w:tcMar>
              <w:top w:w="70" w:type="dxa"/>
              <w:left w:w="100" w:type="dxa"/>
              <w:bottom w:w="70" w:type="dxa"/>
              <w:right w:w="100" w:type="dxa"/>
            </w:tcMar>
          </w:tcPr>
          <w:p w14:paraId="0A5EA6F4" w14:textId="77777777" w:rsidR="00F67131" w:rsidRDefault="00000000">
            <w:pPr>
              <w:spacing w:before="40" w:after="40" w:line="240" w:lineRule="auto"/>
              <w:jc w:val="both"/>
            </w:pPr>
            <w:r>
              <w:rPr>
                <w:rFonts w:ascii="Times New Roman" w:hAnsi="Times New Roman"/>
                <w:color w:val="262626"/>
                <w:sz w:val="18"/>
              </w:rPr>
              <w:t>• NPL = Nợ nhóm 3-5 / Tổng dư nợ. Đo lường tỷ lệ nợ vi phạm hợp đồng.</w:t>
            </w:r>
            <w:r>
              <w:rPr>
                <w:rFonts w:ascii="Times New Roman" w:hAnsi="Times New Roman"/>
                <w:color w:val="262626"/>
                <w:sz w:val="18"/>
              </w:rPr>
              <w:br/>
              <w:t>• Nhóm 2 / Dư nợ: Chỉ báo cảnh báo sớm rủi ro chuyển nhóm.</w:t>
            </w:r>
          </w:p>
        </w:tc>
      </w:tr>
      <w:tr w:rsidR="00F67131" w14:paraId="121B52E5" w14:textId="77777777">
        <w:trPr>
          <w:jc w:val="center"/>
          <w:cantSplit/>
        </w:trPr>
        <w:tc>
          <w:tcPr>
            <w:tcW w:w="2160" w:type="dxa"/>
            <w:tcMar>
              <w:top w:w="70" w:type="dxa"/>
              <w:left w:w="100" w:type="dxa"/>
              <w:bottom w:w="70" w:type="dxa"/>
              <w:right w:w="100" w:type="dxa"/>
            </w:tcMar>
          </w:tcPr>
          <w:p w14:paraId="2D62DE40" w14:textId="77777777" w:rsidR="00F67131" w:rsidRDefault="00000000">
            <w:pPr>
              <w:spacing w:before="40" w:after="40" w:line="240" w:lineRule="auto"/>
              <w:jc w:val="both"/>
            </w:pPr>
            <w:r>
              <w:rPr>
                <w:rFonts w:ascii="Times New Roman" w:hAnsi="Times New Roman"/>
                <w:color w:val="262626"/>
                <w:sz w:val="18"/>
              </w:rPr>
              <w:t>II. Chất lượng tài sản thực chất</w:t>
            </w:r>
          </w:p>
        </w:tc>
        <w:tc>
          <w:tcPr>
            <w:tcW w:w="3600" w:type="dxa"/>
            <w:tcMar>
              <w:top w:w="70" w:type="dxa"/>
              <w:left w:w="100" w:type="dxa"/>
              <w:bottom w:w="70" w:type="dxa"/>
              <w:right w:w="100" w:type="dxa"/>
            </w:tcMar>
          </w:tcPr>
          <w:p w14:paraId="44F5028F" w14:textId="77777777" w:rsidR="00F67131" w:rsidRDefault="00000000">
            <w:pPr>
              <w:spacing w:before="40" w:after="40" w:line="240" w:lineRule="auto"/>
              <w:jc w:val="both"/>
            </w:pPr>
            <w:r>
              <w:rPr>
                <w:rFonts w:ascii="Times New Roman" w:hAnsi="Times New Roman"/>
                <w:color w:val="262626"/>
                <w:sz w:val="18"/>
              </w:rPr>
              <w:t>3. NPL điều chỉnh toàn diện</w:t>
            </w:r>
            <w:r>
              <w:rPr>
                <w:rFonts w:ascii="Times New Roman" w:hAnsi="Times New Roman"/>
                <w:color w:val="262626"/>
                <w:sz w:val="18"/>
              </w:rPr>
              <w:br/>
              <w:t>4. Tỷ lệ nợ xấu gộp</w:t>
            </w:r>
          </w:p>
        </w:tc>
        <w:tc>
          <w:tcPr>
            <w:tcW w:w="4032" w:type="dxa"/>
            <w:tcMar>
              <w:top w:w="70" w:type="dxa"/>
              <w:left w:w="100" w:type="dxa"/>
              <w:bottom w:w="70" w:type="dxa"/>
              <w:right w:w="100" w:type="dxa"/>
            </w:tcMar>
          </w:tcPr>
          <w:p w14:paraId="06700277" w14:textId="77777777" w:rsidR="00F67131" w:rsidRDefault="00000000">
            <w:pPr>
              <w:spacing w:before="40" w:after="40" w:line="240" w:lineRule="auto"/>
              <w:jc w:val="both"/>
            </w:pPr>
            <w:r>
              <w:rPr>
                <w:rFonts w:ascii="Times New Roman" w:hAnsi="Times New Roman"/>
                <w:color w:val="262626"/>
                <w:sz w:val="18"/>
              </w:rPr>
              <w:t>• NPL điều chỉnh = (Nợ xấu + Nợ cơ cấu TT02) / Dư nợ.</w:t>
            </w:r>
            <w:r>
              <w:rPr>
                <w:rFonts w:ascii="Times New Roman" w:hAnsi="Times New Roman"/>
                <w:color w:val="262626"/>
                <w:sz w:val="18"/>
              </w:rPr>
              <w:br/>
              <w:t>• NPL gộp = (Nợ xấu + Nợ cơ cấu + Nợ VAMC + Nợ đã xóa) / Dư nợ.</w:t>
            </w:r>
          </w:p>
        </w:tc>
      </w:tr>
      <w:tr w:rsidR="00F67131" w14:paraId="21424F2C" w14:textId="77777777">
        <w:trPr>
          <w:jc w:val="center"/>
          <w:cantSplit/>
        </w:trPr>
        <w:tc>
          <w:tcPr>
            <w:tcW w:w="2160" w:type="dxa"/>
            <w:tcMar>
              <w:top w:w="70" w:type="dxa"/>
              <w:left w:w="100" w:type="dxa"/>
              <w:bottom w:w="70" w:type="dxa"/>
              <w:right w:w="100" w:type="dxa"/>
            </w:tcMar>
          </w:tcPr>
          <w:p w14:paraId="3D47CF7E" w14:textId="77777777" w:rsidR="00F67131" w:rsidRDefault="00000000">
            <w:pPr>
              <w:spacing w:before="40" w:after="40" w:line="240" w:lineRule="auto"/>
              <w:jc w:val="both"/>
            </w:pPr>
            <w:r>
              <w:rPr>
                <w:rFonts w:ascii="Times New Roman" w:hAnsi="Times New Roman"/>
                <w:color w:val="262626"/>
                <w:sz w:val="18"/>
              </w:rPr>
              <w:t>III. Bộ đệm phòng thủ &amp; Chi phí</w:t>
            </w:r>
          </w:p>
        </w:tc>
        <w:tc>
          <w:tcPr>
            <w:tcW w:w="3600" w:type="dxa"/>
            <w:tcMar>
              <w:top w:w="70" w:type="dxa"/>
              <w:left w:w="100" w:type="dxa"/>
              <w:bottom w:w="70" w:type="dxa"/>
              <w:right w:w="100" w:type="dxa"/>
            </w:tcMar>
          </w:tcPr>
          <w:p w14:paraId="06EFE660" w14:textId="77777777" w:rsidR="00F67131" w:rsidRDefault="00000000">
            <w:pPr>
              <w:spacing w:before="40" w:after="40" w:line="240" w:lineRule="auto"/>
              <w:jc w:val="both"/>
            </w:pPr>
            <w:r>
              <w:rPr>
                <w:rFonts w:ascii="Times New Roman" w:hAnsi="Times New Roman"/>
                <w:color w:val="262626"/>
                <w:sz w:val="18"/>
              </w:rPr>
              <w:t>5. Tỷ lệ bao phủ nợ xấu (LLCR)</w:t>
            </w:r>
            <w:r>
              <w:rPr>
                <w:rFonts w:ascii="Times New Roman" w:hAnsi="Times New Roman"/>
                <w:color w:val="262626"/>
                <w:sz w:val="18"/>
              </w:rPr>
              <w:br/>
              <w:t>6. Chi phí tín dụng (Credit Cost)</w:t>
            </w:r>
            <w:r>
              <w:rPr>
                <w:rFonts w:ascii="Times New Roman" w:hAnsi="Times New Roman"/>
                <w:color w:val="262626"/>
                <w:sz w:val="18"/>
              </w:rPr>
              <w:br/>
              <w:t>7. Tỷ lệ xóa nợ rủi ro (Write-off)</w:t>
            </w:r>
          </w:p>
        </w:tc>
        <w:tc>
          <w:tcPr>
            <w:tcW w:w="4032" w:type="dxa"/>
            <w:tcMar>
              <w:top w:w="70" w:type="dxa"/>
              <w:left w:w="100" w:type="dxa"/>
              <w:bottom w:w="70" w:type="dxa"/>
              <w:right w:w="100" w:type="dxa"/>
            </w:tcMar>
          </w:tcPr>
          <w:p w14:paraId="3C659CEF" w14:textId="77777777" w:rsidR="00F67131" w:rsidRDefault="00000000">
            <w:pPr>
              <w:spacing w:before="40" w:after="40" w:line="240" w:lineRule="auto"/>
              <w:jc w:val="both"/>
            </w:pPr>
            <w:r>
              <w:rPr>
                <w:rFonts w:ascii="Times New Roman" w:hAnsi="Times New Roman"/>
                <w:color w:val="262626"/>
                <w:sz w:val="18"/>
              </w:rPr>
              <w:t>• LLCR = (Dự phòng cụ thể + chung) / Nợ xấu. Đo khả năng hấp thụ tổn thất.</w:t>
            </w:r>
            <w:r>
              <w:rPr>
                <w:rFonts w:ascii="Times New Roman" w:hAnsi="Times New Roman"/>
                <w:color w:val="262626"/>
                <w:sz w:val="18"/>
              </w:rPr>
              <w:br/>
              <w:t>• Credit Cost = Chi phí dự phòng / Dư nợ bình quân (đối chiếu gộp và ròng).</w:t>
            </w:r>
            <w:r>
              <w:rPr>
                <w:rFonts w:ascii="Times New Roman" w:hAnsi="Times New Roman"/>
                <w:color w:val="262626"/>
                <w:sz w:val="18"/>
              </w:rPr>
              <w:br/>
              <w:t>• Write-off rate = Nợ xóa bằng quỹ dự phòng / Dư nợ bình quân.</w:t>
            </w:r>
          </w:p>
        </w:tc>
      </w:tr>
      <w:tr w:rsidR="00F67131" w14:paraId="7BC75496" w14:textId="77777777">
        <w:trPr>
          <w:jc w:val="center"/>
          <w:cantSplit/>
        </w:trPr>
        <w:tc>
          <w:tcPr>
            <w:tcW w:w="2160" w:type="dxa"/>
            <w:tcMar>
              <w:top w:w="70" w:type="dxa"/>
              <w:left w:w="100" w:type="dxa"/>
              <w:bottom w:w="70" w:type="dxa"/>
              <w:right w:w="100" w:type="dxa"/>
            </w:tcMar>
          </w:tcPr>
          <w:p w14:paraId="07E4165E" w14:textId="77777777" w:rsidR="00F67131" w:rsidRDefault="00000000">
            <w:pPr>
              <w:spacing w:before="40" w:after="40" w:line="240" w:lineRule="auto"/>
              <w:jc w:val="both"/>
            </w:pPr>
            <w:r>
              <w:rPr>
                <w:rFonts w:ascii="Times New Roman" w:hAnsi="Times New Roman"/>
                <w:color w:val="262626"/>
                <w:sz w:val="18"/>
              </w:rPr>
              <w:t>IV. Hiệu quả vốn rủi ro</w:t>
            </w:r>
          </w:p>
        </w:tc>
        <w:tc>
          <w:tcPr>
            <w:tcW w:w="3600" w:type="dxa"/>
            <w:tcMar>
              <w:top w:w="70" w:type="dxa"/>
              <w:left w:w="100" w:type="dxa"/>
              <w:bottom w:w="70" w:type="dxa"/>
              <w:right w:w="100" w:type="dxa"/>
            </w:tcMar>
          </w:tcPr>
          <w:p w14:paraId="543ABD48" w14:textId="77777777" w:rsidR="00F67131" w:rsidRDefault="00000000">
            <w:pPr>
              <w:spacing w:before="40" w:after="40" w:line="240" w:lineRule="auto"/>
              <w:jc w:val="both"/>
            </w:pPr>
            <w:r>
              <w:rPr>
                <w:rFonts w:ascii="Times New Roman" w:hAnsi="Times New Roman"/>
                <w:color w:val="262626"/>
                <w:sz w:val="18"/>
              </w:rPr>
              <w:t>8. Tỷ suất lợi nhuận trên vốn rủi ro ước tính (RORAC proxy) 9. Hệ số an toàn vốn (CAR)</w:t>
            </w:r>
          </w:p>
        </w:tc>
        <w:tc>
          <w:tcPr>
            <w:tcW w:w="4032" w:type="dxa"/>
            <w:tcMar>
              <w:top w:w="70" w:type="dxa"/>
              <w:left w:w="100" w:type="dxa"/>
              <w:bottom w:w="70" w:type="dxa"/>
              <w:right w:w="100" w:type="dxa"/>
            </w:tcMar>
          </w:tcPr>
          <w:p w14:paraId="6C7C68A4" w14:textId="77777777" w:rsidR="00F67131" w:rsidRDefault="00000000">
            <w:pPr>
              <w:spacing w:before="40" w:after="40" w:line="240" w:lineRule="auto"/>
              <w:jc w:val="both"/>
            </w:pPr>
            <w:r>
              <w:rPr>
                <w:rFonts w:ascii="Times New Roman" w:hAnsi="Times New Roman"/>
                <w:color w:val="262626"/>
                <w:sz w:val="18"/>
              </w:rPr>
              <w:t>• RORAC proxy = LNST / (8% × dư nợ cho vay). LNST đã trừ chi phí dự phòng nên không trừ thêm tổn thất kỳ vọng; trọng số rủi ro giả định 100% cho cả hai ngân hàng. • CAR = Vốn tự có / Tổng tài sản có rủi ro (TT 41; Agribank 2020–2022 theo TT 22/2019).</w:t>
            </w:r>
          </w:p>
        </w:tc>
      </w:tr>
      <w:tr w:rsidR="00F67131" w14:paraId="7645ABA5" w14:textId="77777777">
        <w:trPr>
          <w:jc w:val="center"/>
          <w:cantSplit/>
        </w:trPr>
        <w:tc>
          <w:tcPr>
            <w:tcW w:w="2160" w:type="dxa"/>
            <w:tcMar>
              <w:top w:w="70" w:type="dxa"/>
              <w:left w:w="100" w:type="dxa"/>
              <w:bottom w:w="70" w:type="dxa"/>
              <w:right w:w="100" w:type="dxa"/>
            </w:tcMar>
          </w:tcPr>
          <w:p w14:paraId="2904E5D2" w14:textId="77777777" w:rsidR="00F67131" w:rsidRDefault="00000000">
            <w:pPr>
              <w:spacing w:before="40" w:after="40" w:line="240" w:lineRule="auto"/>
              <w:jc w:val="both"/>
            </w:pPr>
            <w:r>
              <w:rPr>
                <w:rFonts w:ascii="Times New Roman" w:hAnsi="Times New Roman"/>
                <w:color w:val="262626"/>
                <w:sz w:val="18"/>
              </w:rPr>
              <w:t>V. Rủi ro tập trung danh mục</w:t>
            </w:r>
          </w:p>
        </w:tc>
        <w:tc>
          <w:tcPr>
            <w:tcW w:w="3600" w:type="dxa"/>
            <w:tcMar>
              <w:top w:w="70" w:type="dxa"/>
              <w:left w:w="100" w:type="dxa"/>
              <w:bottom w:w="70" w:type="dxa"/>
              <w:right w:w="100" w:type="dxa"/>
            </w:tcMar>
          </w:tcPr>
          <w:p w14:paraId="3BF16F59" w14:textId="77777777" w:rsidR="00F67131" w:rsidRDefault="00000000">
            <w:pPr>
              <w:spacing w:before="40" w:after="40" w:line="240" w:lineRule="auto"/>
              <w:jc w:val="both"/>
            </w:pPr>
            <w:r>
              <w:rPr>
                <w:rFonts w:ascii="Times New Roman" w:hAnsi="Times New Roman"/>
                <w:color w:val="262626"/>
                <w:sz w:val="18"/>
              </w:rPr>
              <w:t>10. Tỷ trọng Bất động sản</w:t>
            </w:r>
            <w:r>
              <w:rPr>
                <w:rFonts w:ascii="Times New Roman" w:hAnsi="Times New Roman"/>
                <w:color w:val="262626"/>
                <w:sz w:val="18"/>
              </w:rPr>
              <w:br/>
              <w:t>11. Dư nợ Trái phiếu DN (TPDN)</w:t>
            </w:r>
          </w:p>
        </w:tc>
        <w:tc>
          <w:tcPr>
            <w:tcW w:w="4032" w:type="dxa"/>
            <w:tcMar>
              <w:top w:w="70" w:type="dxa"/>
              <w:left w:w="100" w:type="dxa"/>
              <w:bottom w:w="70" w:type="dxa"/>
              <w:right w:w="100" w:type="dxa"/>
            </w:tcMar>
          </w:tcPr>
          <w:p w14:paraId="38497CCE" w14:textId="77777777" w:rsidR="00F67131" w:rsidRDefault="00000000">
            <w:pPr>
              <w:spacing w:before="40" w:after="40" w:line="240" w:lineRule="auto"/>
              <w:jc w:val="both"/>
            </w:pPr>
            <w:r>
              <w:rPr>
                <w:rFonts w:ascii="Times New Roman" w:hAnsi="Times New Roman"/>
                <w:color w:val="262626"/>
                <w:sz w:val="18"/>
              </w:rPr>
              <w:t>• Dư nợ BĐS / Tổng dư nợ: Đo lường rủi ro tập trung ngành chu kỳ.</w:t>
            </w:r>
            <w:r>
              <w:rPr>
                <w:rFonts w:ascii="Times New Roman" w:hAnsi="Times New Roman"/>
                <w:color w:val="262626"/>
                <w:sz w:val="18"/>
              </w:rPr>
              <w:br/>
              <w:t>• Dư nợ TPDN / Dư nợ tín dụng: Đo lường rủi ro tín dụng danh mục đầu tư.</w:t>
            </w:r>
          </w:p>
        </w:tc>
      </w:tr>
    </w:tbl>
    <w:p w14:paraId="69D6DDB6"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Nhóm nghiên cứu thiết lập dựa trên Khung Basel II/III (BCBS, 2006, 2017) và Thông tư 11/2021/TT-NHNN, Thông tư 31/2024/TT-NHNN (tính toán tại sheet Chi_tieu).</w:t>
      </w:r>
    </w:p>
    <w:p w14:paraId="73048A39" w14:textId="77777777" w:rsidR="00F67131" w:rsidRDefault="00000000">
      <w:pPr>
        <w:pStyle w:val="Heading1"/>
        <w:keepNext/>
        <w:pageBreakBefore/>
        <w:spacing w:before="280" w:after="120" w:line="300" w:lineRule="auto"/>
      </w:pPr>
      <w:bookmarkStart w:id="11" w:name="_Toc244090111"/>
      <w:r>
        <w:rPr>
          <w:rFonts w:ascii="Times New Roman" w:hAnsi="Times New Roman"/>
          <w:b/>
          <w:i w:val="0"/>
          <w:color w:val="002060"/>
          <w:sz w:val="27"/>
        </w:rPr>
        <w:t>CHƯƠNG 4. PHÂN TÍCH THỰC TRẠNG VÀ MÔ HÌNH HÓA ĐỊNH LƯỢNG RỦI RO TÍN DỤNG GIAI ĐOẠN 2020–2025</w:t>
      </w:r>
      <w:bookmarkEnd w:id="11"/>
    </w:p>
    <w:p w14:paraId="10379742" w14:textId="77777777" w:rsidR="00F67131" w:rsidRDefault="00000000">
      <w:pPr>
        <w:pStyle w:val="Heading2"/>
        <w:spacing w:after="80" w:line="300" w:lineRule="auto"/>
      </w:pPr>
      <w:bookmarkStart w:id="12" w:name="_Toc244090112"/>
      <w:r>
        <w:rPr>
          <w:rFonts w:ascii="Times New Roman" w:hAnsi="Times New Roman"/>
          <w:color w:val="0F4C81"/>
          <w:sz w:val="24"/>
        </w:rPr>
        <w:t>4.1. Quy mô tín dụng, nợ xấu và phân rã tốc độ tăng trưởng (Decomposition)</w:t>
      </w:r>
      <w:bookmarkEnd w:id="12"/>
    </w:p>
    <w:p w14:paraId="3FB27DD7" w14:textId="77777777" w:rsidR="00F67131" w:rsidRDefault="00000000">
      <w:pPr>
        <w:spacing w:after="80" w:line="300" w:lineRule="auto"/>
        <w:jc w:val="both"/>
      </w:pPr>
      <w:r>
        <w:rPr>
          <w:rFonts w:ascii="Times New Roman" w:hAnsi="Times New Roman"/>
          <w:b/>
        </w:rPr>
        <w:t xml:space="preserve">Quy mô và Tốc độ mở rộng tín dụng (kèm làm rõ phạm vi hợp nhất MBV): </w:t>
      </w:r>
      <w:r>
        <w:rPr>
          <w:rFonts w:ascii="Times New Roman" w:hAnsi="Times New Roman"/>
        </w:rPr>
        <w:t xml:space="preserve">Giai đoạn 2020–2025 ghi nhận sự phân kỳ rõ nét về tốc độ tăng trưởng quy mô tín dụng giữa hai ngân hàng. Dư nợ cho vay khách hàng hợp nhất của Agribank tăng từ 1.213.958 tỷ đồng (2020) lên 1.976.369 tỷ đồng (2025), tương ứng tốc độ tăng trưởng kép hàng năm (CAGR) đạt 10,2%/năm. Trong khi đó, MB ghi nhận tốc độ mở rộng tín dụng rất nhanh, đưa dư nợ cho vay hợp nhất từ 298.297 tỷ đồng (2020) lên 1.084.019 </w:t>
      </w:r>
      <w:r>
        <w:rPr>
          <w:rFonts w:ascii="Times New Roman" w:hAnsi="Times New Roman"/>
        </w:rPr>
        <w:lastRenderedPageBreak/>
        <w:t>tỷ đồng (2025), đạt CAGR 29,4%/năm. Riêng năm 2025, dư nợ hợp nhất của MB tăng 39,6% (+307.361 tỷ đồng). Cần lưu ý một điểm kỹ thuật kế toán quan trọng tại Thuyết minh số 3.4 BCTC hợp nhất kiểm toán năm 2025 của MB (trang 148 PDF / trang 292 BCTN): căn cứ Điểm c Khoản 1 Điều 185 Luật Các tổ chức tín dụng số 32/2024/QH15, MB không hợp nhất báo cáo tài chính của Ngân hàng TNHH MTV Việt Nam Hiện Đại (MBV – tiền thân là OceanBank, đơn vị được MB nhận chuyển giao bắt buộc từ ngày 17/10/2024). Danh sách 7 công ty con được hợp nhất vào BCTC của MB chỉ bao gồm MB AMC, MBS, MB Cap, MCredit, MIC, MBLife và MB Cambodia. Do đó, mức tăng trưởng dư nợ 39,6% và số dư nợ xấu hợp nhất 14.027 tỷ đồng năm 2025 hoàn toàn là quy mô nội sinh của ngân hàng mẹ MB và 7 công ty con hiện hữu (khi MB được NHNN nới hạn mức tăng trưởng tín dụng nhờ tham gia nhận chuyển giao bắt buộc), chứ không bị cộng gộp bảng cân đối kế toán lịch sử của OceanBank.</w:t>
      </w:r>
    </w:p>
    <w:p w14:paraId="3D928A28" w14:textId="77777777" w:rsidR="00F67131" w:rsidRDefault="00000000">
      <w:pPr>
        <w:spacing w:before="120" w:after="60" w:line="300" w:lineRule="auto"/>
      </w:pPr>
      <w:r>
        <w:rPr>
          <w:rFonts w:ascii="Times New Roman" w:hAnsi="Times New Roman"/>
          <w:b/>
          <w:color w:val="1B365D"/>
          <w:sz w:val="20"/>
        </w:rPr>
        <w:t>Bảng 5. Quy mô dư nợ, nợ xấu và tỷ lệ NPL của Agribank và MB (2020–2025) (Tỷ đồng, %)</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266"/>
        <w:gridCol w:w="1001"/>
        <w:gridCol w:w="1001"/>
        <w:gridCol w:w="1001"/>
        <w:gridCol w:w="1001"/>
        <w:gridCol w:w="1001"/>
        <w:gridCol w:w="1001"/>
      </w:tblGrid>
      <w:tr w:rsidR="00F67131" w14:paraId="1CB27F95" w14:textId="77777777">
        <w:trPr>
          <w:jc w:val="center"/>
          <w:cantSplit/>
          <w:tblHeader/>
        </w:trPr>
        <w:tc>
          <w:tcPr>
            <w:tcW w:w="3456" w:type="dxa"/>
            <w:shd w:val="clear" w:color="auto" w:fill="1B365D"/>
            <w:tcMar>
              <w:top w:w="70" w:type="dxa"/>
              <w:left w:w="100" w:type="dxa"/>
              <w:bottom w:w="70" w:type="dxa"/>
              <w:right w:w="100" w:type="dxa"/>
            </w:tcMar>
          </w:tcPr>
          <w:p w14:paraId="39CAED55" w14:textId="77777777" w:rsidR="00F67131" w:rsidRDefault="00000000">
            <w:pPr>
              <w:spacing w:before="40" w:after="40" w:line="240" w:lineRule="auto"/>
              <w:jc w:val="both"/>
            </w:pPr>
            <w:r>
              <w:rPr>
                <w:rFonts w:ascii="Times New Roman" w:hAnsi="Times New Roman"/>
                <w:b/>
                <w:color w:val="FFFFFF"/>
                <w:sz w:val="19"/>
              </w:rPr>
              <w:t>Chỉ tiêu phân tích</w:t>
            </w:r>
          </w:p>
        </w:tc>
        <w:tc>
          <w:tcPr>
            <w:tcW w:w="1008" w:type="dxa"/>
            <w:shd w:val="clear" w:color="auto" w:fill="1B365D"/>
            <w:tcMar>
              <w:top w:w="70" w:type="dxa"/>
              <w:left w:w="100" w:type="dxa"/>
              <w:bottom w:w="70" w:type="dxa"/>
              <w:right w:w="100" w:type="dxa"/>
            </w:tcMar>
          </w:tcPr>
          <w:p w14:paraId="38FFB6B0" w14:textId="77777777" w:rsidR="00F67131" w:rsidRDefault="00000000">
            <w:pPr>
              <w:spacing w:before="40" w:after="40" w:line="240" w:lineRule="auto"/>
              <w:jc w:val="both"/>
            </w:pPr>
            <w:r>
              <w:rPr>
                <w:rFonts w:ascii="Times New Roman" w:hAnsi="Times New Roman"/>
                <w:b/>
                <w:color w:val="FFFFFF"/>
                <w:sz w:val="19"/>
              </w:rPr>
              <w:t>2020</w:t>
            </w:r>
          </w:p>
        </w:tc>
        <w:tc>
          <w:tcPr>
            <w:tcW w:w="1008" w:type="dxa"/>
            <w:shd w:val="clear" w:color="auto" w:fill="1B365D"/>
            <w:tcMar>
              <w:top w:w="70" w:type="dxa"/>
              <w:left w:w="100" w:type="dxa"/>
              <w:bottom w:w="70" w:type="dxa"/>
              <w:right w:w="100" w:type="dxa"/>
            </w:tcMar>
          </w:tcPr>
          <w:p w14:paraId="45104B7D" w14:textId="77777777" w:rsidR="00F67131" w:rsidRDefault="00000000">
            <w:pPr>
              <w:spacing w:before="40" w:after="40" w:line="240" w:lineRule="auto"/>
              <w:jc w:val="both"/>
            </w:pPr>
            <w:r>
              <w:rPr>
                <w:rFonts w:ascii="Times New Roman" w:hAnsi="Times New Roman"/>
                <w:b/>
                <w:color w:val="FFFFFF"/>
                <w:sz w:val="19"/>
              </w:rPr>
              <w:t>2021</w:t>
            </w:r>
          </w:p>
        </w:tc>
        <w:tc>
          <w:tcPr>
            <w:tcW w:w="1008" w:type="dxa"/>
            <w:shd w:val="clear" w:color="auto" w:fill="1B365D"/>
            <w:tcMar>
              <w:top w:w="70" w:type="dxa"/>
              <w:left w:w="100" w:type="dxa"/>
              <w:bottom w:w="70" w:type="dxa"/>
              <w:right w:w="100" w:type="dxa"/>
            </w:tcMar>
          </w:tcPr>
          <w:p w14:paraId="1D2CD42D" w14:textId="77777777" w:rsidR="00F67131" w:rsidRDefault="00000000">
            <w:pPr>
              <w:spacing w:before="40" w:after="40" w:line="240" w:lineRule="auto"/>
              <w:jc w:val="both"/>
            </w:pPr>
            <w:r>
              <w:rPr>
                <w:rFonts w:ascii="Times New Roman" w:hAnsi="Times New Roman"/>
                <w:b/>
                <w:color w:val="FFFFFF"/>
                <w:sz w:val="19"/>
              </w:rPr>
              <w:t>2022</w:t>
            </w:r>
          </w:p>
        </w:tc>
        <w:tc>
          <w:tcPr>
            <w:tcW w:w="1008" w:type="dxa"/>
            <w:shd w:val="clear" w:color="auto" w:fill="1B365D"/>
            <w:tcMar>
              <w:top w:w="70" w:type="dxa"/>
              <w:left w:w="100" w:type="dxa"/>
              <w:bottom w:w="70" w:type="dxa"/>
              <w:right w:w="100" w:type="dxa"/>
            </w:tcMar>
          </w:tcPr>
          <w:p w14:paraId="5BD48D0D" w14:textId="77777777" w:rsidR="00F67131" w:rsidRDefault="00000000">
            <w:pPr>
              <w:spacing w:before="40" w:after="40" w:line="240" w:lineRule="auto"/>
              <w:jc w:val="both"/>
            </w:pPr>
            <w:r>
              <w:rPr>
                <w:rFonts w:ascii="Times New Roman" w:hAnsi="Times New Roman"/>
                <w:b/>
                <w:color w:val="FFFFFF"/>
                <w:sz w:val="19"/>
              </w:rPr>
              <w:t>2023</w:t>
            </w:r>
          </w:p>
        </w:tc>
        <w:tc>
          <w:tcPr>
            <w:tcW w:w="1008" w:type="dxa"/>
            <w:shd w:val="clear" w:color="auto" w:fill="1B365D"/>
            <w:tcMar>
              <w:top w:w="70" w:type="dxa"/>
              <w:left w:w="100" w:type="dxa"/>
              <w:bottom w:w="70" w:type="dxa"/>
              <w:right w:w="100" w:type="dxa"/>
            </w:tcMar>
          </w:tcPr>
          <w:p w14:paraId="0434093D" w14:textId="77777777" w:rsidR="00F67131" w:rsidRDefault="00000000">
            <w:pPr>
              <w:spacing w:before="40" w:after="40" w:line="240" w:lineRule="auto"/>
              <w:jc w:val="both"/>
            </w:pPr>
            <w:r>
              <w:rPr>
                <w:rFonts w:ascii="Times New Roman" w:hAnsi="Times New Roman"/>
                <w:b/>
                <w:color w:val="FFFFFF"/>
                <w:sz w:val="19"/>
              </w:rPr>
              <w:t>2024</w:t>
            </w:r>
          </w:p>
        </w:tc>
        <w:tc>
          <w:tcPr>
            <w:tcW w:w="1008" w:type="dxa"/>
            <w:shd w:val="clear" w:color="auto" w:fill="1B365D"/>
            <w:tcMar>
              <w:top w:w="70" w:type="dxa"/>
              <w:left w:w="100" w:type="dxa"/>
              <w:bottom w:w="70" w:type="dxa"/>
              <w:right w:w="100" w:type="dxa"/>
            </w:tcMar>
          </w:tcPr>
          <w:p w14:paraId="5B5310A5" w14:textId="77777777" w:rsidR="00F67131" w:rsidRDefault="00000000">
            <w:pPr>
              <w:spacing w:before="40" w:after="40" w:line="240" w:lineRule="auto"/>
              <w:jc w:val="both"/>
            </w:pPr>
            <w:r>
              <w:rPr>
                <w:rFonts w:ascii="Times New Roman" w:hAnsi="Times New Roman"/>
                <w:b/>
                <w:color w:val="FFFFFF"/>
                <w:sz w:val="19"/>
              </w:rPr>
              <w:t>2025</w:t>
            </w:r>
          </w:p>
        </w:tc>
      </w:tr>
      <w:tr w:rsidR="00F67131" w14:paraId="35954C34" w14:textId="77777777">
        <w:trPr>
          <w:jc w:val="center"/>
          <w:cantSplit/>
        </w:trPr>
        <w:tc>
          <w:tcPr>
            <w:tcW w:w="3456" w:type="dxa"/>
            <w:tcMar>
              <w:top w:w="70" w:type="dxa"/>
              <w:left w:w="100" w:type="dxa"/>
              <w:bottom w:w="70" w:type="dxa"/>
              <w:right w:w="100" w:type="dxa"/>
            </w:tcMar>
          </w:tcPr>
          <w:p w14:paraId="06D5315A" w14:textId="77777777" w:rsidR="00F67131" w:rsidRDefault="00000000">
            <w:pPr>
              <w:spacing w:before="40" w:after="40" w:line="240" w:lineRule="auto"/>
              <w:jc w:val="both"/>
            </w:pPr>
            <w:r>
              <w:rPr>
                <w:rFonts w:ascii="Times New Roman" w:hAnsi="Times New Roman"/>
                <w:color w:val="262626"/>
                <w:sz w:val="18"/>
              </w:rPr>
              <w:t>Agribank: Dư nợ cho vay KH (Hợp nhất)</w:t>
            </w:r>
          </w:p>
        </w:tc>
        <w:tc>
          <w:tcPr>
            <w:tcW w:w="1008" w:type="dxa"/>
            <w:tcMar>
              <w:top w:w="70" w:type="dxa"/>
              <w:left w:w="100" w:type="dxa"/>
              <w:bottom w:w="70" w:type="dxa"/>
              <w:right w:w="100" w:type="dxa"/>
            </w:tcMar>
          </w:tcPr>
          <w:p w14:paraId="3BD30257" w14:textId="77777777" w:rsidR="00F67131" w:rsidRDefault="00000000">
            <w:pPr>
              <w:spacing w:before="40" w:after="40" w:line="240" w:lineRule="auto"/>
              <w:jc w:val="both"/>
            </w:pPr>
            <w:r>
              <w:rPr>
                <w:rFonts w:ascii="Times New Roman" w:hAnsi="Times New Roman"/>
                <w:color w:val="262626"/>
                <w:sz w:val="18"/>
              </w:rPr>
              <w:t>1.213.958</w:t>
            </w:r>
          </w:p>
        </w:tc>
        <w:tc>
          <w:tcPr>
            <w:tcW w:w="1008" w:type="dxa"/>
            <w:tcMar>
              <w:top w:w="70" w:type="dxa"/>
              <w:left w:w="100" w:type="dxa"/>
              <w:bottom w:w="70" w:type="dxa"/>
              <w:right w:w="100" w:type="dxa"/>
            </w:tcMar>
          </w:tcPr>
          <w:p w14:paraId="290DA9BC" w14:textId="77777777" w:rsidR="00F67131" w:rsidRDefault="00000000">
            <w:pPr>
              <w:spacing w:before="40" w:after="40" w:line="240" w:lineRule="auto"/>
              <w:jc w:val="both"/>
            </w:pPr>
            <w:r>
              <w:rPr>
                <w:rFonts w:ascii="Times New Roman" w:hAnsi="Times New Roman"/>
                <w:color w:val="262626"/>
                <w:sz w:val="18"/>
              </w:rPr>
              <w:t>1.316.449</w:t>
            </w:r>
          </w:p>
        </w:tc>
        <w:tc>
          <w:tcPr>
            <w:tcW w:w="1008" w:type="dxa"/>
            <w:tcMar>
              <w:top w:w="70" w:type="dxa"/>
              <w:left w:w="100" w:type="dxa"/>
              <w:bottom w:w="70" w:type="dxa"/>
              <w:right w:w="100" w:type="dxa"/>
            </w:tcMar>
          </w:tcPr>
          <w:p w14:paraId="0C355AE1" w14:textId="77777777" w:rsidR="00F67131" w:rsidRDefault="00000000">
            <w:pPr>
              <w:spacing w:before="40" w:after="40" w:line="240" w:lineRule="auto"/>
              <w:jc w:val="both"/>
            </w:pPr>
            <w:r>
              <w:rPr>
                <w:rFonts w:ascii="Times New Roman" w:hAnsi="Times New Roman"/>
                <w:color w:val="262626"/>
                <w:sz w:val="18"/>
              </w:rPr>
              <w:t>1.444.802</w:t>
            </w:r>
          </w:p>
        </w:tc>
        <w:tc>
          <w:tcPr>
            <w:tcW w:w="1008" w:type="dxa"/>
            <w:tcMar>
              <w:top w:w="70" w:type="dxa"/>
              <w:left w:w="100" w:type="dxa"/>
              <w:bottom w:w="70" w:type="dxa"/>
              <w:right w:w="100" w:type="dxa"/>
            </w:tcMar>
          </w:tcPr>
          <w:p w14:paraId="75EC2B73" w14:textId="77777777" w:rsidR="00F67131" w:rsidRDefault="00000000">
            <w:pPr>
              <w:spacing w:before="40" w:after="40" w:line="240" w:lineRule="auto"/>
              <w:jc w:val="both"/>
            </w:pPr>
            <w:r>
              <w:rPr>
                <w:rFonts w:ascii="Times New Roman" w:hAnsi="Times New Roman"/>
                <w:color w:val="262626"/>
                <w:sz w:val="18"/>
              </w:rPr>
              <w:t>1.552.158</w:t>
            </w:r>
          </w:p>
        </w:tc>
        <w:tc>
          <w:tcPr>
            <w:tcW w:w="1008" w:type="dxa"/>
            <w:tcMar>
              <w:top w:w="70" w:type="dxa"/>
              <w:left w:w="100" w:type="dxa"/>
              <w:bottom w:w="70" w:type="dxa"/>
              <w:right w:w="100" w:type="dxa"/>
            </w:tcMar>
          </w:tcPr>
          <w:p w14:paraId="004BC016" w14:textId="77777777" w:rsidR="00F67131" w:rsidRDefault="00000000">
            <w:pPr>
              <w:spacing w:before="40" w:after="40" w:line="240" w:lineRule="auto"/>
              <w:jc w:val="both"/>
            </w:pPr>
            <w:r>
              <w:rPr>
                <w:rFonts w:ascii="Times New Roman" w:hAnsi="Times New Roman"/>
                <w:color w:val="262626"/>
                <w:sz w:val="18"/>
              </w:rPr>
              <w:t>1.723.382</w:t>
            </w:r>
          </w:p>
        </w:tc>
        <w:tc>
          <w:tcPr>
            <w:tcW w:w="1008" w:type="dxa"/>
            <w:tcMar>
              <w:top w:w="70" w:type="dxa"/>
              <w:left w:w="100" w:type="dxa"/>
              <w:bottom w:w="70" w:type="dxa"/>
              <w:right w:w="100" w:type="dxa"/>
            </w:tcMar>
          </w:tcPr>
          <w:p w14:paraId="7514AF48" w14:textId="77777777" w:rsidR="00F67131" w:rsidRDefault="00000000">
            <w:pPr>
              <w:spacing w:before="40" w:after="40" w:line="240" w:lineRule="auto"/>
              <w:jc w:val="both"/>
            </w:pPr>
            <w:r>
              <w:rPr>
                <w:rFonts w:ascii="Times New Roman" w:hAnsi="Times New Roman"/>
                <w:color w:val="262626"/>
                <w:sz w:val="18"/>
              </w:rPr>
              <w:t>1.976.369</w:t>
            </w:r>
          </w:p>
        </w:tc>
      </w:tr>
      <w:tr w:rsidR="00F67131" w14:paraId="2491E7F8" w14:textId="77777777">
        <w:trPr>
          <w:jc w:val="center"/>
          <w:cantSplit/>
        </w:trPr>
        <w:tc>
          <w:tcPr>
            <w:tcW w:w="3456" w:type="dxa"/>
            <w:tcMar>
              <w:top w:w="70" w:type="dxa"/>
              <w:left w:w="100" w:type="dxa"/>
              <w:bottom w:w="70" w:type="dxa"/>
              <w:right w:w="100" w:type="dxa"/>
            </w:tcMar>
          </w:tcPr>
          <w:p w14:paraId="3B993019" w14:textId="77777777" w:rsidR="00F67131" w:rsidRDefault="00000000">
            <w:pPr>
              <w:spacing w:before="40" w:after="40" w:line="240" w:lineRule="auto"/>
              <w:jc w:val="both"/>
            </w:pPr>
            <w:r>
              <w:rPr>
                <w:rFonts w:ascii="Times New Roman" w:hAnsi="Times New Roman"/>
                <w:color w:val="262626"/>
                <w:sz w:val="18"/>
              </w:rPr>
              <w:t>Agribank: Tăng trưởng dư nợ (%)</w:t>
            </w:r>
          </w:p>
        </w:tc>
        <w:tc>
          <w:tcPr>
            <w:tcW w:w="1008" w:type="dxa"/>
            <w:tcMar>
              <w:top w:w="70" w:type="dxa"/>
              <w:left w:w="100" w:type="dxa"/>
              <w:bottom w:w="70" w:type="dxa"/>
              <w:right w:w="100" w:type="dxa"/>
            </w:tcMar>
          </w:tcPr>
          <w:p w14:paraId="7ED6F450" w14:textId="77777777" w:rsidR="00F67131" w:rsidRDefault="00000000">
            <w:pPr>
              <w:spacing w:before="40" w:after="40" w:line="240" w:lineRule="auto"/>
              <w:jc w:val="both"/>
            </w:pPr>
            <w:r>
              <w:rPr>
                <w:rFonts w:ascii="Times New Roman" w:hAnsi="Times New Roman"/>
                <w:color w:val="262626"/>
                <w:sz w:val="18"/>
              </w:rPr>
              <w:t>8,2%</w:t>
            </w:r>
          </w:p>
        </w:tc>
        <w:tc>
          <w:tcPr>
            <w:tcW w:w="1008" w:type="dxa"/>
            <w:tcMar>
              <w:top w:w="70" w:type="dxa"/>
              <w:left w:w="100" w:type="dxa"/>
              <w:bottom w:w="70" w:type="dxa"/>
              <w:right w:w="100" w:type="dxa"/>
            </w:tcMar>
          </w:tcPr>
          <w:p w14:paraId="17679AF9" w14:textId="77777777" w:rsidR="00F67131" w:rsidRDefault="00000000">
            <w:pPr>
              <w:spacing w:before="40" w:after="40" w:line="240" w:lineRule="auto"/>
              <w:jc w:val="both"/>
            </w:pPr>
            <w:r>
              <w:rPr>
                <w:rFonts w:ascii="Times New Roman" w:hAnsi="Times New Roman"/>
                <w:color w:val="262626"/>
                <w:sz w:val="18"/>
              </w:rPr>
              <w:t>8,4%</w:t>
            </w:r>
          </w:p>
        </w:tc>
        <w:tc>
          <w:tcPr>
            <w:tcW w:w="1008" w:type="dxa"/>
            <w:tcMar>
              <w:top w:w="70" w:type="dxa"/>
              <w:left w:w="100" w:type="dxa"/>
              <w:bottom w:w="70" w:type="dxa"/>
              <w:right w:w="100" w:type="dxa"/>
            </w:tcMar>
          </w:tcPr>
          <w:p w14:paraId="7CB10A4F" w14:textId="77777777" w:rsidR="00F67131" w:rsidRDefault="00000000">
            <w:pPr>
              <w:spacing w:before="40" w:after="40" w:line="240" w:lineRule="auto"/>
              <w:jc w:val="both"/>
            </w:pPr>
            <w:r>
              <w:rPr>
                <w:rFonts w:ascii="Times New Roman" w:hAnsi="Times New Roman"/>
                <w:color w:val="262626"/>
                <w:sz w:val="18"/>
              </w:rPr>
              <w:t>9,8%</w:t>
            </w:r>
          </w:p>
        </w:tc>
        <w:tc>
          <w:tcPr>
            <w:tcW w:w="1008" w:type="dxa"/>
            <w:tcMar>
              <w:top w:w="70" w:type="dxa"/>
              <w:left w:w="100" w:type="dxa"/>
              <w:bottom w:w="70" w:type="dxa"/>
              <w:right w:w="100" w:type="dxa"/>
            </w:tcMar>
          </w:tcPr>
          <w:p w14:paraId="2EE58052" w14:textId="77777777" w:rsidR="00F67131" w:rsidRDefault="00000000">
            <w:pPr>
              <w:spacing w:before="40" w:after="40" w:line="240" w:lineRule="auto"/>
              <w:jc w:val="both"/>
            </w:pPr>
            <w:r>
              <w:rPr>
                <w:rFonts w:ascii="Times New Roman" w:hAnsi="Times New Roman"/>
                <w:color w:val="262626"/>
                <w:sz w:val="18"/>
              </w:rPr>
              <w:t>7,4%</w:t>
            </w:r>
          </w:p>
        </w:tc>
        <w:tc>
          <w:tcPr>
            <w:tcW w:w="1008" w:type="dxa"/>
            <w:tcMar>
              <w:top w:w="70" w:type="dxa"/>
              <w:left w:w="100" w:type="dxa"/>
              <w:bottom w:w="70" w:type="dxa"/>
              <w:right w:w="100" w:type="dxa"/>
            </w:tcMar>
          </w:tcPr>
          <w:p w14:paraId="35789AF0" w14:textId="77777777" w:rsidR="00F67131" w:rsidRDefault="00000000">
            <w:pPr>
              <w:spacing w:before="40" w:after="40" w:line="240" w:lineRule="auto"/>
              <w:jc w:val="both"/>
            </w:pPr>
            <w:r>
              <w:rPr>
                <w:rFonts w:ascii="Times New Roman" w:hAnsi="Times New Roman"/>
                <w:color w:val="262626"/>
                <w:sz w:val="18"/>
              </w:rPr>
              <w:t>11,0%</w:t>
            </w:r>
          </w:p>
        </w:tc>
        <w:tc>
          <w:tcPr>
            <w:tcW w:w="1008" w:type="dxa"/>
            <w:tcMar>
              <w:top w:w="70" w:type="dxa"/>
              <w:left w:w="100" w:type="dxa"/>
              <w:bottom w:w="70" w:type="dxa"/>
              <w:right w:w="100" w:type="dxa"/>
            </w:tcMar>
          </w:tcPr>
          <w:p w14:paraId="6EDCB829" w14:textId="77777777" w:rsidR="00F67131" w:rsidRDefault="00000000">
            <w:pPr>
              <w:spacing w:before="40" w:after="40" w:line="240" w:lineRule="auto"/>
              <w:jc w:val="both"/>
            </w:pPr>
            <w:r>
              <w:rPr>
                <w:rFonts w:ascii="Times New Roman" w:hAnsi="Times New Roman"/>
                <w:color w:val="262626"/>
                <w:sz w:val="18"/>
              </w:rPr>
              <w:t>14,7%</w:t>
            </w:r>
          </w:p>
        </w:tc>
      </w:tr>
      <w:tr w:rsidR="00F67131" w14:paraId="0319FCFA" w14:textId="77777777">
        <w:trPr>
          <w:jc w:val="center"/>
          <w:cantSplit/>
        </w:trPr>
        <w:tc>
          <w:tcPr>
            <w:tcW w:w="3456" w:type="dxa"/>
            <w:tcMar>
              <w:top w:w="70" w:type="dxa"/>
              <w:left w:w="100" w:type="dxa"/>
              <w:bottom w:w="70" w:type="dxa"/>
              <w:right w:w="100" w:type="dxa"/>
            </w:tcMar>
          </w:tcPr>
          <w:p w14:paraId="0C7CDE4D" w14:textId="77777777" w:rsidR="00F67131" w:rsidRDefault="00000000">
            <w:pPr>
              <w:spacing w:before="40" w:after="40" w:line="240" w:lineRule="auto"/>
              <w:jc w:val="both"/>
            </w:pPr>
            <w:r>
              <w:rPr>
                <w:rFonts w:ascii="Times New Roman" w:hAnsi="Times New Roman"/>
                <w:color w:val="262626"/>
                <w:sz w:val="18"/>
              </w:rPr>
              <w:t>Agribank: Nợ xấu Nhóm 3–5 (TM 9/10 BCTC)</w:t>
            </w:r>
          </w:p>
        </w:tc>
        <w:tc>
          <w:tcPr>
            <w:tcW w:w="1008" w:type="dxa"/>
            <w:tcMar>
              <w:top w:w="70" w:type="dxa"/>
              <w:left w:w="100" w:type="dxa"/>
              <w:bottom w:w="70" w:type="dxa"/>
              <w:right w:w="100" w:type="dxa"/>
            </w:tcMar>
          </w:tcPr>
          <w:p w14:paraId="2D68F535" w14:textId="77777777" w:rsidR="00F67131" w:rsidRDefault="00000000">
            <w:pPr>
              <w:spacing w:before="40" w:after="40" w:line="240" w:lineRule="auto"/>
              <w:jc w:val="both"/>
            </w:pPr>
            <w:r>
              <w:rPr>
                <w:rFonts w:ascii="Times New Roman" w:hAnsi="Times New Roman"/>
                <w:color w:val="262626"/>
                <w:sz w:val="18"/>
              </w:rPr>
              <w:t>21.527</w:t>
            </w:r>
          </w:p>
        </w:tc>
        <w:tc>
          <w:tcPr>
            <w:tcW w:w="1008" w:type="dxa"/>
            <w:tcMar>
              <w:top w:w="70" w:type="dxa"/>
              <w:left w:w="100" w:type="dxa"/>
              <w:bottom w:w="70" w:type="dxa"/>
              <w:right w:w="100" w:type="dxa"/>
            </w:tcMar>
          </w:tcPr>
          <w:p w14:paraId="2E93C5CD" w14:textId="77777777" w:rsidR="00F67131" w:rsidRDefault="00000000">
            <w:pPr>
              <w:spacing w:before="40" w:after="40" w:line="240" w:lineRule="auto"/>
              <w:jc w:val="both"/>
            </w:pPr>
            <w:r>
              <w:rPr>
                <w:rFonts w:ascii="Times New Roman" w:hAnsi="Times New Roman"/>
                <w:color w:val="262626"/>
                <w:sz w:val="18"/>
              </w:rPr>
              <w:t>24.554</w:t>
            </w:r>
          </w:p>
        </w:tc>
        <w:tc>
          <w:tcPr>
            <w:tcW w:w="1008" w:type="dxa"/>
            <w:tcMar>
              <w:top w:w="70" w:type="dxa"/>
              <w:left w:w="100" w:type="dxa"/>
              <w:bottom w:w="70" w:type="dxa"/>
              <w:right w:w="100" w:type="dxa"/>
            </w:tcMar>
          </w:tcPr>
          <w:p w14:paraId="76181140" w14:textId="77777777" w:rsidR="00F67131" w:rsidRDefault="00000000">
            <w:pPr>
              <w:spacing w:before="40" w:after="40" w:line="240" w:lineRule="auto"/>
              <w:jc w:val="both"/>
            </w:pPr>
            <w:r>
              <w:rPr>
                <w:rFonts w:ascii="Times New Roman" w:hAnsi="Times New Roman"/>
                <w:color w:val="262626"/>
                <w:sz w:val="18"/>
              </w:rPr>
              <w:t>26.064</w:t>
            </w:r>
          </w:p>
        </w:tc>
        <w:tc>
          <w:tcPr>
            <w:tcW w:w="1008" w:type="dxa"/>
            <w:tcMar>
              <w:top w:w="70" w:type="dxa"/>
              <w:left w:w="100" w:type="dxa"/>
              <w:bottom w:w="70" w:type="dxa"/>
              <w:right w:w="100" w:type="dxa"/>
            </w:tcMar>
          </w:tcPr>
          <w:p w14:paraId="145AC4E8" w14:textId="77777777" w:rsidR="00F67131" w:rsidRDefault="00000000">
            <w:pPr>
              <w:spacing w:before="40" w:after="40" w:line="240" w:lineRule="auto"/>
              <w:jc w:val="both"/>
            </w:pPr>
            <w:r>
              <w:rPr>
                <w:rFonts w:ascii="Times New Roman" w:hAnsi="Times New Roman"/>
                <w:color w:val="262626"/>
                <w:sz w:val="18"/>
              </w:rPr>
              <w:t>28.721</w:t>
            </w:r>
          </w:p>
        </w:tc>
        <w:tc>
          <w:tcPr>
            <w:tcW w:w="1008" w:type="dxa"/>
            <w:tcMar>
              <w:top w:w="70" w:type="dxa"/>
              <w:left w:w="100" w:type="dxa"/>
              <w:bottom w:w="70" w:type="dxa"/>
              <w:right w:w="100" w:type="dxa"/>
            </w:tcMar>
          </w:tcPr>
          <w:p w14:paraId="7940A71C" w14:textId="77777777" w:rsidR="00F67131" w:rsidRDefault="00000000">
            <w:pPr>
              <w:spacing w:before="40" w:after="40" w:line="240" w:lineRule="auto"/>
              <w:jc w:val="both"/>
            </w:pPr>
            <w:r>
              <w:rPr>
                <w:rFonts w:ascii="Times New Roman" w:hAnsi="Times New Roman"/>
                <w:color w:val="262626"/>
                <w:sz w:val="18"/>
              </w:rPr>
              <w:t>29.009</w:t>
            </w:r>
          </w:p>
        </w:tc>
        <w:tc>
          <w:tcPr>
            <w:tcW w:w="1008" w:type="dxa"/>
            <w:tcMar>
              <w:top w:w="70" w:type="dxa"/>
              <w:left w:w="100" w:type="dxa"/>
              <w:bottom w:w="70" w:type="dxa"/>
              <w:right w:w="100" w:type="dxa"/>
            </w:tcMar>
          </w:tcPr>
          <w:p w14:paraId="4057CB2B" w14:textId="77777777" w:rsidR="00F67131" w:rsidRDefault="00000000">
            <w:pPr>
              <w:spacing w:before="40" w:after="40" w:line="240" w:lineRule="auto"/>
              <w:jc w:val="both"/>
            </w:pPr>
            <w:r>
              <w:rPr>
                <w:rFonts w:ascii="Times New Roman" w:hAnsi="Times New Roman"/>
                <w:color w:val="262626"/>
                <w:sz w:val="18"/>
              </w:rPr>
              <w:t>25.610</w:t>
            </w:r>
          </w:p>
        </w:tc>
      </w:tr>
      <w:tr w:rsidR="00F67131" w14:paraId="7895914D" w14:textId="77777777">
        <w:trPr>
          <w:jc w:val="center"/>
          <w:cantSplit/>
        </w:trPr>
        <w:tc>
          <w:tcPr>
            <w:tcW w:w="3456" w:type="dxa"/>
            <w:tcMar>
              <w:top w:w="70" w:type="dxa"/>
              <w:left w:w="100" w:type="dxa"/>
              <w:bottom w:w="70" w:type="dxa"/>
              <w:right w:w="100" w:type="dxa"/>
            </w:tcMar>
          </w:tcPr>
          <w:p w14:paraId="170AB9D2" w14:textId="77777777" w:rsidR="00F67131" w:rsidRDefault="00000000">
            <w:pPr>
              <w:spacing w:before="40" w:after="40" w:line="240" w:lineRule="auto"/>
              <w:jc w:val="both"/>
            </w:pPr>
            <w:r>
              <w:rPr>
                <w:rFonts w:ascii="Times New Roman" w:hAnsi="Times New Roman"/>
                <w:b/>
                <w:color w:val="262626"/>
                <w:sz w:val="18"/>
              </w:rPr>
              <w:t>Agribank: NPL chuẩn TT11/TT31 (BCTN, %)</w:t>
            </w:r>
          </w:p>
        </w:tc>
        <w:tc>
          <w:tcPr>
            <w:tcW w:w="1008" w:type="dxa"/>
            <w:tcMar>
              <w:top w:w="70" w:type="dxa"/>
              <w:left w:w="100" w:type="dxa"/>
              <w:bottom w:w="70" w:type="dxa"/>
              <w:right w:w="100" w:type="dxa"/>
            </w:tcMar>
          </w:tcPr>
          <w:p w14:paraId="11876D35" w14:textId="77777777" w:rsidR="00F67131" w:rsidRDefault="00000000">
            <w:pPr>
              <w:spacing w:before="40" w:after="40" w:line="240" w:lineRule="auto"/>
              <w:jc w:val="both"/>
            </w:pPr>
            <w:r>
              <w:rPr>
                <w:rFonts w:ascii="Times New Roman" w:hAnsi="Times New Roman"/>
                <w:color w:val="262626"/>
                <w:sz w:val="18"/>
              </w:rPr>
              <w:t>1,63%</w:t>
            </w:r>
          </w:p>
        </w:tc>
        <w:tc>
          <w:tcPr>
            <w:tcW w:w="1008" w:type="dxa"/>
            <w:tcMar>
              <w:top w:w="70" w:type="dxa"/>
              <w:left w:w="100" w:type="dxa"/>
              <w:bottom w:w="70" w:type="dxa"/>
              <w:right w:w="100" w:type="dxa"/>
            </w:tcMar>
          </w:tcPr>
          <w:p w14:paraId="1375526A" w14:textId="77777777" w:rsidR="00F67131" w:rsidRDefault="00000000">
            <w:pPr>
              <w:spacing w:before="40" w:after="40" w:line="240" w:lineRule="auto"/>
              <w:jc w:val="both"/>
            </w:pPr>
            <w:r>
              <w:rPr>
                <w:rFonts w:ascii="Times New Roman" w:hAnsi="Times New Roman"/>
                <w:color w:val="262626"/>
                <w:sz w:val="18"/>
              </w:rPr>
              <w:t>1,78%</w:t>
            </w:r>
          </w:p>
        </w:tc>
        <w:tc>
          <w:tcPr>
            <w:tcW w:w="1008" w:type="dxa"/>
            <w:tcMar>
              <w:top w:w="70" w:type="dxa"/>
              <w:left w:w="100" w:type="dxa"/>
              <w:bottom w:w="70" w:type="dxa"/>
              <w:right w:w="100" w:type="dxa"/>
            </w:tcMar>
          </w:tcPr>
          <w:p w14:paraId="16E75CEA" w14:textId="77777777" w:rsidR="00F67131" w:rsidRDefault="00000000">
            <w:pPr>
              <w:spacing w:before="40" w:after="40" w:line="240" w:lineRule="auto"/>
              <w:jc w:val="both"/>
            </w:pPr>
            <w:r>
              <w:rPr>
                <w:rFonts w:ascii="Times New Roman" w:hAnsi="Times New Roman"/>
                <w:color w:val="262626"/>
                <w:sz w:val="18"/>
              </w:rPr>
              <w:t>1,71%</w:t>
            </w:r>
          </w:p>
        </w:tc>
        <w:tc>
          <w:tcPr>
            <w:tcW w:w="1008" w:type="dxa"/>
            <w:tcMar>
              <w:top w:w="70" w:type="dxa"/>
              <w:left w:w="100" w:type="dxa"/>
              <w:bottom w:w="70" w:type="dxa"/>
              <w:right w:w="100" w:type="dxa"/>
            </w:tcMar>
          </w:tcPr>
          <w:p w14:paraId="44E43D85" w14:textId="77777777" w:rsidR="00F67131" w:rsidRDefault="00000000">
            <w:pPr>
              <w:spacing w:before="40" w:after="40" w:line="240" w:lineRule="auto"/>
              <w:jc w:val="both"/>
            </w:pPr>
            <w:r>
              <w:rPr>
                <w:rFonts w:ascii="Times New Roman" w:hAnsi="Times New Roman"/>
                <w:color w:val="262626"/>
                <w:sz w:val="18"/>
              </w:rPr>
              <w:t>1,77%</w:t>
            </w:r>
          </w:p>
        </w:tc>
        <w:tc>
          <w:tcPr>
            <w:tcW w:w="1008" w:type="dxa"/>
            <w:tcMar>
              <w:top w:w="70" w:type="dxa"/>
              <w:left w:w="100" w:type="dxa"/>
              <w:bottom w:w="70" w:type="dxa"/>
              <w:right w:w="100" w:type="dxa"/>
            </w:tcMar>
          </w:tcPr>
          <w:p w14:paraId="03190038" w14:textId="77777777" w:rsidR="00F67131" w:rsidRDefault="00000000">
            <w:pPr>
              <w:spacing w:before="40" w:after="40" w:line="240" w:lineRule="auto"/>
              <w:jc w:val="both"/>
            </w:pPr>
            <w:r>
              <w:rPr>
                <w:rFonts w:ascii="Times New Roman" w:hAnsi="Times New Roman"/>
                <w:color w:val="262626"/>
                <w:sz w:val="18"/>
              </w:rPr>
              <w:t>1,58%</w:t>
            </w:r>
          </w:p>
        </w:tc>
        <w:tc>
          <w:tcPr>
            <w:tcW w:w="1008" w:type="dxa"/>
            <w:tcMar>
              <w:top w:w="70" w:type="dxa"/>
              <w:left w:w="100" w:type="dxa"/>
              <w:bottom w:w="70" w:type="dxa"/>
              <w:right w:w="100" w:type="dxa"/>
            </w:tcMar>
          </w:tcPr>
          <w:p w14:paraId="712A2335" w14:textId="77777777" w:rsidR="00F67131" w:rsidRDefault="00000000">
            <w:pPr>
              <w:spacing w:before="40" w:after="40" w:line="240" w:lineRule="auto"/>
              <w:jc w:val="both"/>
            </w:pPr>
            <w:r>
              <w:rPr>
                <w:rFonts w:ascii="Times New Roman" w:hAnsi="Times New Roman"/>
                <w:color w:val="262626"/>
                <w:sz w:val="18"/>
              </w:rPr>
              <w:t>1,17%</w:t>
            </w:r>
          </w:p>
        </w:tc>
      </w:tr>
      <w:tr w:rsidR="00F67131" w14:paraId="0455AEBC" w14:textId="77777777">
        <w:trPr>
          <w:jc w:val="center"/>
          <w:cantSplit/>
        </w:trPr>
        <w:tc>
          <w:tcPr>
            <w:tcW w:w="3456" w:type="dxa"/>
            <w:tcMar>
              <w:top w:w="70" w:type="dxa"/>
              <w:left w:w="100" w:type="dxa"/>
              <w:bottom w:w="70" w:type="dxa"/>
              <w:right w:w="100" w:type="dxa"/>
            </w:tcMar>
          </w:tcPr>
          <w:p w14:paraId="1CF44138" w14:textId="77777777" w:rsidR="00F67131" w:rsidRDefault="00000000">
            <w:pPr>
              <w:spacing w:before="40" w:after="40" w:line="240" w:lineRule="auto"/>
              <w:jc w:val="both"/>
            </w:pPr>
            <w:r>
              <w:rPr>
                <w:rFonts w:ascii="Times New Roman" w:hAnsi="Times New Roman"/>
                <w:b/>
                <w:color w:val="262626"/>
                <w:sz w:val="18"/>
              </w:rPr>
              <w:t>Agribank: NPL trên dư nợ cho vay (TM 9/10, %)</w:t>
            </w:r>
          </w:p>
        </w:tc>
        <w:tc>
          <w:tcPr>
            <w:tcW w:w="1008" w:type="dxa"/>
            <w:tcMar>
              <w:top w:w="70" w:type="dxa"/>
              <w:left w:w="100" w:type="dxa"/>
              <w:bottom w:w="70" w:type="dxa"/>
              <w:right w:w="100" w:type="dxa"/>
            </w:tcMar>
          </w:tcPr>
          <w:p w14:paraId="6176B9C3" w14:textId="77777777" w:rsidR="00F67131" w:rsidRDefault="00000000">
            <w:pPr>
              <w:spacing w:before="40" w:after="40" w:line="240" w:lineRule="auto"/>
              <w:jc w:val="both"/>
            </w:pPr>
            <w:r>
              <w:rPr>
                <w:rFonts w:ascii="Times New Roman" w:hAnsi="Times New Roman"/>
                <w:color w:val="262626"/>
                <w:sz w:val="18"/>
              </w:rPr>
              <w:t>1,77%</w:t>
            </w:r>
          </w:p>
        </w:tc>
        <w:tc>
          <w:tcPr>
            <w:tcW w:w="1008" w:type="dxa"/>
            <w:tcMar>
              <w:top w:w="70" w:type="dxa"/>
              <w:left w:w="100" w:type="dxa"/>
              <w:bottom w:w="70" w:type="dxa"/>
              <w:right w:w="100" w:type="dxa"/>
            </w:tcMar>
          </w:tcPr>
          <w:p w14:paraId="22C1656D" w14:textId="77777777" w:rsidR="00F67131" w:rsidRDefault="00000000">
            <w:pPr>
              <w:spacing w:before="40" w:after="40" w:line="240" w:lineRule="auto"/>
              <w:jc w:val="both"/>
            </w:pPr>
            <w:r>
              <w:rPr>
                <w:rFonts w:ascii="Times New Roman" w:hAnsi="Times New Roman"/>
                <w:color w:val="262626"/>
                <w:sz w:val="18"/>
              </w:rPr>
              <w:t>1,87%</w:t>
            </w:r>
          </w:p>
        </w:tc>
        <w:tc>
          <w:tcPr>
            <w:tcW w:w="1008" w:type="dxa"/>
            <w:tcMar>
              <w:top w:w="70" w:type="dxa"/>
              <w:left w:w="100" w:type="dxa"/>
              <w:bottom w:w="70" w:type="dxa"/>
              <w:right w:w="100" w:type="dxa"/>
            </w:tcMar>
          </w:tcPr>
          <w:p w14:paraId="705CDC8A" w14:textId="77777777" w:rsidR="00F67131" w:rsidRDefault="00000000">
            <w:pPr>
              <w:spacing w:before="40" w:after="40" w:line="240" w:lineRule="auto"/>
              <w:jc w:val="both"/>
            </w:pPr>
            <w:r>
              <w:rPr>
                <w:rFonts w:ascii="Times New Roman" w:hAnsi="Times New Roman"/>
                <w:color w:val="262626"/>
                <w:sz w:val="18"/>
              </w:rPr>
              <w:t>1,80%</w:t>
            </w:r>
          </w:p>
        </w:tc>
        <w:tc>
          <w:tcPr>
            <w:tcW w:w="1008" w:type="dxa"/>
            <w:tcMar>
              <w:top w:w="70" w:type="dxa"/>
              <w:left w:w="100" w:type="dxa"/>
              <w:bottom w:w="70" w:type="dxa"/>
              <w:right w:w="100" w:type="dxa"/>
            </w:tcMar>
          </w:tcPr>
          <w:p w14:paraId="35858116" w14:textId="77777777" w:rsidR="00F67131" w:rsidRDefault="00000000">
            <w:pPr>
              <w:spacing w:before="40" w:after="40" w:line="240" w:lineRule="auto"/>
              <w:jc w:val="both"/>
            </w:pPr>
            <w:r>
              <w:rPr>
                <w:rFonts w:ascii="Times New Roman" w:hAnsi="Times New Roman"/>
                <w:color w:val="262626"/>
                <w:sz w:val="18"/>
              </w:rPr>
              <w:t>1,85%</w:t>
            </w:r>
          </w:p>
        </w:tc>
        <w:tc>
          <w:tcPr>
            <w:tcW w:w="1008" w:type="dxa"/>
            <w:tcMar>
              <w:top w:w="70" w:type="dxa"/>
              <w:left w:w="100" w:type="dxa"/>
              <w:bottom w:w="70" w:type="dxa"/>
              <w:right w:w="100" w:type="dxa"/>
            </w:tcMar>
          </w:tcPr>
          <w:p w14:paraId="5DB5F2A5" w14:textId="77777777" w:rsidR="00F67131" w:rsidRDefault="00000000">
            <w:pPr>
              <w:spacing w:before="40" w:after="40" w:line="240" w:lineRule="auto"/>
              <w:jc w:val="both"/>
            </w:pPr>
            <w:r>
              <w:rPr>
                <w:rFonts w:ascii="Times New Roman" w:hAnsi="Times New Roman"/>
                <w:color w:val="262626"/>
                <w:sz w:val="18"/>
              </w:rPr>
              <w:t>1,68%</w:t>
            </w:r>
          </w:p>
        </w:tc>
        <w:tc>
          <w:tcPr>
            <w:tcW w:w="1008" w:type="dxa"/>
            <w:tcMar>
              <w:top w:w="70" w:type="dxa"/>
              <w:left w:w="100" w:type="dxa"/>
              <w:bottom w:w="70" w:type="dxa"/>
              <w:right w:w="100" w:type="dxa"/>
            </w:tcMar>
          </w:tcPr>
          <w:p w14:paraId="282A92FD" w14:textId="77777777" w:rsidR="00F67131" w:rsidRDefault="00000000">
            <w:pPr>
              <w:spacing w:before="40" w:after="40" w:line="240" w:lineRule="auto"/>
              <w:jc w:val="both"/>
            </w:pPr>
            <w:r>
              <w:rPr>
                <w:rFonts w:ascii="Times New Roman" w:hAnsi="Times New Roman"/>
                <w:color w:val="262626"/>
                <w:sz w:val="18"/>
              </w:rPr>
              <w:t>1,30%</w:t>
            </w:r>
          </w:p>
        </w:tc>
      </w:tr>
      <w:tr w:rsidR="00F67131" w14:paraId="63A3B81F" w14:textId="77777777">
        <w:trPr>
          <w:jc w:val="center"/>
          <w:cantSplit/>
        </w:trPr>
        <w:tc>
          <w:tcPr>
            <w:tcW w:w="3456" w:type="dxa"/>
            <w:tcMar>
              <w:top w:w="70" w:type="dxa"/>
              <w:left w:w="100" w:type="dxa"/>
              <w:bottom w:w="70" w:type="dxa"/>
              <w:right w:w="100" w:type="dxa"/>
            </w:tcMar>
          </w:tcPr>
          <w:p w14:paraId="661D05F6" w14:textId="77777777" w:rsidR="00F67131" w:rsidRDefault="00000000">
            <w:pPr>
              <w:spacing w:before="40" w:after="40" w:line="240" w:lineRule="auto"/>
              <w:jc w:val="both"/>
            </w:pPr>
            <w:r>
              <w:rPr>
                <w:rFonts w:ascii="Times New Roman" w:hAnsi="Times New Roman"/>
                <w:color w:val="262626"/>
                <w:sz w:val="18"/>
              </w:rPr>
              <w:t>MB: Dư nợ cho vay KH (Hợp nhất)</w:t>
            </w:r>
          </w:p>
        </w:tc>
        <w:tc>
          <w:tcPr>
            <w:tcW w:w="1008" w:type="dxa"/>
            <w:tcMar>
              <w:top w:w="70" w:type="dxa"/>
              <w:left w:w="100" w:type="dxa"/>
              <w:bottom w:w="70" w:type="dxa"/>
              <w:right w:w="100" w:type="dxa"/>
            </w:tcMar>
          </w:tcPr>
          <w:p w14:paraId="027A99E5" w14:textId="77777777" w:rsidR="00F67131" w:rsidRDefault="00000000">
            <w:pPr>
              <w:spacing w:before="40" w:after="40" w:line="240" w:lineRule="auto"/>
              <w:jc w:val="both"/>
            </w:pPr>
            <w:r>
              <w:rPr>
                <w:rFonts w:ascii="Times New Roman" w:hAnsi="Times New Roman"/>
                <w:color w:val="262626"/>
                <w:sz w:val="18"/>
              </w:rPr>
              <w:t>298.297</w:t>
            </w:r>
          </w:p>
        </w:tc>
        <w:tc>
          <w:tcPr>
            <w:tcW w:w="1008" w:type="dxa"/>
            <w:tcMar>
              <w:top w:w="70" w:type="dxa"/>
              <w:left w:w="100" w:type="dxa"/>
              <w:bottom w:w="70" w:type="dxa"/>
              <w:right w:w="100" w:type="dxa"/>
            </w:tcMar>
          </w:tcPr>
          <w:p w14:paraId="346E8C68" w14:textId="77777777" w:rsidR="00F67131" w:rsidRDefault="00000000">
            <w:pPr>
              <w:spacing w:before="40" w:after="40" w:line="240" w:lineRule="auto"/>
              <w:jc w:val="both"/>
            </w:pPr>
            <w:r>
              <w:rPr>
                <w:rFonts w:ascii="Times New Roman" w:hAnsi="Times New Roman"/>
                <w:color w:val="262626"/>
                <w:sz w:val="18"/>
              </w:rPr>
              <w:t>363.555</w:t>
            </w:r>
          </w:p>
        </w:tc>
        <w:tc>
          <w:tcPr>
            <w:tcW w:w="1008" w:type="dxa"/>
            <w:tcMar>
              <w:top w:w="70" w:type="dxa"/>
              <w:left w:w="100" w:type="dxa"/>
              <w:bottom w:w="70" w:type="dxa"/>
              <w:right w:w="100" w:type="dxa"/>
            </w:tcMar>
          </w:tcPr>
          <w:p w14:paraId="100D3DB0" w14:textId="77777777" w:rsidR="00F67131" w:rsidRDefault="00000000">
            <w:pPr>
              <w:spacing w:before="40" w:after="40" w:line="240" w:lineRule="auto"/>
              <w:jc w:val="both"/>
            </w:pPr>
            <w:r>
              <w:rPr>
                <w:rFonts w:ascii="Times New Roman" w:hAnsi="Times New Roman"/>
                <w:color w:val="262626"/>
                <w:sz w:val="18"/>
              </w:rPr>
              <w:t>460.574</w:t>
            </w:r>
          </w:p>
        </w:tc>
        <w:tc>
          <w:tcPr>
            <w:tcW w:w="1008" w:type="dxa"/>
            <w:tcMar>
              <w:top w:w="70" w:type="dxa"/>
              <w:left w:w="100" w:type="dxa"/>
              <w:bottom w:w="70" w:type="dxa"/>
              <w:right w:w="100" w:type="dxa"/>
            </w:tcMar>
          </w:tcPr>
          <w:p w14:paraId="6704537D" w14:textId="77777777" w:rsidR="00F67131" w:rsidRDefault="00000000">
            <w:pPr>
              <w:spacing w:before="40" w:after="40" w:line="240" w:lineRule="auto"/>
              <w:jc w:val="both"/>
            </w:pPr>
            <w:r>
              <w:rPr>
                <w:rFonts w:ascii="Times New Roman" w:hAnsi="Times New Roman"/>
                <w:color w:val="262626"/>
                <w:sz w:val="18"/>
              </w:rPr>
              <w:t>611.049</w:t>
            </w:r>
          </w:p>
        </w:tc>
        <w:tc>
          <w:tcPr>
            <w:tcW w:w="1008" w:type="dxa"/>
            <w:tcMar>
              <w:top w:w="70" w:type="dxa"/>
              <w:left w:w="100" w:type="dxa"/>
              <w:bottom w:w="70" w:type="dxa"/>
              <w:right w:w="100" w:type="dxa"/>
            </w:tcMar>
          </w:tcPr>
          <w:p w14:paraId="2C03D859" w14:textId="77777777" w:rsidR="00F67131" w:rsidRDefault="00000000">
            <w:pPr>
              <w:spacing w:before="40" w:after="40" w:line="240" w:lineRule="auto"/>
              <w:jc w:val="both"/>
            </w:pPr>
            <w:r>
              <w:rPr>
                <w:rFonts w:ascii="Times New Roman" w:hAnsi="Times New Roman"/>
                <w:color w:val="262626"/>
                <w:sz w:val="18"/>
              </w:rPr>
              <w:t>776.658</w:t>
            </w:r>
          </w:p>
        </w:tc>
        <w:tc>
          <w:tcPr>
            <w:tcW w:w="1008" w:type="dxa"/>
            <w:tcMar>
              <w:top w:w="70" w:type="dxa"/>
              <w:left w:w="100" w:type="dxa"/>
              <w:bottom w:w="70" w:type="dxa"/>
              <w:right w:w="100" w:type="dxa"/>
            </w:tcMar>
          </w:tcPr>
          <w:p w14:paraId="2A8FA46D" w14:textId="77777777" w:rsidR="00F67131" w:rsidRDefault="00000000">
            <w:pPr>
              <w:spacing w:before="40" w:after="40" w:line="240" w:lineRule="auto"/>
              <w:jc w:val="both"/>
            </w:pPr>
            <w:r>
              <w:rPr>
                <w:rFonts w:ascii="Times New Roman" w:hAnsi="Times New Roman"/>
                <w:color w:val="262626"/>
                <w:sz w:val="18"/>
              </w:rPr>
              <w:t>1.084.019</w:t>
            </w:r>
          </w:p>
        </w:tc>
      </w:tr>
      <w:tr w:rsidR="00F67131" w14:paraId="6EB759A0" w14:textId="77777777">
        <w:trPr>
          <w:jc w:val="center"/>
          <w:cantSplit/>
        </w:trPr>
        <w:tc>
          <w:tcPr>
            <w:tcW w:w="3456" w:type="dxa"/>
            <w:tcMar>
              <w:top w:w="70" w:type="dxa"/>
              <w:left w:w="100" w:type="dxa"/>
              <w:bottom w:w="70" w:type="dxa"/>
              <w:right w:w="100" w:type="dxa"/>
            </w:tcMar>
          </w:tcPr>
          <w:p w14:paraId="1ADB64E4" w14:textId="77777777" w:rsidR="00F67131" w:rsidRDefault="00000000">
            <w:pPr>
              <w:spacing w:before="40" w:after="40" w:line="240" w:lineRule="auto"/>
              <w:jc w:val="both"/>
            </w:pPr>
            <w:r>
              <w:rPr>
                <w:rFonts w:ascii="Times New Roman" w:hAnsi="Times New Roman"/>
                <w:color w:val="262626"/>
                <w:sz w:val="18"/>
              </w:rPr>
              <w:t>MB: Tăng trưởng dư nợ (%)</w:t>
            </w:r>
          </w:p>
        </w:tc>
        <w:tc>
          <w:tcPr>
            <w:tcW w:w="1008" w:type="dxa"/>
            <w:tcMar>
              <w:top w:w="70" w:type="dxa"/>
              <w:left w:w="100" w:type="dxa"/>
              <w:bottom w:w="70" w:type="dxa"/>
              <w:right w:w="100" w:type="dxa"/>
            </w:tcMar>
          </w:tcPr>
          <w:p w14:paraId="6DBA3A52" w14:textId="77777777" w:rsidR="00F67131" w:rsidRDefault="00000000">
            <w:pPr>
              <w:spacing w:before="40" w:after="40" w:line="240" w:lineRule="auto"/>
              <w:jc w:val="both"/>
            </w:pPr>
            <w:r>
              <w:rPr>
                <w:rFonts w:ascii="Times New Roman" w:hAnsi="Times New Roman"/>
                <w:color w:val="262626"/>
                <w:sz w:val="18"/>
              </w:rPr>
              <w:t>19,2%</w:t>
            </w:r>
          </w:p>
        </w:tc>
        <w:tc>
          <w:tcPr>
            <w:tcW w:w="1008" w:type="dxa"/>
            <w:tcMar>
              <w:top w:w="70" w:type="dxa"/>
              <w:left w:w="100" w:type="dxa"/>
              <w:bottom w:w="70" w:type="dxa"/>
              <w:right w:w="100" w:type="dxa"/>
            </w:tcMar>
          </w:tcPr>
          <w:p w14:paraId="1C5C3E2C" w14:textId="77777777" w:rsidR="00F67131" w:rsidRDefault="00000000">
            <w:pPr>
              <w:spacing w:before="40" w:after="40" w:line="240" w:lineRule="auto"/>
              <w:jc w:val="both"/>
            </w:pPr>
            <w:r>
              <w:rPr>
                <w:rFonts w:ascii="Times New Roman" w:hAnsi="Times New Roman"/>
                <w:color w:val="262626"/>
                <w:sz w:val="18"/>
              </w:rPr>
              <w:t>21,9%</w:t>
            </w:r>
          </w:p>
        </w:tc>
        <w:tc>
          <w:tcPr>
            <w:tcW w:w="1008" w:type="dxa"/>
            <w:tcMar>
              <w:top w:w="70" w:type="dxa"/>
              <w:left w:w="100" w:type="dxa"/>
              <w:bottom w:w="70" w:type="dxa"/>
              <w:right w:w="100" w:type="dxa"/>
            </w:tcMar>
          </w:tcPr>
          <w:p w14:paraId="19C9E47F" w14:textId="77777777" w:rsidR="00F67131" w:rsidRDefault="00000000">
            <w:pPr>
              <w:spacing w:before="40" w:after="40" w:line="240" w:lineRule="auto"/>
              <w:jc w:val="both"/>
            </w:pPr>
            <w:r>
              <w:rPr>
                <w:rFonts w:ascii="Times New Roman" w:hAnsi="Times New Roman"/>
                <w:color w:val="262626"/>
                <w:sz w:val="18"/>
              </w:rPr>
              <w:t>26,7%</w:t>
            </w:r>
          </w:p>
        </w:tc>
        <w:tc>
          <w:tcPr>
            <w:tcW w:w="1008" w:type="dxa"/>
            <w:tcMar>
              <w:top w:w="70" w:type="dxa"/>
              <w:left w:w="100" w:type="dxa"/>
              <w:bottom w:w="70" w:type="dxa"/>
              <w:right w:w="100" w:type="dxa"/>
            </w:tcMar>
          </w:tcPr>
          <w:p w14:paraId="714F8CB0" w14:textId="77777777" w:rsidR="00F67131" w:rsidRDefault="00000000">
            <w:pPr>
              <w:spacing w:before="40" w:after="40" w:line="240" w:lineRule="auto"/>
              <w:jc w:val="both"/>
            </w:pPr>
            <w:r>
              <w:rPr>
                <w:rFonts w:ascii="Times New Roman" w:hAnsi="Times New Roman"/>
                <w:color w:val="262626"/>
                <w:sz w:val="18"/>
              </w:rPr>
              <w:t>32,7%</w:t>
            </w:r>
          </w:p>
        </w:tc>
        <w:tc>
          <w:tcPr>
            <w:tcW w:w="1008" w:type="dxa"/>
            <w:tcMar>
              <w:top w:w="70" w:type="dxa"/>
              <w:left w:w="100" w:type="dxa"/>
              <w:bottom w:w="70" w:type="dxa"/>
              <w:right w:w="100" w:type="dxa"/>
            </w:tcMar>
          </w:tcPr>
          <w:p w14:paraId="13D530C1" w14:textId="77777777" w:rsidR="00F67131" w:rsidRDefault="00000000">
            <w:pPr>
              <w:spacing w:before="40" w:after="40" w:line="240" w:lineRule="auto"/>
              <w:jc w:val="both"/>
            </w:pPr>
            <w:r>
              <w:rPr>
                <w:rFonts w:ascii="Times New Roman" w:hAnsi="Times New Roman"/>
                <w:color w:val="262626"/>
                <w:sz w:val="18"/>
              </w:rPr>
              <w:t>27,1%</w:t>
            </w:r>
          </w:p>
        </w:tc>
        <w:tc>
          <w:tcPr>
            <w:tcW w:w="1008" w:type="dxa"/>
            <w:tcMar>
              <w:top w:w="70" w:type="dxa"/>
              <w:left w:w="100" w:type="dxa"/>
              <w:bottom w:w="70" w:type="dxa"/>
              <w:right w:w="100" w:type="dxa"/>
            </w:tcMar>
          </w:tcPr>
          <w:p w14:paraId="74BC167B" w14:textId="77777777" w:rsidR="00F67131" w:rsidRDefault="00000000">
            <w:pPr>
              <w:spacing w:before="40" w:after="40" w:line="240" w:lineRule="auto"/>
              <w:jc w:val="both"/>
            </w:pPr>
            <w:r>
              <w:rPr>
                <w:rFonts w:ascii="Times New Roman" w:hAnsi="Times New Roman"/>
                <w:color w:val="262626"/>
                <w:sz w:val="18"/>
              </w:rPr>
              <w:t>39,6%</w:t>
            </w:r>
          </w:p>
        </w:tc>
      </w:tr>
      <w:tr w:rsidR="00F67131" w14:paraId="47222F26" w14:textId="77777777">
        <w:trPr>
          <w:jc w:val="center"/>
          <w:cantSplit/>
        </w:trPr>
        <w:tc>
          <w:tcPr>
            <w:tcW w:w="3456" w:type="dxa"/>
            <w:tcMar>
              <w:top w:w="70" w:type="dxa"/>
              <w:left w:w="100" w:type="dxa"/>
              <w:bottom w:w="70" w:type="dxa"/>
              <w:right w:w="100" w:type="dxa"/>
            </w:tcMar>
          </w:tcPr>
          <w:p w14:paraId="0AF65387" w14:textId="77777777" w:rsidR="00F67131" w:rsidRDefault="00000000">
            <w:pPr>
              <w:spacing w:before="40" w:after="40" w:line="240" w:lineRule="auto"/>
              <w:jc w:val="both"/>
            </w:pPr>
            <w:r>
              <w:rPr>
                <w:rFonts w:ascii="Times New Roman" w:hAnsi="Times New Roman"/>
                <w:color w:val="262626"/>
                <w:sz w:val="18"/>
              </w:rPr>
              <w:t>MB: Nợ xấu hợp nhất Nhóm 3–5 (TM 10.1/9.1)</w:t>
            </w:r>
          </w:p>
        </w:tc>
        <w:tc>
          <w:tcPr>
            <w:tcW w:w="1008" w:type="dxa"/>
            <w:tcMar>
              <w:top w:w="70" w:type="dxa"/>
              <w:left w:w="100" w:type="dxa"/>
              <w:bottom w:w="70" w:type="dxa"/>
              <w:right w:w="100" w:type="dxa"/>
            </w:tcMar>
          </w:tcPr>
          <w:p w14:paraId="26EF1406" w14:textId="77777777" w:rsidR="00F67131" w:rsidRDefault="00000000">
            <w:pPr>
              <w:spacing w:before="40" w:after="40" w:line="240" w:lineRule="auto"/>
              <w:jc w:val="both"/>
            </w:pPr>
            <w:r>
              <w:rPr>
                <w:rFonts w:ascii="Times New Roman" w:hAnsi="Times New Roman"/>
                <w:color w:val="262626"/>
                <w:sz w:val="18"/>
              </w:rPr>
              <w:t>3.248</w:t>
            </w:r>
          </w:p>
        </w:tc>
        <w:tc>
          <w:tcPr>
            <w:tcW w:w="1008" w:type="dxa"/>
            <w:tcMar>
              <w:top w:w="70" w:type="dxa"/>
              <w:left w:w="100" w:type="dxa"/>
              <w:bottom w:w="70" w:type="dxa"/>
              <w:right w:w="100" w:type="dxa"/>
            </w:tcMar>
          </w:tcPr>
          <w:p w14:paraId="3CDFE393" w14:textId="77777777" w:rsidR="00F67131" w:rsidRDefault="00000000">
            <w:pPr>
              <w:spacing w:before="40" w:after="40" w:line="240" w:lineRule="auto"/>
              <w:jc w:val="both"/>
            </w:pPr>
            <w:r>
              <w:rPr>
                <w:rFonts w:ascii="Times New Roman" w:hAnsi="Times New Roman"/>
                <w:color w:val="262626"/>
                <w:sz w:val="18"/>
              </w:rPr>
              <w:t>3.268</w:t>
            </w:r>
          </w:p>
        </w:tc>
        <w:tc>
          <w:tcPr>
            <w:tcW w:w="1008" w:type="dxa"/>
            <w:tcMar>
              <w:top w:w="70" w:type="dxa"/>
              <w:left w:w="100" w:type="dxa"/>
              <w:bottom w:w="70" w:type="dxa"/>
              <w:right w:w="100" w:type="dxa"/>
            </w:tcMar>
          </w:tcPr>
          <w:p w14:paraId="742A5D7C" w14:textId="77777777" w:rsidR="00F67131" w:rsidRDefault="00000000">
            <w:pPr>
              <w:spacing w:before="40" w:after="40" w:line="240" w:lineRule="auto"/>
              <w:jc w:val="both"/>
            </w:pPr>
            <w:r>
              <w:rPr>
                <w:rFonts w:ascii="Times New Roman" w:hAnsi="Times New Roman"/>
                <w:color w:val="262626"/>
                <w:sz w:val="18"/>
              </w:rPr>
              <w:t>5.031</w:t>
            </w:r>
          </w:p>
        </w:tc>
        <w:tc>
          <w:tcPr>
            <w:tcW w:w="1008" w:type="dxa"/>
            <w:tcMar>
              <w:top w:w="70" w:type="dxa"/>
              <w:left w:w="100" w:type="dxa"/>
              <w:bottom w:w="70" w:type="dxa"/>
              <w:right w:w="100" w:type="dxa"/>
            </w:tcMar>
          </w:tcPr>
          <w:p w14:paraId="18514B25" w14:textId="77777777" w:rsidR="00F67131" w:rsidRDefault="00000000">
            <w:pPr>
              <w:spacing w:before="40" w:after="40" w:line="240" w:lineRule="auto"/>
              <w:jc w:val="both"/>
            </w:pPr>
            <w:r>
              <w:rPr>
                <w:rFonts w:ascii="Times New Roman" w:hAnsi="Times New Roman"/>
                <w:color w:val="262626"/>
                <w:sz w:val="18"/>
              </w:rPr>
              <w:t>9.805</w:t>
            </w:r>
          </w:p>
        </w:tc>
        <w:tc>
          <w:tcPr>
            <w:tcW w:w="1008" w:type="dxa"/>
            <w:tcMar>
              <w:top w:w="70" w:type="dxa"/>
              <w:left w:w="100" w:type="dxa"/>
              <w:bottom w:w="70" w:type="dxa"/>
              <w:right w:w="100" w:type="dxa"/>
            </w:tcMar>
          </w:tcPr>
          <w:p w14:paraId="01BC8FE7" w14:textId="77777777" w:rsidR="00F67131" w:rsidRDefault="00000000">
            <w:pPr>
              <w:spacing w:before="40" w:after="40" w:line="240" w:lineRule="auto"/>
              <w:jc w:val="both"/>
            </w:pPr>
            <w:r>
              <w:rPr>
                <w:rFonts w:ascii="Times New Roman" w:hAnsi="Times New Roman"/>
                <w:color w:val="262626"/>
                <w:sz w:val="18"/>
              </w:rPr>
              <w:t>12.585</w:t>
            </w:r>
          </w:p>
        </w:tc>
        <w:tc>
          <w:tcPr>
            <w:tcW w:w="1008" w:type="dxa"/>
            <w:tcMar>
              <w:top w:w="70" w:type="dxa"/>
              <w:left w:w="100" w:type="dxa"/>
              <w:bottom w:w="70" w:type="dxa"/>
              <w:right w:w="100" w:type="dxa"/>
            </w:tcMar>
          </w:tcPr>
          <w:p w14:paraId="39E95301" w14:textId="77777777" w:rsidR="00F67131" w:rsidRDefault="00000000">
            <w:pPr>
              <w:spacing w:before="40" w:after="40" w:line="240" w:lineRule="auto"/>
              <w:jc w:val="both"/>
            </w:pPr>
            <w:r>
              <w:rPr>
                <w:rFonts w:ascii="Times New Roman" w:hAnsi="Times New Roman"/>
                <w:color w:val="262626"/>
                <w:sz w:val="18"/>
              </w:rPr>
              <w:t>14.027</w:t>
            </w:r>
          </w:p>
        </w:tc>
      </w:tr>
      <w:tr w:rsidR="00F67131" w14:paraId="02F0D22B" w14:textId="77777777">
        <w:trPr>
          <w:jc w:val="center"/>
          <w:cantSplit/>
        </w:trPr>
        <w:tc>
          <w:tcPr>
            <w:tcW w:w="3456" w:type="dxa"/>
            <w:tcMar>
              <w:top w:w="70" w:type="dxa"/>
              <w:left w:w="100" w:type="dxa"/>
              <w:bottom w:w="70" w:type="dxa"/>
              <w:right w:w="100" w:type="dxa"/>
            </w:tcMar>
          </w:tcPr>
          <w:p w14:paraId="057790DC" w14:textId="77777777" w:rsidR="00F67131" w:rsidRDefault="00000000">
            <w:pPr>
              <w:spacing w:before="40" w:after="40" w:line="240" w:lineRule="auto"/>
              <w:jc w:val="both"/>
            </w:pPr>
            <w:r>
              <w:rPr>
                <w:rFonts w:ascii="Times New Roman" w:hAnsi="Times New Roman"/>
                <w:b/>
                <w:color w:val="262626"/>
                <w:sz w:val="18"/>
              </w:rPr>
              <w:t>MB: NPL hợp nhất (%)</w:t>
            </w:r>
          </w:p>
        </w:tc>
        <w:tc>
          <w:tcPr>
            <w:tcW w:w="1008" w:type="dxa"/>
            <w:tcMar>
              <w:top w:w="70" w:type="dxa"/>
              <w:left w:w="100" w:type="dxa"/>
              <w:bottom w:w="70" w:type="dxa"/>
              <w:right w:w="100" w:type="dxa"/>
            </w:tcMar>
          </w:tcPr>
          <w:p w14:paraId="56FD0968" w14:textId="77777777" w:rsidR="00F67131" w:rsidRDefault="00000000">
            <w:pPr>
              <w:spacing w:before="40" w:after="40" w:line="240" w:lineRule="auto"/>
              <w:jc w:val="both"/>
            </w:pPr>
            <w:r>
              <w:rPr>
                <w:rFonts w:ascii="Times New Roman" w:hAnsi="Times New Roman"/>
                <w:color w:val="262626"/>
                <w:sz w:val="18"/>
              </w:rPr>
              <w:t>1,09%</w:t>
            </w:r>
          </w:p>
        </w:tc>
        <w:tc>
          <w:tcPr>
            <w:tcW w:w="1008" w:type="dxa"/>
            <w:tcMar>
              <w:top w:w="70" w:type="dxa"/>
              <w:left w:w="100" w:type="dxa"/>
              <w:bottom w:w="70" w:type="dxa"/>
              <w:right w:w="100" w:type="dxa"/>
            </w:tcMar>
          </w:tcPr>
          <w:p w14:paraId="445ED18B" w14:textId="77777777" w:rsidR="00F67131" w:rsidRDefault="00000000">
            <w:pPr>
              <w:spacing w:before="40" w:after="40" w:line="240" w:lineRule="auto"/>
              <w:jc w:val="both"/>
            </w:pPr>
            <w:r>
              <w:rPr>
                <w:rFonts w:ascii="Times New Roman" w:hAnsi="Times New Roman"/>
                <w:color w:val="262626"/>
                <w:sz w:val="18"/>
              </w:rPr>
              <w:t>0,90%</w:t>
            </w:r>
          </w:p>
        </w:tc>
        <w:tc>
          <w:tcPr>
            <w:tcW w:w="1008" w:type="dxa"/>
            <w:tcMar>
              <w:top w:w="70" w:type="dxa"/>
              <w:left w:w="100" w:type="dxa"/>
              <w:bottom w:w="70" w:type="dxa"/>
              <w:right w:w="100" w:type="dxa"/>
            </w:tcMar>
          </w:tcPr>
          <w:p w14:paraId="04999785" w14:textId="77777777" w:rsidR="00F67131" w:rsidRDefault="00000000">
            <w:pPr>
              <w:spacing w:before="40" w:after="40" w:line="240" w:lineRule="auto"/>
              <w:jc w:val="both"/>
            </w:pPr>
            <w:r>
              <w:rPr>
                <w:rFonts w:ascii="Times New Roman" w:hAnsi="Times New Roman"/>
                <w:color w:val="262626"/>
                <w:sz w:val="18"/>
              </w:rPr>
              <w:t>1,09%</w:t>
            </w:r>
          </w:p>
        </w:tc>
        <w:tc>
          <w:tcPr>
            <w:tcW w:w="1008" w:type="dxa"/>
            <w:tcMar>
              <w:top w:w="70" w:type="dxa"/>
              <w:left w:w="100" w:type="dxa"/>
              <w:bottom w:w="70" w:type="dxa"/>
              <w:right w:w="100" w:type="dxa"/>
            </w:tcMar>
          </w:tcPr>
          <w:p w14:paraId="13566A83" w14:textId="77777777" w:rsidR="00F67131" w:rsidRDefault="00000000">
            <w:pPr>
              <w:spacing w:before="40" w:after="40" w:line="240" w:lineRule="auto"/>
              <w:jc w:val="both"/>
            </w:pPr>
            <w:r>
              <w:rPr>
                <w:rFonts w:ascii="Times New Roman" w:hAnsi="Times New Roman"/>
                <w:color w:val="262626"/>
                <w:sz w:val="18"/>
              </w:rPr>
              <w:t>1,60%</w:t>
            </w:r>
          </w:p>
        </w:tc>
        <w:tc>
          <w:tcPr>
            <w:tcW w:w="1008" w:type="dxa"/>
            <w:tcMar>
              <w:top w:w="70" w:type="dxa"/>
              <w:left w:w="100" w:type="dxa"/>
              <w:bottom w:w="70" w:type="dxa"/>
              <w:right w:w="100" w:type="dxa"/>
            </w:tcMar>
          </w:tcPr>
          <w:p w14:paraId="7540E8F8" w14:textId="77777777" w:rsidR="00F67131" w:rsidRDefault="00000000">
            <w:pPr>
              <w:spacing w:before="40" w:after="40" w:line="240" w:lineRule="auto"/>
              <w:jc w:val="both"/>
            </w:pPr>
            <w:r>
              <w:rPr>
                <w:rFonts w:ascii="Times New Roman" w:hAnsi="Times New Roman"/>
                <w:color w:val="262626"/>
                <w:sz w:val="18"/>
              </w:rPr>
              <w:t>1,62%</w:t>
            </w:r>
          </w:p>
        </w:tc>
        <w:tc>
          <w:tcPr>
            <w:tcW w:w="1008" w:type="dxa"/>
            <w:tcMar>
              <w:top w:w="70" w:type="dxa"/>
              <w:left w:w="100" w:type="dxa"/>
              <w:bottom w:w="70" w:type="dxa"/>
              <w:right w:w="100" w:type="dxa"/>
            </w:tcMar>
          </w:tcPr>
          <w:p w14:paraId="563679F0" w14:textId="77777777" w:rsidR="00F67131" w:rsidRDefault="00000000">
            <w:pPr>
              <w:spacing w:before="40" w:after="40" w:line="240" w:lineRule="auto"/>
              <w:jc w:val="both"/>
            </w:pPr>
            <w:r>
              <w:rPr>
                <w:rFonts w:ascii="Times New Roman" w:hAnsi="Times New Roman"/>
                <w:color w:val="262626"/>
                <w:sz w:val="18"/>
              </w:rPr>
              <w:t>1,29%</w:t>
            </w:r>
          </w:p>
        </w:tc>
      </w:tr>
      <w:tr w:rsidR="00F67131" w14:paraId="5D67DE5A" w14:textId="77777777">
        <w:trPr>
          <w:jc w:val="center"/>
          <w:cantSplit/>
        </w:trPr>
        <w:tc>
          <w:tcPr>
            <w:tcW w:w="3456" w:type="dxa"/>
            <w:tcMar>
              <w:top w:w="70" w:type="dxa"/>
              <w:left w:w="100" w:type="dxa"/>
              <w:bottom w:w="70" w:type="dxa"/>
              <w:right w:w="100" w:type="dxa"/>
            </w:tcMar>
          </w:tcPr>
          <w:p w14:paraId="6BBB7743" w14:textId="77777777" w:rsidR="00F67131" w:rsidRDefault="00000000">
            <w:pPr>
              <w:spacing w:before="40" w:after="40" w:line="240" w:lineRule="auto"/>
              <w:jc w:val="both"/>
            </w:pPr>
            <w:r>
              <w:rPr>
                <w:rFonts w:ascii="Times New Roman" w:hAnsi="Times New Roman"/>
                <w:b/>
                <w:color w:val="262626"/>
                <w:sz w:val="18"/>
              </w:rPr>
              <w:t>MB: NPL riêng ngân hàng mẹ (%)</w:t>
            </w:r>
          </w:p>
        </w:tc>
        <w:tc>
          <w:tcPr>
            <w:tcW w:w="1008" w:type="dxa"/>
            <w:tcMar>
              <w:top w:w="70" w:type="dxa"/>
              <w:left w:w="100" w:type="dxa"/>
              <w:bottom w:w="70" w:type="dxa"/>
              <w:right w:w="100" w:type="dxa"/>
            </w:tcMar>
          </w:tcPr>
          <w:p w14:paraId="11DB35AA" w14:textId="77777777" w:rsidR="00F67131" w:rsidRDefault="00000000">
            <w:pPr>
              <w:spacing w:before="40" w:after="40" w:line="240" w:lineRule="auto"/>
              <w:jc w:val="both"/>
            </w:pPr>
            <w:r>
              <w:rPr>
                <w:rFonts w:ascii="Times New Roman" w:hAnsi="Times New Roman"/>
                <w:color w:val="262626"/>
                <w:sz w:val="18"/>
              </w:rPr>
              <w:t>0,92%</w:t>
            </w:r>
          </w:p>
        </w:tc>
        <w:tc>
          <w:tcPr>
            <w:tcW w:w="1008" w:type="dxa"/>
            <w:tcMar>
              <w:top w:w="70" w:type="dxa"/>
              <w:left w:w="100" w:type="dxa"/>
              <w:bottom w:w="70" w:type="dxa"/>
              <w:right w:w="100" w:type="dxa"/>
            </w:tcMar>
          </w:tcPr>
          <w:p w14:paraId="21A66997" w14:textId="77777777" w:rsidR="00F67131" w:rsidRDefault="00000000">
            <w:pPr>
              <w:spacing w:before="40" w:after="40" w:line="240" w:lineRule="auto"/>
              <w:jc w:val="both"/>
            </w:pPr>
            <w:r>
              <w:rPr>
                <w:rFonts w:ascii="Times New Roman" w:hAnsi="Times New Roman"/>
                <w:color w:val="262626"/>
                <w:sz w:val="18"/>
              </w:rPr>
              <w:t>0,68%</w:t>
            </w:r>
          </w:p>
        </w:tc>
        <w:tc>
          <w:tcPr>
            <w:tcW w:w="1008" w:type="dxa"/>
            <w:tcMar>
              <w:top w:w="70" w:type="dxa"/>
              <w:left w:w="100" w:type="dxa"/>
              <w:bottom w:w="70" w:type="dxa"/>
              <w:right w:w="100" w:type="dxa"/>
            </w:tcMar>
          </w:tcPr>
          <w:p w14:paraId="082D8D7E" w14:textId="77777777" w:rsidR="00F67131" w:rsidRDefault="00000000">
            <w:pPr>
              <w:spacing w:before="40" w:after="40" w:line="240" w:lineRule="auto"/>
              <w:jc w:val="both"/>
            </w:pPr>
            <w:r>
              <w:rPr>
                <w:rFonts w:ascii="Times New Roman" w:hAnsi="Times New Roman"/>
                <w:color w:val="262626"/>
                <w:sz w:val="18"/>
              </w:rPr>
              <w:t>0,83%</w:t>
            </w:r>
          </w:p>
        </w:tc>
        <w:tc>
          <w:tcPr>
            <w:tcW w:w="1008" w:type="dxa"/>
            <w:tcMar>
              <w:top w:w="70" w:type="dxa"/>
              <w:left w:w="100" w:type="dxa"/>
              <w:bottom w:w="70" w:type="dxa"/>
              <w:right w:w="100" w:type="dxa"/>
            </w:tcMar>
          </w:tcPr>
          <w:p w14:paraId="5699C0C3" w14:textId="77777777" w:rsidR="00F67131" w:rsidRDefault="00000000">
            <w:pPr>
              <w:spacing w:before="40" w:after="40" w:line="240" w:lineRule="auto"/>
              <w:jc w:val="both"/>
            </w:pPr>
            <w:r>
              <w:rPr>
                <w:rFonts w:ascii="Times New Roman" w:hAnsi="Times New Roman"/>
                <w:color w:val="262626"/>
                <w:sz w:val="18"/>
              </w:rPr>
              <w:t>1,41%</w:t>
            </w:r>
          </w:p>
        </w:tc>
        <w:tc>
          <w:tcPr>
            <w:tcW w:w="1008" w:type="dxa"/>
            <w:tcMar>
              <w:top w:w="70" w:type="dxa"/>
              <w:left w:w="100" w:type="dxa"/>
              <w:bottom w:w="70" w:type="dxa"/>
              <w:right w:w="100" w:type="dxa"/>
            </w:tcMar>
          </w:tcPr>
          <w:p w14:paraId="6384D633" w14:textId="77777777" w:rsidR="00F67131" w:rsidRDefault="00000000">
            <w:pPr>
              <w:spacing w:before="40" w:after="40" w:line="240" w:lineRule="auto"/>
              <w:jc w:val="both"/>
            </w:pPr>
            <w:r>
              <w:rPr>
                <w:rFonts w:ascii="Times New Roman" w:hAnsi="Times New Roman"/>
                <w:color w:val="262626"/>
                <w:sz w:val="18"/>
              </w:rPr>
              <w:t>1,43%</w:t>
            </w:r>
          </w:p>
        </w:tc>
        <w:tc>
          <w:tcPr>
            <w:tcW w:w="1008" w:type="dxa"/>
            <w:tcMar>
              <w:top w:w="70" w:type="dxa"/>
              <w:left w:w="100" w:type="dxa"/>
              <w:bottom w:w="70" w:type="dxa"/>
              <w:right w:w="100" w:type="dxa"/>
            </w:tcMar>
          </w:tcPr>
          <w:p w14:paraId="7A1A48CD" w14:textId="77777777" w:rsidR="00F67131" w:rsidRDefault="00000000">
            <w:pPr>
              <w:spacing w:before="40" w:after="40" w:line="240" w:lineRule="auto"/>
              <w:jc w:val="both"/>
            </w:pPr>
            <w:r>
              <w:rPr>
                <w:rFonts w:ascii="Times New Roman" w:hAnsi="Times New Roman"/>
                <w:color w:val="262626"/>
                <w:sz w:val="18"/>
              </w:rPr>
              <w:t>1,12%</w:t>
            </w:r>
          </w:p>
        </w:tc>
      </w:tr>
      <w:tr w:rsidR="00F67131" w14:paraId="7EA2BB4D" w14:textId="77777777">
        <w:trPr>
          <w:jc w:val="center"/>
          <w:cantSplit/>
        </w:trPr>
        <w:tc>
          <w:tcPr>
            <w:tcW w:w="3456" w:type="dxa"/>
            <w:tcMar>
              <w:top w:w="70" w:type="dxa"/>
              <w:left w:w="100" w:type="dxa"/>
              <w:bottom w:w="70" w:type="dxa"/>
              <w:right w:w="100" w:type="dxa"/>
            </w:tcMar>
          </w:tcPr>
          <w:p w14:paraId="74CA0287" w14:textId="77777777" w:rsidR="00F67131" w:rsidRDefault="00000000">
            <w:pPr>
              <w:spacing w:before="40" w:after="40" w:line="240" w:lineRule="auto"/>
              <w:jc w:val="both"/>
            </w:pPr>
            <w:r>
              <w:rPr>
                <w:rFonts w:ascii="Times New Roman" w:hAnsi="Times New Roman"/>
                <w:b/>
                <w:color w:val="262626"/>
                <w:sz w:val="18"/>
              </w:rPr>
              <w:t>Chênh lệch NPL cùng cơ sở (Agribank TM 9 − MB HN, điểm %)</w:t>
            </w:r>
          </w:p>
        </w:tc>
        <w:tc>
          <w:tcPr>
            <w:tcW w:w="1008" w:type="dxa"/>
            <w:tcMar>
              <w:top w:w="70" w:type="dxa"/>
              <w:left w:w="100" w:type="dxa"/>
              <w:bottom w:w="70" w:type="dxa"/>
              <w:right w:w="100" w:type="dxa"/>
            </w:tcMar>
          </w:tcPr>
          <w:p w14:paraId="04CFDB19" w14:textId="77777777" w:rsidR="00F67131" w:rsidRDefault="00000000">
            <w:pPr>
              <w:spacing w:before="40" w:after="40" w:line="240" w:lineRule="auto"/>
              <w:jc w:val="both"/>
            </w:pPr>
            <w:r>
              <w:rPr>
                <w:rFonts w:ascii="Times New Roman" w:hAnsi="Times New Roman"/>
                <w:color w:val="262626"/>
                <w:sz w:val="18"/>
              </w:rPr>
              <w:t>+0,68</w:t>
            </w:r>
          </w:p>
        </w:tc>
        <w:tc>
          <w:tcPr>
            <w:tcW w:w="1008" w:type="dxa"/>
            <w:tcMar>
              <w:top w:w="70" w:type="dxa"/>
              <w:left w:w="100" w:type="dxa"/>
              <w:bottom w:w="70" w:type="dxa"/>
              <w:right w:w="100" w:type="dxa"/>
            </w:tcMar>
          </w:tcPr>
          <w:p w14:paraId="351510D8" w14:textId="77777777" w:rsidR="00F67131" w:rsidRDefault="00000000">
            <w:pPr>
              <w:spacing w:before="40" w:after="40" w:line="240" w:lineRule="auto"/>
              <w:jc w:val="both"/>
            </w:pPr>
            <w:r>
              <w:rPr>
                <w:rFonts w:ascii="Times New Roman" w:hAnsi="Times New Roman"/>
                <w:color w:val="262626"/>
                <w:sz w:val="18"/>
              </w:rPr>
              <w:t>+0,97</w:t>
            </w:r>
          </w:p>
        </w:tc>
        <w:tc>
          <w:tcPr>
            <w:tcW w:w="1008" w:type="dxa"/>
            <w:tcMar>
              <w:top w:w="70" w:type="dxa"/>
              <w:left w:w="100" w:type="dxa"/>
              <w:bottom w:w="70" w:type="dxa"/>
              <w:right w:w="100" w:type="dxa"/>
            </w:tcMar>
          </w:tcPr>
          <w:p w14:paraId="0434023E" w14:textId="77777777" w:rsidR="00F67131" w:rsidRDefault="00000000">
            <w:pPr>
              <w:spacing w:before="40" w:after="40" w:line="240" w:lineRule="auto"/>
              <w:jc w:val="both"/>
            </w:pPr>
            <w:r>
              <w:rPr>
                <w:rFonts w:ascii="Times New Roman" w:hAnsi="Times New Roman"/>
                <w:color w:val="262626"/>
                <w:sz w:val="18"/>
              </w:rPr>
              <w:t>+0,71</w:t>
            </w:r>
          </w:p>
        </w:tc>
        <w:tc>
          <w:tcPr>
            <w:tcW w:w="1008" w:type="dxa"/>
            <w:tcMar>
              <w:top w:w="70" w:type="dxa"/>
              <w:left w:w="100" w:type="dxa"/>
              <w:bottom w:w="70" w:type="dxa"/>
              <w:right w:w="100" w:type="dxa"/>
            </w:tcMar>
          </w:tcPr>
          <w:p w14:paraId="5A46BAD8" w14:textId="77777777" w:rsidR="00F67131" w:rsidRDefault="00000000">
            <w:pPr>
              <w:spacing w:before="40" w:after="40" w:line="240" w:lineRule="auto"/>
              <w:jc w:val="both"/>
            </w:pPr>
            <w:r>
              <w:rPr>
                <w:rFonts w:ascii="Times New Roman" w:hAnsi="Times New Roman"/>
                <w:color w:val="262626"/>
                <w:sz w:val="18"/>
              </w:rPr>
              <w:t>+0,25</w:t>
            </w:r>
          </w:p>
        </w:tc>
        <w:tc>
          <w:tcPr>
            <w:tcW w:w="1008" w:type="dxa"/>
            <w:tcMar>
              <w:top w:w="70" w:type="dxa"/>
              <w:left w:w="100" w:type="dxa"/>
              <w:bottom w:w="70" w:type="dxa"/>
              <w:right w:w="100" w:type="dxa"/>
            </w:tcMar>
          </w:tcPr>
          <w:p w14:paraId="667AE4C1" w14:textId="77777777" w:rsidR="00F67131" w:rsidRDefault="00000000">
            <w:pPr>
              <w:spacing w:before="40" w:after="40" w:line="240" w:lineRule="auto"/>
              <w:jc w:val="both"/>
            </w:pPr>
            <w:r>
              <w:rPr>
                <w:rFonts w:ascii="Times New Roman" w:hAnsi="Times New Roman"/>
                <w:color w:val="262626"/>
                <w:sz w:val="18"/>
              </w:rPr>
              <w:t>+0,06</w:t>
            </w:r>
          </w:p>
        </w:tc>
        <w:tc>
          <w:tcPr>
            <w:tcW w:w="1008" w:type="dxa"/>
            <w:tcMar>
              <w:top w:w="70" w:type="dxa"/>
              <w:left w:w="100" w:type="dxa"/>
              <w:bottom w:w="70" w:type="dxa"/>
              <w:right w:w="100" w:type="dxa"/>
            </w:tcMar>
          </w:tcPr>
          <w:p w14:paraId="13A6BCB9" w14:textId="77777777" w:rsidR="00F67131" w:rsidRDefault="00000000">
            <w:pPr>
              <w:spacing w:before="40" w:after="40" w:line="240" w:lineRule="auto"/>
              <w:jc w:val="both"/>
            </w:pPr>
            <w:r>
              <w:rPr>
                <w:rFonts w:ascii="Times New Roman" w:hAnsi="Times New Roman"/>
                <w:color w:val="262626"/>
                <w:sz w:val="18"/>
              </w:rPr>
              <w:t>+0,00</w:t>
            </w:r>
          </w:p>
        </w:tc>
      </w:tr>
    </w:tbl>
    <w:p w14:paraId="43F87EB8"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Trích xuất và tính toán từ Thuyết minh 9/10 BCTC hợp nhất kiểm toán, BCTC riêng lẻ kiểm toán và Báo cáo thường niên 2020–2025 của Agribank và MB (sheet BCTC_Agribank_Goc, BCTC_MB_Goc, Du_lieu và Chi_tieu).</w:t>
      </w:r>
    </w:p>
    <w:p w14:paraId="2F223B87" w14:textId="77777777" w:rsidR="00010F8E" w:rsidRDefault="00000000">
      <w:pPr>
        <w:keepNext/>
        <w:spacing w:before="240" w:after="80"/>
        <w:jc w:val="center"/>
      </w:pPr>
      <w:r>
        <w:rPr>
          <w:rFonts w:ascii="Times New Roman" w:hAnsi="Times New Roman"/>
          <w:b/>
          <w:color w:val="002060"/>
          <w:sz w:val="21"/>
        </w:rPr>
        <w:lastRenderedPageBreak/>
        <w:t>Hình 1. Diễn biến tỷ lệ NPL và tỷ lệ nợ nhóm 2 của Agribank và MB (2020–2025)</w:t>
      </w:r>
    </w:p>
    <w:p w14:paraId="4F5265FC" w14:textId="77777777" w:rsidR="00010F8E" w:rsidRDefault="00000000">
      <w:pPr>
        <w:spacing w:before="80" w:after="80"/>
        <w:jc w:val="center"/>
      </w:pPr>
      <w:r>
        <w:rPr>
          <w:noProof/>
        </w:rPr>
        <w:drawing>
          <wp:inline distT="0" distB="0" distL="0" distR="0" wp14:anchorId="5AF83207" wp14:editId="7EA421B0">
            <wp:extent cx="5669280" cy="3201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NPL_va_Nhom_2.png"/>
                    <pic:cNvPicPr/>
                  </pic:nvPicPr>
                  <pic:blipFill>
                    <a:blip r:embed="rId6"/>
                    <a:stretch>
                      <a:fillRect/>
                    </a:stretch>
                  </pic:blipFill>
                  <pic:spPr>
                    <a:xfrm>
                      <a:off x="0" y="0"/>
                      <a:ext cx="5669280" cy="3201476"/>
                    </a:xfrm>
                    <a:prstGeom prst="rect">
                      <a:avLst/>
                    </a:prstGeom>
                  </pic:spPr>
                </pic:pic>
              </a:graphicData>
            </a:graphic>
          </wp:inline>
        </w:drawing>
      </w:r>
    </w:p>
    <w:p w14:paraId="271F5A60" w14:textId="77777777" w:rsidR="00010F8E" w:rsidRDefault="00000000">
      <w:pPr>
        <w:spacing w:before="60"/>
        <w:jc w:val="center"/>
      </w:pPr>
      <w:r>
        <w:rPr>
          <w:rFonts w:ascii="Times New Roman" w:hAnsi="Times New Roman"/>
          <w:i/>
          <w:color w:val="505050"/>
          <w:sz w:val="19"/>
        </w:rPr>
        <w:t>Nguồn: Tính toán và đồ thị hóa của nhóm tác giả từ Thuyết minh BCTC kiểm toán và BCTN của hai ngân hàng.</w:t>
      </w:r>
    </w:p>
    <w:p w14:paraId="78DAE8F1" w14:textId="77777777" w:rsidR="00F67131" w:rsidRDefault="00000000">
      <w:pPr>
        <w:spacing w:after="80" w:line="300" w:lineRule="auto"/>
        <w:jc w:val="both"/>
      </w:pPr>
      <w:r>
        <w:rPr>
          <w:rFonts w:ascii="Times New Roman" w:hAnsi="Times New Roman"/>
          <w:color w:val="000000"/>
        </w:rPr>
        <w:t>So sánh cùng cơ sở và phân rã biến động NPL năm 2025: Như minh họa trực quan tại Hình 1, diễn biến tỷ lệ nợ xấu và nợ nhóm 2 giai đoạn 2020–2025 phản ánh hai chu kỳ chất lượng tài sản hoàn toàn khác nhau. Báo cáo thường niên của Agribank công bố NPL 2025 là 1,17%, thấp hơn mức 1,29% của MB. Tuy nhiên, tỷ lệ 1,17% của Agribank sử dụng mẫu số tổng dư nợ cấp tín dụng theo Thông tư 11/Thông tư 31, trong khi tỷ lệ 1,29% của MB được tính chuẩn xác bằng nợ nhóm 3–5 chia cho tổng dư nợ cho vay khách hàng hợp nhất. Khi tính toán lại trên cùng một cơ sở thống nhất từ Thuyết minh số 9 BCTC hợp nhất kiểm toán 2025, tỷ lệ NPL của Agribank là 1,30%, gần như hội tụ hoàn toàn với mức 1,29% của MB (chênh lệch dưới 0,01 điểm phần trăm). Vì vậy, các nhận định truyền thông cho rằng 'Agribank lần đầu tiên đưa tỷ lệ nợ xấu xuống thấp hơn MB' thực chất là kết quả của việc so sánh không cùng mẫu số kế toán. Để đánh giá thực chất mức độ suy giảm NPL đến từ sự cải thiện nội tại của chất lượng tài sản hay từ hiệu ứng mở rộng quy mô tín dụng, nghiên cứu thực hiện phân rã toán học (NPL Decomposition) biến động nợ xấu của cả hai ngân hàng năm 2025:</w:t>
      </w:r>
    </w:p>
    <w:p w14:paraId="01275E1D" w14:textId="77777777" w:rsidR="00F67131" w:rsidRDefault="00000000">
      <w:pPr>
        <w:spacing w:after="80" w:line="300" w:lineRule="auto"/>
        <w:jc w:val="both"/>
      </w:pPr>
      <w:r>
        <w:rPr>
          <w:rFonts w:ascii="Times New Roman" w:hAnsi="Times New Roman"/>
          <w:color w:val="000000"/>
        </w:rPr>
        <w:t>Ta có công thức phân rã biến động tỷ lệ nợ xấu (NPL Decomposition):</w:t>
      </w:r>
      <w:r>
        <w:rPr>
          <w:rFonts w:ascii="Times New Roman" w:hAnsi="Times New Roman"/>
          <w:color w:val="000000"/>
        </w:rPr>
        <w:br/>
        <w:t xml:space="preserve">    ΔNPL = NPL[t] − NPL[t-1] = (NPD[t] / Loan[t]) − (NPD[t-1] / Loan[t-1])</w:t>
      </w:r>
      <w:r>
        <w:rPr>
          <w:rFonts w:ascii="Times New Roman" w:hAnsi="Times New Roman"/>
          <w:color w:val="000000"/>
        </w:rPr>
        <w:br/>
        <w:t xml:space="preserve">         = [ΔNPD[t] / Loan[t]] (Hiệu ứng Tử số: Biến động quy mô nợ xấu)</w:t>
      </w:r>
      <w:r>
        <w:rPr>
          <w:rFonts w:ascii="Times New Roman" w:hAnsi="Times New Roman"/>
          <w:color w:val="000000"/>
        </w:rPr>
        <w:br/>
        <w:t xml:space="preserve">           − [NPL[t-1] × (ΔLoan[t] / Loan[t])] (Hiệu ứng Mẫu số: Tốc độ tăng trưởng quy mô tín dụng)</w:t>
      </w:r>
      <w:r>
        <w:rPr>
          <w:rFonts w:ascii="Times New Roman" w:hAnsi="Times New Roman"/>
          <w:color w:val="000000"/>
        </w:rPr>
        <w:br/>
      </w:r>
      <w:r>
        <w:rPr>
          <w:rFonts w:ascii="Times New Roman" w:hAnsi="Times New Roman"/>
          <w:color w:val="000000"/>
        </w:rPr>
        <w:br/>
        <w:t>Kết quả tính toán năm 2025 (số liệu Thuyết minh 9/10 BCTC hợp nhất kiểm toán 2025):</w:t>
      </w:r>
      <w:r>
        <w:rPr>
          <w:rFonts w:ascii="Times New Roman" w:hAnsi="Times New Roman"/>
          <w:color w:val="000000"/>
        </w:rPr>
        <w:br/>
        <w:t xml:space="preserve">  • MB: Tỷ lệ NPL giảm từ 1,62% về 1,29% (−0,33 điểm %). Hiệu ứng mẫu số (tăng trưởng tín dụng làm loãng nợ xấu): 1,62% × (307.361 / 1.084.019) = −0,46 điểm %; hiệu ứng tử số (chất lượng tín dụng giảm, nợ xấu tuyệt đối tăng từ 12.585 tỷ lên 14.027 tỷ đồng): (+1.442 / 1.084.019) = +0,13 điểm %. Tổng hợp hai hiệu ứng: −0,46% + 0,13% = −0,33 điểm %.</w:t>
      </w:r>
      <w:r>
        <w:rPr>
          <w:rFonts w:ascii="Times New Roman" w:hAnsi="Times New Roman"/>
          <w:color w:val="000000"/>
        </w:rPr>
        <w:tab/>
      </w:r>
      <w:r>
        <w:rPr>
          <w:rFonts w:ascii="Times New Roman" w:hAnsi="Times New Roman"/>
          <w:color w:val="000000"/>
        </w:rPr>
        <w:br/>
      </w:r>
      <w:r>
        <w:rPr>
          <w:rFonts w:ascii="Times New Roman" w:hAnsi="Times New Roman"/>
          <w:color w:val="000000"/>
        </w:rPr>
        <w:lastRenderedPageBreak/>
        <w:t xml:space="preserve">  • Agribank: Tỷ lệ NPL giảm từ 1,68% về 1,30% (−0,39 điểm %). Hiệu ứng mẫu số: 1,68% × (252.987 / 1.976.369) = −0,22 điểm %; hiệu ứng tử số (nợ xấu tuyệt đối giảm từ 29.009 tỷ về 25.610 tỷ đồng): (−3.399 / 1.976.369) = −0,17 điểm %. Tổng hợp hai hiệu ứng: −0,22% − 0,17% = −0,39 điểm %.</w:t>
      </w:r>
      <w:r>
        <w:rPr>
          <w:rFonts w:ascii="Times New Roman" w:hAnsi="Times New Roman"/>
          <w:color w:val="000000"/>
        </w:rPr>
        <w:br/>
        <w:t xml:space="preserve">  • Vai trò của xóa nợ bằng dự phòng: Trong năm 2025, MB sử dụng 12.185 tỷ đồng và Agribank sử dụng 32.621 tỷ đồng quỹ dự phòng để xử lý rủi ro tín dụng (tương ứng 1,31% và 1,76% dư nợ bình quân). Khi cộng lại số nợ đã xóa vào nợ xấu nội bảng (cận trên kỹ thuật, do một phần khoản xóa thuộc nợ xấu tồn đọng đầu kỳ), tỷ lệ NPL trước xử lý rủi ro thực tế ước tính là 2,42% tại MB và 2,95% tại Agribank.</w:t>
      </w:r>
      <w:r>
        <w:rPr>
          <w:rFonts w:ascii="Times New Roman" w:hAnsi="Times New Roman"/>
          <w:color w:val="000000"/>
        </w:rPr>
        <w:br/>
        <w:t>Nhận xét: Mức giảm tỷ lệ NPL của MB trong năm 2025 chủ yếu được thúc đẩy bởi tốc độ tăng trưởng dư nợ rất mạnh (mẫu số tăng nhanh làm loãng nợ xấu), trong khi số dư nợ xấu tuyệt đối vẫn tăng thêm 1.442 tỷ đồng. Ngược lại, mức giảm NPL của Agribank có sự đóng góp thực chất của cả hai yếu tố: quy mô nợ xấu tuyệt đối giảm (−3.399 tỷ) và mẫu số dư nợ mở rộng, tuy nhiên Agribank sử dụng quy mô xóa nợ lớn hơn đáng kể tính trên tổng dư nợ. Về bản chất kế toán, cả hai ngân hàng đều tuân thủ chặt chẽ quy chế xử lý rủi ro bằng dự phòng theo Thông tư 11/2021/TT-NHNN và Nghị định 86/2024/NĐ-CP.</w:t>
      </w:r>
      <w:r>
        <w:rPr>
          <w:rFonts w:ascii="Times New Roman" w:hAnsi="Times New Roman"/>
          <w:color w:val="000000"/>
        </w:rPr>
        <w:br/>
        <w:t>(Mối tương quan giữa tốc độ tăng trưởng quy mô tín dụng và tốc độ gia tăng nợ xấu được đồ thị hóa rõ nét tại Hình 2 dưới đây).</w:t>
      </w:r>
    </w:p>
    <w:p w14:paraId="5E523C0D" w14:textId="77777777" w:rsidR="00010F8E" w:rsidRDefault="00000000">
      <w:pPr>
        <w:keepNext/>
        <w:spacing w:before="240" w:after="80"/>
        <w:jc w:val="center"/>
      </w:pPr>
      <w:r>
        <w:rPr>
          <w:rFonts w:ascii="Times New Roman" w:hAnsi="Times New Roman"/>
          <w:b/>
          <w:color w:val="002060"/>
          <w:sz w:val="21"/>
        </w:rPr>
        <w:t>Hình 2. Tốc độ tăng trưởng quy mô dư nợ và nợ xấu tại Agribank và MB (2020–2025)</w:t>
      </w:r>
    </w:p>
    <w:p w14:paraId="13D69D70" w14:textId="77777777" w:rsidR="00010F8E" w:rsidRDefault="00000000">
      <w:pPr>
        <w:spacing w:before="80" w:after="80"/>
        <w:jc w:val="center"/>
      </w:pPr>
      <w:r>
        <w:rPr>
          <w:noProof/>
        </w:rPr>
        <w:drawing>
          <wp:inline distT="0" distB="0" distL="0" distR="0" wp14:anchorId="79AD5365" wp14:editId="096550A4">
            <wp:extent cx="5669280" cy="25511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Tang_truong_Du_no_vs_No_xau.png"/>
                    <pic:cNvPicPr/>
                  </pic:nvPicPr>
                  <pic:blipFill>
                    <a:blip r:embed="rId7"/>
                    <a:stretch>
                      <a:fillRect/>
                    </a:stretch>
                  </pic:blipFill>
                  <pic:spPr>
                    <a:xfrm>
                      <a:off x="0" y="0"/>
                      <a:ext cx="5669280" cy="2551176"/>
                    </a:xfrm>
                    <a:prstGeom prst="rect">
                      <a:avLst/>
                    </a:prstGeom>
                  </pic:spPr>
                </pic:pic>
              </a:graphicData>
            </a:graphic>
          </wp:inline>
        </w:drawing>
      </w:r>
    </w:p>
    <w:p w14:paraId="2B62810B" w14:textId="77777777" w:rsidR="00010F8E" w:rsidRDefault="00000000">
      <w:pPr>
        <w:spacing w:before="60"/>
        <w:jc w:val="center"/>
      </w:pPr>
      <w:r>
        <w:rPr>
          <w:rFonts w:ascii="Times New Roman" w:hAnsi="Times New Roman"/>
          <w:i/>
          <w:color w:val="505050"/>
          <w:sz w:val="19"/>
        </w:rPr>
        <w:t>Nguồn: Tính toán và đồ thị hóa của nhóm tác giả từ Thuyết minh BCTC hợp nhất kiểm toán của hai ngân hàng.</w:t>
      </w:r>
    </w:p>
    <w:p w14:paraId="7CFD550A" w14:textId="77777777" w:rsidR="00F67131" w:rsidRDefault="00000000">
      <w:pPr>
        <w:pStyle w:val="Heading2"/>
        <w:spacing w:after="80" w:line="300" w:lineRule="auto"/>
      </w:pPr>
      <w:bookmarkStart w:id="13" w:name="_Toc244090113"/>
      <w:r>
        <w:rPr>
          <w:rFonts w:ascii="Times New Roman" w:hAnsi="Times New Roman"/>
          <w:color w:val="0F4C81"/>
          <w:sz w:val="24"/>
        </w:rPr>
        <w:t>4.2. Bộ đệm dự phòng, chi phí tín dụng và hành vi trích lập dự phòng theo chu kỳ</w:t>
      </w:r>
      <w:bookmarkEnd w:id="13"/>
    </w:p>
    <w:p w14:paraId="1DB45CDE" w14:textId="77777777" w:rsidR="00F67131" w:rsidRDefault="00000000">
      <w:pPr>
        <w:spacing w:before="120" w:after="60" w:line="300" w:lineRule="auto"/>
      </w:pPr>
      <w:r>
        <w:rPr>
          <w:rFonts w:ascii="Times New Roman" w:hAnsi="Times New Roman"/>
          <w:b/>
          <w:color w:val="1B365D"/>
          <w:sz w:val="20"/>
        </w:rPr>
        <w:t>Bảng 6. Bộ đệm dự phòng (LLCR), chi phí dự phòng và bóc tách Credit Cost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14"/>
        <w:gridCol w:w="993"/>
        <w:gridCol w:w="993"/>
        <w:gridCol w:w="993"/>
        <w:gridCol w:w="993"/>
        <w:gridCol w:w="993"/>
        <w:gridCol w:w="993"/>
      </w:tblGrid>
      <w:tr w:rsidR="00F67131" w14:paraId="741AD916" w14:textId="77777777">
        <w:trPr>
          <w:jc w:val="center"/>
          <w:cantSplit/>
          <w:tblHeader/>
        </w:trPr>
        <w:tc>
          <w:tcPr>
            <w:tcW w:w="3456" w:type="dxa"/>
            <w:shd w:val="clear" w:color="auto" w:fill="1B365D"/>
            <w:tcMar>
              <w:top w:w="70" w:type="dxa"/>
              <w:left w:w="100" w:type="dxa"/>
              <w:bottom w:w="70" w:type="dxa"/>
              <w:right w:w="100" w:type="dxa"/>
            </w:tcMar>
          </w:tcPr>
          <w:p w14:paraId="2B5B6A6B" w14:textId="77777777" w:rsidR="00F67131" w:rsidRDefault="00000000">
            <w:pPr>
              <w:spacing w:before="40" w:after="40" w:line="240" w:lineRule="auto"/>
              <w:jc w:val="both"/>
            </w:pPr>
            <w:r>
              <w:rPr>
                <w:rFonts w:ascii="Times New Roman" w:hAnsi="Times New Roman"/>
                <w:b/>
                <w:color w:val="FFFFFF"/>
                <w:sz w:val="19"/>
              </w:rPr>
              <w:t>Chỉ tiêu phân tích</w:t>
            </w:r>
          </w:p>
        </w:tc>
        <w:tc>
          <w:tcPr>
            <w:tcW w:w="1008" w:type="dxa"/>
            <w:shd w:val="clear" w:color="auto" w:fill="1B365D"/>
            <w:tcMar>
              <w:top w:w="70" w:type="dxa"/>
              <w:left w:w="100" w:type="dxa"/>
              <w:bottom w:w="70" w:type="dxa"/>
              <w:right w:w="100" w:type="dxa"/>
            </w:tcMar>
          </w:tcPr>
          <w:p w14:paraId="6D0E666E" w14:textId="77777777" w:rsidR="00F67131" w:rsidRDefault="00000000">
            <w:pPr>
              <w:spacing w:before="40" w:after="40" w:line="240" w:lineRule="auto"/>
              <w:jc w:val="both"/>
            </w:pPr>
            <w:r>
              <w:rPr>
                <w:rFonts w:ascii="Times New Roman" w:hAnsi="Times New Roman"/>
                <w:b/>
                <w:color w:val="FFFFFF"/>
                <w:sz w:val="19"/>
              </w:rPr>
              <w:t>2020</w:t>
            </w:r>
          </w:p>
        </w:tc>
        <w:tc>
          <w:tcPr>
            <w:tcW w:w="1008" w:type="dxa"/>
            <w:shd w:val="clear" w:color="auto" w:fill="1B365D"/>
            <w:tcMar>
              <w:top w:w="70" w:type="dxa"/>
              <w:left w:w="100" w:type="dxa"/>
              <w:bottom w:w="70" w:type="dxa"/>
              <w:right w:w="100" w:type="dxa"/>
            </w:tcMar>
          </w:tcPr>
          <w:p w14:paraId="5C7C88D0" w14:textId="77777777" w:rsidR="00F67131" w:rsidRDefault="00000000">
            <w:pPr>
              <w:spacing w:before="40" w:after="40" w:line="240" w:lineRule="auto"/>
              <w:jc w:val="both"/>
            </w:pPr>
            <w:r>
              <w:rPr>
                <w:rFonts w:ascii="Times New Roman" w:hAnsi="Times New Roman"/>
                <w:b/>
                <w:color w:val="FFFFFF"/>
                <w:sz w:val="19"/>
              </w:rPr>
              <w:t>2021</w:t>
            </w:r>
          </w:p>
        </w:tc>
        <w:tc>
          <w:tcPr>
            <w:tcW w:w="1008" w:type="dxa"/>
            <w:shd w:val="clear" w:color="auto" w:fill="1B365D"/>
            <w:tcMar>
              <w:top w:w="70" w:type="dxa"/>
              <w:left w:w="100" w:type="dxa"/>
              <w:bottom w:w="70" w:type="dxa"/>
              <w:right w:w="100" w:type="dxa"/>
            </w:tcMar>
          </w:tcPr>
          <w:p w14:paraId="30998155" w14:textId="77777777" w:rsidR="00F67131" w:rsidRDefault="00000000">
            <w:pPr>
              <w:spacing w:before="40" w:after="40" w:line="240" w:lineRule="auto"/>
              <w:jc w:val="both"/>
            </w:pPr>
            <w:r>
              <w:rPr>
                <w:rFonts w:ascii="Times New Roman" w:hAnsi="Times New Roman"/>
                <w:b/>
                <w:color w:val="FFFFFF"/>
                <w:sz w:val="19"/>
              </w:rPr>
              <w:t>2022</w:t>
            </w:r>
          </w:p>
        </w:tc>
        <w:tc>
          <w:tcPr>
            <w:tcW w:w="1008" w:type="dxa"/>
            <w:shd w:val="clear" w:color="auto" w:fill="1B365D"/>
            <w:tcMar>
              <w:top w:w="70" w:type="dxa"/>
              <w:left w:w="100" w:type="dxa"/>
              <w:bottom w:w="70" w:type="dxa"/>
              <w:right w:w="100" w:type="dxa"/>
            </w:tcMar>
          </w:tcPr>
          <w:p w14:paraId="0C0377B1" w14:textId="77777777" w:rsidR="00F67131" w:rsidRDefault="00000000">
            <w:pPr>
              <w:spacing w:before="40" w:after="40" w:line="240" w:lineRule="auto"/>
              <w:jc w:val="both"/>
            </w:pPr>
            <w:r>
              <w:rPr>
                <w:rFonts w:ascii="Times New Roman" w:hAnsi="Times New Roman"/>
                <w:b/>
                <w:color w:val="FFFFFF"/>
                <w:sz w:val="19"/>
              </w:rPr>
              <w:t>2023</w:t>
            </w:r>
          </w:p>
        </w:tc>
        <w:tc>
          <w:tcPr>
            <w:tcW w:w="1008" w:type="dxa"/>
            <w:shd w:val="clear" w:color="auto" w:fill="1B365D"/>
            <w:tcMar>
              <w:top w:w="70" w:type="dxa"/>
              <w:left w:w="100" w:type="dxa"/>
              <w:bottom w:w="70" w:type="dxa"/>
              <w:right w:w="100" w:type="dxa"/>
            </w:tcMar>
          </w:tcPr>
          <w:p w14:paraId="7C1384A8" w14:textId="77777777" w:rsidR="00F67131" w:rsidRDefault="00000000">
            <w:pPr>
              <w:spacing w:before="40" w:after="40" w:line="240" w:lineRule="auto"/>
              <w:jc w:val="both"/>
            </w:pPr>
            <w:r>
              <w:rPr>
                <w:rFonts w:ascii="Times New Roman" w:hAnsi="Times New Roman"/>
                <w:b/>
                <w:color w:val="FFFFFF"/>
                <w:sz w:val="19"/>
              </w:rPr>
              <w:t>2024</w:t>
            </w:r>
          </w:p>
        </w:tc>
        <w:tc>
          <w:tcPr>
            <w:tcW w:w="1008" w:type="dxa"/>
            <w:shd w:val="clear" w:color="auto" w:fill="1B365D"/>
            <w:tcMar>
              <w:top w:w="70" w:type="dxa"/>
              <w:left w:w="100" w:type="dxa"/>
              <w:bottom w:w="70" w:type="dxa"/>
              <w:right w:w="100" w:type="dxa"/>
            </w:tcMar>
          </w:tcPr>
          <w:p w14:paraId="13D52C8D" w14:textId="77777777" w:rsidR="00F67131" w:rsidRDefault="00000000">
            <w:pPr>
              <w:spacing w:before="40" w:after="40" w:line="240" w:lineRule="auto"/>
              <w:jc w:val="both"/>
            </w:pPr>
            <w:r>
              <w:rPr>
                <w:rFonts w:ascii="Times New Roman" w:hAnsi="Times New Roman"/>
                <w:b/>
                <w:color w:val="FFFFFF"/>
                <w:sz w:val="19"/>
              </w:rPr>
              <w:t>2025</w:t>
            </w:r>
          </w:p>
        </w:tc>
      </w:tr>
      <w:tr w:rsidR="00F67131" w14:paraId="6D0816A9" w14:textId="77777777">
        <w:trPr>
          <w:jc w:val="center"/>
          <w:cantSplit/>
        </w:trPr>
        <w:tc>
          <w:tcPr>
            <w:tcW w:w="3456" w:type="dxa"/>
            <w:tcMar>
              <w:top w:w="70" w:type="dxa"/>
              <w:left w:w="100" w:type="dxa"/>
              <w:bottom w:w="70" w:type="dxa"/>
              <w:right w:w="100" w:type="dxa"/>
            </w:tcMar>
          </w:tcPr>
          <w:p w14:paraId="45072637" w14:textId="77777777" w:rsidR="00F67131" w:rsidRDefault="00000000">
            <w:pPr>
              <w:spacing w:before="40" w:after="40" w:line="240" w:lineRule="auto"/>
              <w:jc w:val="both"/>
            </w:pPr>
            <w:r>
              <w:rPr>
                <w:rFonts w:ascii="Times New Roman" w:hAnsi="Times New Roman"/>
                <w:b/>
                <w:color w:val="262626"/>
                <w:sz w:val="18"/>
              </w:rPr>
              <w:t>Agribank: Tỷ lệ bao phủ nợ xấu Hợp nhất (LLCR)</w:t>
            </w:r>
          </w:p>
        </w:tc>
        <w:tc>
          <w:tcPr>
            <w:tcW w:w="1008" w:type="dxa"/>
            <w:tcMar>
              <w:top w:w="70" w:type="dxa"/>
              <w:left w:w="100" w:type="dxa"/>
              <w:bottom w:w="70" w:type="dxa"/>
              <w:right w:w="100" w:type="dxa"/>
            </w:tcMar>
          </w:tcPr>
          <w:p w14:paraId="3E51E452" w14:textId="77777777" w:rsidR="00F67131" w:rsidRDefault="00000000">
            <w:pPr>
              <w:spacing w:before="40" w:after="40" w:line="240" w:lineRule="auto"/>
              <w:jc w:val="both"/>
            </w:pPr>
            <w:r>
              <w:rPr>
                <w:rFonts w:ascii="Times New Roman" w:hAnsi="Times New Roman"/>
                <w:color w:val="262626"/>
                <w:sz w:val="18"/>
              </w:rPr>
              <w:t>113,6%</w:t>
            </w:r>
          </w:p>
        </w:tc>
        <w:tc>
          <w:tcPr>
            <w:tcW w:w="1008" w:type="dxa"/>
            <w:tcMar>
              <w:top w:w="70" w:type="dxa"/>
              <w:left w:w="100" w:type="dxa"/>
              <w:bottom w:w="70" w:type="dxa"/>
              <w:right w:w="100" w:type="dxa"/>
            </w:tcMar>
          </w:tcPr>
          <w:p w14:paraId="66B0FD8C" w14:textId="77777777" w:rsidR="00F67131" w:rsidRDefault="00000000">
            <w:pPr>
              <w:spacing w:before="40" w:after="40" w:line="240" w:lineRule="auto"/>
              <w:jc w:val="both"/>
            </w:pPr>
            <w:r>
              <w:rPr>
                <w:rFonts w:ascii="Times New Roman" w:hAnsi="Times New Roman"/>
                <w:color w:val="262626"/>
                <w:sz w:val="18"/>
              </w:rPr>
              <w:t>140,8%</w:t>
            </w:r>
          </w:p>
        </w:tc>
        <w:tc>
          <w:tcPr>
            <w:tcW w:w="1008" w:type="dxa"/>
            <w:tcMar>
              <w:top w:w="70" w:type="dxa"/>
              <w:left w:w="100" w:type="dxa"/>
              <w:bottom w:w="70" w:type="dxa"/>
              <w:right w:w="100" w:type="dxa"/>
            </w:tcMar>
          </w:tcPr>
          <w:p w14:paraId="2EFBC2F2" w14:textId="77777777" w:rsidR="00F67131" w:rsidRDefault="00000000">
            <w:pPr>
              <w:spacing w:before="40" w:after="40" w:line="240" w:lineRule="auto"/>
              <w:jc w:val="both"/>
            </w:pPr>
            <w:r>
              <w:rPr>
                <w:rFonts w:ascii="Times New Roman" w:hAnsi="Times New Roman"/>
                <w:color w:val="262626"/>
                <w:sz w:val="18"/>
              </w:rPr>
              <w:t>141,3%</w:t>
            </w:r>
          </w:p>
        </w:tc>
        <w:tc>
          <w:tcPr>
            <w:tcW w:w="1008" w:type="dxa"/>
            <w:tcMar>
              <w:top w:w="70" w:type="dxa"/>
              <w:left w:w="100" w:type="dxa"/>
              <w:bottom w:w="70" w:type="dxa"/>
              <w:right w:w="100" w:type="dxa"/>
            </w:tcMar>
          </w:tcPr>
          <w:p w14:paraId="0B7284A6" w14:textId="77777777" w:rsidR="00F67131" w:rsidRDefault="00000000">
            <w:pPr>
              <w:spacing w:before="40" w:after="40" w:line="240" w:lineRule="auto"/>
              <w:jc w:val="both"/>
            </w:pPr>
            <w:r>
              <w:rPr>
                <w:rFonts w:ascii="Times New Roman" w:hAnsi="Times New Roman"/>
                <w:color w:val="262626"/>
                <w:sz w:val="18"/>
              </w:rPr>
              <w:t>132,4%</w:t>
            </w:r>
          </w:p>
        </w:tc>
        <w:tc>
          <w:tcPr>
            <w:tcW w:w="1008" w:type="dxa"/>
            <w:tcMar>
              <w:top w:w="70" w:type="dxa"/>
              <w:left w:w="100" w:type="dxa"/>
              <w:bottom w:w="70" w:type="dxa"/>
              <w:right w:w="100" w:type="dxa"/>
            </w:tcMar>
          </w:tcPr>
          <w:p w14:paraId="435799C3" w14:textId="77777777" w:rsidR="00F67131" w:rsidRDefault="00000000">
            <w:pPr>
              <w:spacing w:before="40" w:after="40" w:line="240" w:lineRule="auto"/>
              <w:jc w:val="both"/>
            </w:pPr>
            <w:r>
              <w:rPr>
                <w:rFonts w:ascii="Times New Roman" w:hAnsi="Times New Roman"/>
                <w:color w:val="262626"/>
                <w:sz w:val="18"/>
              </w:rPr>
              <w:t>132,0%</w:t>
            </w:r>
          </w:p>
        </w:tc>
        <w:tc>
          <w:tcPr>
            <w:tcW w:w="1008" w:type="dxa"/>
            <w:tcMar>
              <w:top w:w="70" w:type="dxa"/>
              <w:left w:w="100" w:type="dxa"/>
              <w:bottom w:w="70" w:type="dxa"/>
              <w:right w:w="100" w:type="dxa"/>
            </w:tcMar>
          </w:tcPr>
          <w:p w14:paraId="12B2B64B" w14:textId="77777777" w:rsidR="00F67131" w:rsidRDefault="00000000">
            <w:pPr>
              <w:spacing w:before="40" w:after="40" w:line="240" w:lineRule="auto"/>
              <w:jc w:val="both"/>
            </w:pPr>
            <w:r>
              <w:rPr>
                <w:rFonts w:ascii="Times New Roman" w:hAnsi="Times New Roman"/>
                <w:color w:val="262626"/>
                <w:sz w:val="18"/>
              </w:rPr>
              <w:t>146,3%</w:t>
            </w:r>
          </w:p>
        </w:tc>
      </w:tr>
      <w:tr w:rsidR="00F67131" w14:paraId="6B9C958B" w14:textId="77777777">
        <w:trPr>
          <w:jc w:val="center"/>
          <w:cantSplit/>
        </w:trPr>
        <w:tc>
          <w:tcPr>
            <w:tcW w:w="3456" w:type="dxa"/>
            <w:tcMar>
              <w:top w:w="70" w:type="dxa"/>
              <w:left w:w="100" w:type="dxa"/>
              <w:bottom w:w="70" w:type="dxa"/>
              <w:right w:w="100" w:type="dxa"/>
            </w:tcMar>
          </w:tcPr>
          <w:p w14:paraId="6A5A532B" w14:textId="77777777" w:rsidR="00F67131" w:rsidRDefault="00000000">
            <w:pPr>
              <w:spacing w:before="40" w:after="40" w:line="240" w:lineRule="auto"/>
              <w:jc w:val="both"/>
            </w:pPr>
            <w:r>
              <w:rPr>
                <w:rFonts w:ascii="Times New Roman" w:hAnsi="Times New Roman"/>
                <w:color w:val="262626"/>
                <w:sz w:val="18"/>
              </w:rPr>
              <w:lastRenderedPageBreak/>
              <w:t>Agribank: Chi phí dự phòng RRTD Hợp nhất (tỷ)</w:t>
            </w:r>
          </w:p>
        </w:tc>
        <w:tc>
          <w:tcPr>
            <w:tcW w:w="1008" w:type="dxa"/>
            <w:tcMar>
              <w:top w:w="70" w:type="dxa"/>
              <w:left w:w="100" w:type="dxa"/>
              <w:bottom w:w="70" w:type="dxa"/>
              <w:right w:w="100" w:type="dxa"/>
            </w:tcMar>
          </w:tcPr>
          <w:p w14:paraId="2635898A" w14:textId="77777777" w:rsidR="00F67131" w:rsidRDefault="00000000">
            <w:pPr>
              <w:spacing w:before="40" w:after="40" w:line="240" w:lineRule="auto"/>
              <w:jc w:val="both"/>
            </w:pPr>
            <w:r>
              <w:rPr>
                <w:rFonts w:ascii="Times New Roman" w:hAnsi="Times New Roman"/>
                <w:color w:val="262626"/>
                <w:sz w:val="18"/>
              </w:rPr>
              <w:t>18.732</w:t>
            </w:r>
          </w:p>
        </w:tc>
        <w:tc>
          <w:tcPr>
            <w:tcW w:w="1008" w:type="dxa"/>
            <w:tcMar>
              <w:top w:w="70" w:type="dxa"/>
              <w:left w:w="100" w:type="dxa"/>
              <w:bottom w:w="70" w:type="dxa"/>
              <w:right w:w="100" w:type="dxa"/>
            </w:tcMar>
          </w:tcPr>
          <w:p w14:paraId="6EEA42B4" w14:textId="77777777" w:rsidR="00F67131" w:rsidRDefault="00000000">
            <w:pPr>
              <w:spacing w:before="40" w:after="40" w:line="240" w:lineRule="auto"/>
              <w:jc w:val="both"/>
            </w:pPr>
            <w:r>
              <w:rPr>
                <w:rFonts w:ascii="Times New Roman" w:hAnsi="Times New Roman"/>
                <w:color w:val="262626"/>
                <w:sz w:val="18"/>
              </w:rPr>
              <w:t>22.048</w:t>
            </w:r>
          </w:p>
        </w:tc>
        <w:tc>
          <w:tcPr>
            <w:tcW w:w="1008" w:type="dxa"/>
            <w:tcMar>
              <w:top w:w="70" w:type="dxa"/>
              <w:left w:w="100" w:type="dxa"/>
              <w:bottom w:w="70" w:type="dxa"/>
              <w:right w:w="100" w:type="dxa"/>
            </w:tcMar>
          </w:tcPr>
          <w:p w14:paraId="2C0DEFD9" w14:textId="77777777" w:rsidR="00F67131" w:rsidRDefault="00000000">
            <w:pPr>
              <w:spacing w:before="40" w:after="40" w:line="240" w:lineRule="auto"/>
              <w:jc w:val="both"/>
            </w:pPr>
            <w:r>
              <w:rPr>
                <w:rFonts w:ascii="Times New Roman" w:hAnsi="Times New Roman"/>
                <w:color w:val="262626"/>
                <w:sz w:val="18"/>
              </w:rPr>
              <w:t>27.172</w:t>
            </w:r>
          </w:p>
        </w:tc>
        <w:tc>
          <w:tcPr>
            <w:tcW w:w="1008" w:type="dxa"/>
            <w:tcMar>
              <w:top w:w="70" w:type="dxa"/>
              <w:left w:w="100" w:type="dxa"/>
              <w:bottom w:w="70" w:type="dxa"/>
              <w:right w:w="100" w:type="dxa"/>
            </w:tcMar>
          </w:tcPr>
          <w:p w14:paraId="2DB7266F" w14:textId="77777777" w:rsidR="00F67131" w:rsidRDefault="00000000">
            <w:pPr>
              <w:spacing w:before="40" w:after="40" w:line="240" w:lineRule="auto"/>
              <w:jc w:val="both"/>
            </w:pPr>
            <w:r>
              <w:rPr>
                <w:rFonts w:ascii="Times New Roman" w:hAnsi="Times New Roman"/>
                <w:color w:val="262626"/>
                <w:sz w:val="18"/>
              </w:rPr>
              <w:t>19.347</w:t>
            </w:r>
          </w:p>
        </w:tc>
        <w:tc>
          <w:tcPr>
            <w:tcW w:w="1008" w:type="dxa"/>
            <w:tcMar>
              <w:top w:w="70" w:type="dxa"/>
              <w:left w:w="100" w:type="dxa"/>
              <w:bottom w:w="70" w:type="dxa"/>
              <w:right w:w="100" w:type="dxa"/>
            </w:tcMar>
          </w:tcPr>
          <w:p w14:paraId="664A388E" w14:textId="77777777" w:rsidR="00F67131" w:rsidRDefault="00000000">
            <w:pPr>
              <w:spacing w:before="40" w:after="40" w:line="240" w:lineRule="auto"/>
              <w:jc w:val="both"/>
            </w:pPr>
            <w:r>
              <w:rPr>
                <w:rFonts w:ascii="Times New Roman" w:hAnsi="Times New Roman"/>
                <w:color w:val="262626"/>
                <w:sz w:val="18"/>
              </w:rPr>
              <w:t>26.658</w:t>
            </w:r>
          </w:p>
        </w:tc>
        <w:tc>
          <w:tcPr>
            <w:tcW w:w="1008" w:type="dxa"/>
            <w:tcMar>
              <w:top w:w="70" w:type="dxa"/>
              <w:left w:w="100" w:type="dxa"/>
              <w:bottom w:w="70" w:type="dxa"/>
              <w:right w:w="100" w:type="dxa"/>
            </w:tcMar>
          </w:tcPr>
          <w:p w14:paraId="48687D52" w14:textId="77777777" w:rsidR="00F67131" w:rsidRDefault="00000000">
            <w:pPr>
              <w:spacing w:before="40" w:after="40" w:line="240" w:lineRule="auto"/>
              <w:jc w:val="both"/>
            </w:pPr>
            <w:r>
              <w:rPr>
                <w:rFonts w:ascii="Times New Roman" w:hAnsi="Times New Roman"/>
                <w:color w:val="262626"/>
                <w:sz w:val="18"/>
              </w:rPr>
              <w:t>31.808</w:t>
            </w:r>
          </w:p>
        </w:tc>
      </w:tr>
      <w:tr w:rsidR="00F67131" w14:paraId="1A104CB9" w14:textId="77777777">
        <w:trPr>
          <w:jc w:val="center"/>
          <w:cantSplit/>
        </w:trPr>
        <w:tc>
          <w:tcPr>
            <w:tcW w:w="3456" w:type="dxa"/>
            <w:tcMar>
              <w:top w:w="70" w:type="dxa"/>
              <w:left w:w="100" w:type="dxa"/>
              <w:bottom w:w="70" w:type="dxa"/>
              <w:right w:w="100" w:type="dxa"/>
            </w:tcMar>
          </w:tcPr>
          <w:p w14:paraId="7121DEC5" w14:textId="77777777" w:rsidR="00F67131" w:rsidRDefault="00000000">
            <w:pPr>
              <w:spacing w:before="40" w:after="40" w:line="240" w:lineRule="auto"/>
              <w:jc w:val="both"/>
            </w:pPr>
            <w:r>
              <w:rPr>
                <w:rFonts w:ascii="Times New Roman" w:hAnsi="Times New Roman"/>
                <w:color w:val="262626"/>
                <w:sz w:val="18"/>
              </w:rPr>
              <w:t>Agribank: Credit Cost (CPDP / Dư nợ BQ)</w:t>
            </w:r>
          </w:p>
        </w:tc>
        <w:tc>
          <w:tcPr>
            <w:tcW w:w="1008" w:type="dxa"/>
            <w:tcMar>
              <w:top w:w="70" w:type="dxa"/>
              <w:left w:w="100" w:type="dxa"/>
              <w:bottom w:w="70" w:type="dxa"/>
              <w:right w:w="100" w:type="dxa"/>
            </w:tcMar>
          </w:tcPr>
          <w:p w14:paraId="3B6C0D59" w14:textId="77777777" w:rsidR="00F67131" w:rsidRDefault="00000000">
            <w:pPr>
              <w:spacing w:before="40" w:after="40" w:line="240" w:lineRule="auto"/>
              <w:jc w:val="both"/>
            </w:pPr>
            <w:r>
              <w:rPr>
                <w:rFonts w:ascii="Times New Roman" w:hAnsi="Times New Roman"/>
                <w:color w:val="262626"/>
                <w:sz w:val="18"/>
              </w:rPr>
              <w:t>1,60%</w:t>
            </w:r>
          </w:p>
        </w:tc>
        <w:tc>
          <w:tcPr>
            <w:tcW w:w="1008" w:type="dxa"/>
            <w:tcMar>
              <w:top w:w="70" w:type="dxa"/>
              <w:left w:w="100" w:type="dxa"/>
              <w:bottom w:w="70" w:type="dxa"/>
              <w:right w:w="100" w:type="dxa"/>
            </w:tcMar>
          </w:tcPr>
          <w:p w14:paraId="3B48EAD2" w14:textId="77777777" w:rsidR="00F67131" w:rsidRDefault="00000000">
            <w:pPr>
              <w:spacing w:before="40" w:after="40" w:line="240" w:lineRule="auto"/>
              <w:jc w:val="both"/>
            </w:pPr>
            <w:r>
              <w:rPr>
                <w:rFonts w:ascii="Times New Roman" w:hAnsi="Times New Roman"/>
                <w:color w:val="262626"/>
                <w:sz w:val="18"/>
              </w:rPr>
              <w:t>1,74%</w:t>
            </w:r>
          </w:p>
        </w:tc>
        <w:tc>
          <w:tcPr>
            <w:tcW w:w="1008" w:type="dxa"/>
            <w:tcMar>
              <w:top w:w="70" w:type="dxa"/>
              <w:left w:w="100" w:type="dxa"/>
              <w:bottom w:w="70" w:type="dxa"/>
              <w:right w:w="100" w:type="dxa"/>
            </w:tcMar>
          </w:tcPr>
          <w:p w14:paraId="77654BCF" w14:textId="77777777" w:rsidR="00F67131" w:rsidRDefault="00000000">
            <w:pPr>
              <w:spacing w:before="40" w:after="40" w:line="240" w:lineRule="auto"/>
              <w:jc w:val="both"/>
            </w:pPr>
            <w:r>
              <w:rPr>
                <w:rFonts w:ascii="Times New Roman" w:hAnsi="Times New Roman"/>
                <w:color w:val="262626"/>
                <w:sz w:val="18"/>
              </w:rPr>
              <w:t>1,97%</w:t>
            </w:r>
          </w:p>
        </w:tc>
        <w:tc>
          <w:tcPr>
            <w:tcW w:w="1008" w:type="dxa"/>
            <w:tcMar>
              <w:top w:w="70" w:type="dxa"/>
              <w:left w:w="100" w:type="dxa"/>
              <w:bottom w:w="70" w:type="dxa"/>
              <w:right w:w="100" w:type="dxa"/>
            </w:tcMar>
          </w:tcPr>
          <w:p w14:paraId="041A3605" w14:textId="77777777" w:rsidR="00F67131" w:rsidRDefault="00000000">
            <w:pPr>
              <w:spacing w:before="40" w:after="40" w:line="240" w:lineRule="auto"/>
              <w:jc w:val="both"/>
            </w:pPr>
            <w:r>
              <w:rPr>
                <w:rFonts w:ascii="Times New Roman" w:hAnsi="Times New Roman"/>
                <w:color w:val="262626"/>
                <w:sz w:val="18"/>
              </w:rPr>
              <w:t>1,29%</w:t>
            </w:r>
          </w:p>
        </w:tc>
        <w:tc>
          <w:tcPr>
            <w:tcW w:w="1008" w:type="dxa"/>
            <w:tcMar>
              <w:top w:w="70" w:type="dxa"/>
              <w:left w:w="100" w:type="dxa"/>
              <w:bottom w:w="70" w:type="dxa"/>
              <w:right w:w="100" w:type="dxa"/>
            </w:tcMar>
          </w:tcPr>
          <w:p w14:paraId="7C970DFE" w14:textId="77777777" w:rsidR="00F67131" w:rsidRDefault="00000000">
            <w:pPr>
              <w:spacing w:before="40" w:after="40" w:line="240" w:lineRule="auto"/>
              <w:jc w:val="both"/>
            </w:pPr>
            <w:r>
              <w:rPr>
                <w:rFonts w:ascii="Times New Roman" w:hAnsi="Times New Roman"/>
                <w:color w:val="262626"/>
                <w:sz w:val="18"/>
              </w:rPr>
              <w:t>1,63%</w:t>
            </w:r>
          </w:p>
        </w:tc>
        <w:tc>
          <w:tcPr>
            <w:tcW w:w="1008" w:type="dxa"/>
            <w:tcMar>
              <w:top w:w="70" w:type="dxa"/>
              <w:left w:w="100" w:type="dxa"/>
              <w:bottom w:w="70" w:type="dxa"/>
              <w:right w:w="100" w:type="dxa"/>
            </w:tcMar>
          </w:tcPr>
          <w:p w14:paraId="4A00C19C" w14:textId="77777777" w:rsidR="00F67131" w:rsidRDefault="00000000">
            <w:pPr>
              <w:spacing w:before="40" w:after="40" w:line="240" w:lineRule="auto"/>
              <w:jc w:val="both"/>
            </w:pPr>
            <w:r>
              <w:rPr>
                <w:rFonts w:ascii="Times New Roman" w:hAnsi="Times New Roman"/>
                <w:color w:val="262626"/>
                <w:sz w:val="18"/>
              </w:rPr>
              <w:t>1,72%</w:t>
            </w:r>
          </w:p>
        </w:tc>
      </w:tr>
      <w:tr w:rsidR="00F67131" w14:paraId="79DE1591" w14:textId="77777777">
        <w:trPr>
          <w:jc w:val="center"/>
          <w:cantSplit/>
        </w:trPr>
        <w:tc>
          <w:tcPr>
            <w:tcW w:w="3456" w:type="dxa"/>
            <w:tcMar>
              <w:top w:w="70" w:type="dxa"/>
              <w:left w:w="100" w:type="dxa"/>
              <w:bottom w:w="70" w:type="dxa"/>
              <w:right w:w="100" w:type="dxa"/>
            </w:tcMar>
          </w:tcPr>
          <w:p w14:paraId="7E5C20E2" w14:textId="77777777" w:rsidR="00F67131" w:rsidRDefault="00000000">
            <w:pPr>
              <w:spacing w:before="40" w:after="40" w:line="240" w:lineRule="auto"/>
              <w:jc w:val="both"/>
            </w:pPr>
            <w:r>
              <w:rPr>
                <w:rFonts w:ascii="Times New Roman" w:hAnsi="Times New Roman"/>
                <w:color w:val="262626"/>
                <w:sz w:val="18"/>
              </w:rPr>
              <w:t>Agribank: Nợ xóa bằng quỹ DP trong năm (TM 10/11)</w:t>
            </w:r>
          </w:p>
        </w:tc>
        <w:tc>
          <w:tcPr>
            <w:tcW w:w="1008" w:type="dxa"/>
            <w:tcMar>
              <w:top w:w="70" w:type="dxa"/>
              <w:left w:w="100" w:type="dxa"/>
              <w:bottom w:w="70" w:type="dxa"/>
              <w:right w:w="100" w:type="dxa"/>
            </w:tcMar>
          </w:tcPr>
          <w:p w14:paraId="2F66697A" w14:textId="77777777" w:rsidR="00F67131" w:rsidRDefault="00000000">
            <w:pPr>
              <w:spacing w:before="40" w:after="40" w:line="240" w:lineRule="auto"/>
              <w:jc w:val="both"/>
            </w:pPr>
            <w:r>
              <w:rPr>
                <w:rFonts w:ascii="Times New Roman" w:hAnsi="Times New Roman"/>
                <w:color w:val="262626"/>
                <w:sz w:val="18"/>
              </w:rPr>
              <w:t>14.126</w:t>
            </w:r>
          </w:p>
        </w:tc>
        <w:tc>
          <w:tcPr>
            <w:tcW w:w="1008" w:type="dxa"/>
            <w:tcMar>
              <w:top w:w="70" w:type="dxa"/>
              <w:left w:w="100" w:type="dxa"/>
              <w:bottom w:w="70" w:type="dxa"/>
              <w:right w:w="100" w:type="dxa"/>
            </w:tcMar>
          </w:tcPr>
          <w:p w14:paraId="06E92C0A" w14:textId="77777777" w:rsidR="00F67131" w:rsidRDefault="00000000">
            <w:pPr>
              <w:spacing w:before="40" w:after="40" w:line="240" w:lineRule="auto"/>
              <w:jc w:val="both"/>
            </w:pPr>
            <w:r>
              <w:rPr>
                <w:rFonts w:ascii="Times New Roman" w:hAnsi="Times New Roman"/>
                <w:color w:val="262626"/>
                <w:sz w:val="18"/>
              </w:rPr>
              <w:t>11.922</w:t>
            </w:r>
          </w:p>
        </w:tc>
        <w:tc>
          <w:tcPr>
            <w:tcW w:w="1008" w:type="dxa"/>
            <w:tcMar>
              <w:top w:w="70" w:type="dxa"/>
              <w:left w:w="100" w:type="dxa"/>
              <w:bottom w:w="70" w:type="dxa"/>
              <w:right w:w="100" w:type="dxa"/>
            </w:tcMar>
          </w:tcPr>
          <w:p w14:paraId="3A4B3062" w14:textId="77777777" w:rsidR="00F67131" w:rsidRDefault="00000000">
            <w:pPr>
              <w:spacing w:before="40" w:after="40" w:line="240" w:lineRule="auto"/>
              <w:jc w:val="both"/>
            </w:pPr>
            <w:r>
              <w:rPr>
                <w:rFonts w:ascii="Times New Roman" w:hAnsi="Times New Roman"/>
                <w:color w:val="262626"/>
                <w:sz w:val="18"/>
              </w:rPr>
              <w:t>24.548</w:t>
            </w:r>
          </w:p>
        </w:tc>
        <w:tc>
          <w:tcPr>
            <w:tcW w:w="1008" w:type="dxa"/>
            <w:tcMar>
              <w:top w:w="70" w:type="dxa"/>
              <w:left w:w="100" w:type="dxa"/>
              <w:bottom w:w="70" w:type="dxa"/>
              <w:right w:w="100" w:type="dxa"/>
            </w:tcMar>
          </w:tcPr>
          <w:p w14:paraId="718BF4A4" w14:textId="77777777" w:rsidR="00F67131" w:rsidRDefault="00000000">
            <w:pPr>
              <w:spacing w:before="40" w:after="40" w:line="240" w:lineRule="auto"/>
              <w:jc w:val="both"/>
            </w:pPr>
            <w:r>
              <w:rPr>
                <w:rFonts w:ascii="Times New Roman" w:hAnsi="Times New Roman"/>
                <w:color w:val="262626"/>
                <w:sz w:val="18"/>
              </w:rPr>
              <w:t>18.170</w:t>
            </w:r>
          </w:p>
        </w:tc>
        <w:tc>
          <w:tcPr>
            <w:tcW w:w="1008" w:type="dxa"/>
            <w:tcMar>
              <w:top w:w="70" w:type="dxa"/>
              <w:left w:w="100" w:type="dxa"/>
              <w:bottom w:w="70" w:type="dxa"/>
              <w:right w:w="100" w:type="dxa"/>
            </w:tcMar>
          </w:tcPr>
          <w:p w14:paraId="21353E00" w14:textId="77777777" w:rsidR="00F67131" w:rsidRDefault="00000000">
            <w:pPr>
              <w:spacing w:before="40" w:after="40" w:line="240" w:lineRule="auto"/>
              <w:jc w:val="both"/>
            </w:pPr>
            <w:r>
              <w:rPr>
                <w:rFonts w:ascii="Times New Roman" w:hAnsi="Times New Roman"/>
                <w:color w:val="262626"/>
                <w:sz w:val="18"/>
              </w:rPr>
              <w:t>26.444</w:t>
            </w:r>
          </w:p>
        </w:tc>
        <w:tc>
          <w:tcPr>
            <w:tcW w:w="1008" w:type="dxa"/>
            <w:tcMar>
              <w:top w:w="70" w:type="dxa"/>
              <w:left w:w="100" w:type="dxa"/>
              <w:bottom w:w="70" w:type="dxa"/>
              <w:right w:w="100" w:type="dxa"/>
            </w:tcMar>
          </w:tcPr>
          <w:p w14:paraId="12985ABF" w14:textId="77777777" w:rsidR="00F67131" w:rsidRDefault="00000000">
            <w:pPr>
              <w:spacing w:before="40" w:after="40" w:line="240" w:lineRule="auto"/>
              <w:jc w:val="both"/>
            </w:pPr>
            <w:r>
              <w:rPr>
                <w:rFonts w:ascii="Times New Roman" w:hAnsi="Times New Roman"/>
                <w:color w:val="262626"/>
                <w:sz w:val="18"/>
              </w:rPr>
              <w:t>32.621</w:t>
            </w:r>
          </w:p>
        </w:tc>
      </w:tr>
      <w:tr w:rsidR="00F67131" w14:paraId="0E9C387C" w14:textId="77777777">
        <w:trPr>
          <w:jc w:val="center"/>
          <w:cantSplit/>
        </w:trPr>
        <w:tc>
          <w:tcPr>
            <w:tcW w:w="3456" w:type="dxa"/>
            <w:tcMar>
              <w:top w:w="70" w:type="dxa"/>
              <w:left w:w="100" w:type="dxa"/>
              <w:bottom w:w="70" w:type="dxa"/>
              <w:right w:w="100" w:type="dxa"/>
            </w:tcMar>
          </w:tcPr>
          <w:p w14:paraId="57EE671E" w14:textId="77777777" w:rsidR="00F67131" w:rsidRDefault="00000000">
            <w:pPr>
              <w:spacing w:before="40" w:after="40" w:line="240" w:lineRule="auto"/>
              <w:jc w:val="both"/>
            </w:pPr>
            <w:r>
              <w:rPr>
                <w:rFonts w:ascii="Times New Roman" w:hAnsi="Times New Roman"/>
                <w:color w:val="262626"/>
                <w:sz w:val="18"/>
              </w:rPr>
              <w:t>Agribank: Thu từ nợ đã XLRR (TM 29/30 BCTC)</w:t>
            </w:r>
          </w:p>
        </w:tc>
        <w:tc>
          <w:tcPr>
            <w:tcW w:w="1008" w:type="dxa"/>
            <w:tcMar>
              <w:top w:w="70" w:type="dxa"/>
              <w:left w:w="100" w:type="dxa"/>
              <w:bottom w:w="70" w:type="dxa"/>
              <w:right w:w="100" w:type="dxa"/>
            </w:tcMar>
          </w:tcPr>
          <w:p w14:paraId="6FF6C515" w14:textId="77777777" w:rsidR="00F67131" w:rsidRDefault="00000000">
            <w:pPr>
              <w:spacing w:before="40" w:after="40" w:line="240" w:lineRule="auto"/>
              <w:jc w:val="both"/>
            </w:pPr>
            <w:r>
              <w:rPr>
                <w:rFonts w:ascii="Times New Roman" w:hAnsi="Times New Roman"/>
                <w:color w:val="262626"/>
                <w:sz w:val="18"/>
              </w:rPr>
              <w:t>8.673</w:t>
            </w:r>
          </w:p>
        </w:tc>
        <w:tc>
          <w:tcPr>
            <w:tcW w:w="1008" w:type="dxa"/>
            <w:tcMar>
              <w:top w:w="70" w:type="dxa"/>
              <w:left w:w="100" w:type="dxa"/>
              <w:bottom w:w="70" w:type="dxa"/>
              <w:right w:w="100" w:type="dxa"/>
            </w:tcMar>
          </w:tcPr>
          <w:p w14:paraId="68F3B901" w14:textId="77777777" w:rsidR="00F67131" w:rsidRDefault="00000000">
            <w:pPr>
              <w:spacing w:before="40" w:after="40" w:line="240" w:lineRule="auto"/>
              <w:jc w:val="both"/>
            </w:pPr>
            <w:r>
              <w:rPr>
                <w:rFonts w:ascii="Times New Roman" w:hAnsi="Times New Roman"/>
                <w:color w:val="262626"/>
                <w:sz w:val="18"/>
              </w:rPr>
              <w:t>8.810</w:t>
            </w:r>
          </w:p>
        </w:tc>
        <w:tc>
          <w:tcPr>
            <w:tcW w:w="1008" w:type="dxa"/>
            <w:tcMar>
              <w:top w:w="70" w:type="dxa"/>
              <w:left w:w="100" w:type="dxa"/>
              <w:bottom w:w="70" w:type="dxa"/>
              <w:right w:w="100" w:type="dxa"/>
            </w:tcMar>
          </w:tcPr>
          <w:p w14:paraId="690D374C" w14:textId="77777777" w:rsidR="00F67131" w:rsidRDefault="00000000">
            <w:pPr>
              <w:spacing w:before="40" w:after="40" w:line="240" w:lineRule="auto"/>
              <w:jc w:val="both"/>
            </w:pPr>
            <w:r>
              <w:rPr>
                <w:rFonts w:ascii="Times New Roman" w:hAnsi="Times New Roman"/>
                <w:color w:val="262626"/>
                <w:sz w:val="18"/>
              </w:rPr>
              <w:t>10.267</w:t>
            </w:r>
          </w:p>
        </w:tc>
        <w:tc>
          <w:tcPr>
            <w:tcW w:w="1008" w:type="dxa"/>
            <w:tcMar>
              <w:top w:w="70" w:type="dxa"/>
              <w:left w:w="100" w:type="dxa"/>
              <w:bottom w:w="70" w:type="dxa"/>
              <w:right w:w="100" w:type="dxa"/>
            </w:tcMar>
          </w:tcPr>
          <w:p w14:paraId="3B0F59F1" w14:textId="77777777" w:rsidR="00F67131" w:rsidRDefault="00000000">
            <w:pPr>
              <w:spacing w:before="40" w:after="40" w:line="240" w:lineRule="auto"/>
              <w:jc w:val="both"/>
            </w:pPr>
            <w:r>
              <w:rPr>
                <w:rFonts w:ascii="Times New Roman" w:hAnsi="Times New Roman"/>
                <w:color w:val="262626"/>
                <w:sz w:val="18"/>
              </w:rPr>
              <w:t>11.167</w:t>
            </w:r>
          </w:p>
        </w:tc>
        <w:tc>
          <w:tcPr>
            <w:tcW w:w="1008" w:type="dxa"/>
            <w:tcMar>
              <w:top w:w="70" w:type="dxa"/>
              <w:left w:w="100" w:type="dxa"/>
              <w:bottom w:w="70" w:type="dxa"/>
              <w:right w:w="100" w:type="dxa"/>
            </w:tcMar>
          </w:tcPr>
          <w:p w14:paraId="56FA4BA4" w14:textId="77777777" w:rsidR="00F67131" w:rsidRDefault="00000000">
            <w:pPr>
              <w:spacing w:before="40" w:after="40" w:line="240" w:lineRule="auto"/>
              <w:jc w:val="both"/>
            </w:pPr>
            <w:r>
              <w:rPr>
                <w:rFonts w:ascii="Times New Roman" w:hAnsi="Times New Roman"/>
                <w:color w:val="262626"/>
                <w:sz w:val="18"/>
              </w:rPr>
              <w:t>8.413</w:t>
            </w:r>
          </w:p>
        </w:tc>
        <w:tc>
          <w:tcPr>
            <w:tcW w:w="1008" w:type="dxa"/>
            <w:tcMar>
              <w:top w:w="70" w:type="dxa"/>
              <w:left w:w="100" w:type="dxa"/>
              <w:bottom w:w="70" w:type="dxa"/>
              <w:right w:w="100" w:type="dxa"/>
            </w:tcMar>
          </w:tcPr>
          <w:p w14:paraId="5B34AB4B" w14:textId="77777777" w:rsidR="00F67131" w:rsidRDefault="00000000">
            <w:pPr>
              <w:spacing w:before="40" w:after="40" w:line="240" w:lineRule="auto"/>
              <w:jc w:val="both"/>
            </w:pPr>
            <w:r>
              <w:rPr>
                <w:rFonts w:ascii="Times New Roman" w:hAnsi="Times New Roman"/>
                <w:color w:val="262626"/>
                <w:sz w:val="18"/>
              </w:rPr>
              <w:t>12.123</w:t>
            </w:r>
          </w:p>
        </w:tc>
      </w:tr>
      <w:tr w:rsidR="00F67131" w14:paraId="6F2E1D4A" w14:textId="77777777">
        <w:trPr>
          <w:jc w:val="center"/>
          <w:cantSplit/>
        </w:trPr>
        <w:tc>
          <w:tcPr>
            <w:tcW w:w="3456" w:type="dxa"/>
            <w:tcMar>
              <w:top w:w="70" w:type="dxa"/>
              <w:left w:w="100" w:type="dxa"/>
              <w:bottom w:w="70" w:type="dxa"/>
              <w:right w:w="100" w:type="dxa"/>
            </w:tcMar>
          </w:tcPr>
          <w:p w14:paraId="1A2FB787" w14:textId="77777777" w:rsidR="00F67131" w:rsidRDefault="00000000">
            <w:pPr>
              <w:spacing w:before="40" w:after="40" w:line="240" w:lineRule="auto"/>
              <w:jc w:val="both"/>
            </w:pPr>
            <w:r>
              <w:rPr>
                <w:rFonts w:ascii="Times New Roman" w:hAnsi="Times New Roman"/>
                <w:b/>
                <w:color w:val="262626"/>
                <w:sz w:val="18"/>
              </w:rPr>
              <w:t>MB: Tỷ lệ bao phủ nợ xấu Hợp nhất (LLCR)</w:t>
            </w:r>
          </w:p>
        </w:tc>
        <w:tc>
          <w:tcPr>
            <w:tcW w:w="1008" w:type="dxa"/>
            <w:tcMar>
              <w:top w:w="70" w:type="dxa"/>
              <w:left w:w="100" w:type="dxa"/>
              <w:bottom w:w="70" w:type="dxa"/>
              <w:right w:w="100" w:type="dxa"/>
            </w:tcMar>
          </w:tcPr>
          <w:p w14:paraId="33A07EA6" w14:textId="77777777" w:rsidR="00F67131" w:rsidRDefault="00000000">
            <w:pPr>
              <w:spacing w:before="40" w:after="40" w:line="240" w:lineRule="auto"/>
              <w:jc w:val="both"/>
            </w:pPr>
            <w:r>
              <w:rPr>
                <w:rFonts w:ascii="Times New Roman" w:hAnsi="Times New Roman"/>
                <w:color w:val="262626"/>
                <w:sz w:val="18"/>
              </w:rPr>
              <w:t>134,1%</w:t>
            </w:r>
          </w:p>
        </w:tc>
        <w:tc>
          <w:tcPr>
            <w:tcW w:w="1008" w:type="dxa"/>
            <w:tcMar>
              <w:top w:w="70" w:type="dxa"/>
              <w:left w:w="100" w:type="dxa"/>
              <w:bottom w:w="70" w:type="dxa"/>
              <w:right w:w="100" w:type="dxa"/>
            </w:tcMar>
          </w:tcPr>
          <w:p w14:paraId="2F278085" w14:textId="77777777" w:rsidR="00F67131" w:rsidRDefault="00000000">
            <w:pPr>
              <w:spacing w:before="40" w:after="40" w:line="240" w:lineRule="auto"/>
              <w:jc w:val="both"/>
            </w:pPr>
            <w:r>
              <w:rPr>
                <w:rFonts w:ascii="Times New Roman" w:hAnsi="Times New Roman"/>
                <w:color w:val="262626"/>
                <w:sz w:val="18"/>
              </w:rPr>
              <w:t>268,0%</w:t>
            </w:r>
          </w:p>
        </w:tc>
        <w:tc>
          <w:tcPr>
            <w:tcW w:w="1008" w:type="dxa"/>
            <w:tcMar>
              <w:top w:w="70" w:type="dxa"/>
              <w:left w:w="100" w:type="dxa"/>
              <w:bottom w:w="70" w:type="dxa"/>
              <w:right w:w="100" w:type="dxa"/>
            </w:tcMar>
          </w:tcPr>
          <w:p w14:paraId="197A3C78" w14:textId="77777777" w:rsidR="00F67131" w:rsidRDefault="00000000">
            <w:pPr>
              <w:spacing w:before="40" w:after="40" w:line="240" w:lineRule="auto"/>
              <w:jc w:val="both"/>
            </w:pPr>
            <w:r>
              <w:rPr>
                <w:rFonts w:ascii="Times New Roman" w:hAnsi="Times New Roman"/>
                <w:color w:val="262626"/>
                <w:sz w:val="18"/>
              </w:rPr>
              <w:t>238,0%</w:t>
            </w:r>
          </w:p>
        </w:tc>
        <w:tc>
          <w:tcPr>
            <w:tcW w:w="1008" w:type="dxa"/>
            <w:tcMar>
              <w:top w:w="70" w:type="dxa"/>
              <w:left w:w="100" w:type="dxa"/>
              <w:bottom w:w="70" w:type="dxa"/>
              <w:right w:w="100" w:type="dxa"/>
            </w:tcMar>
          </w:tcPr>
          <w:p w14:paraId="016E8C62" w14:textId="77777777" w:rsidR="00F67131" w:rsidRDefault="00000000">
            <w:pPr>
              <w:spacing w:before="40" w:after="40" w:line="240" w:lineRule="auto"/>
              <w:jc w:val="both"/>
            </w:pPr>
            <w:r>
              <w:rPr>
                <w:rFonts w:ascii="Times New Roman" w:hAnsi="Times New Roman"/>
                <w:color w:val="262626"/>
                <w:sz w:val="18"/>
              </w:rPr>
              <w:t>117,0%</w:t>
            </w:r>
          </w:p>
        </w:tc>
        <w:tc>
          <w:tcPr>
            <w:tcW w:w="1008" w:type="dxa"/>
            <w:tcMar>
              <w:top w:w="70" w:type="dxa"/>
              <w:left w:w="100" w:type="dxa"/>
              <w:bottom w:w="70" w:type="dxa"/>
              <w:right w:w="100" w:type="dxa"/>
            </w:tcMar>
          </w:tcPr>
          <w:p w14:paraId="090C3557" w14:textId="77777777" w:rsidR="00F67131" w:rsidRDefault="00000000">
            <w:pPr>
              <w:spacing w:before="40" w:after="40" w:line="240" w:lineRule="auto"/>
              <w:jc w:val="both"/>
            </w:pPr>
            <w:r>
              <w:rPr>
                <w:rFonts w:ascii="Times New Roman" w:hAnsi="Times New Roman"/>
                <w:color w:val="262626"/>
                <w:sz w:val="18"/>
              </w:rPr>
              <w:t>92,2%</w:t>
            </w:r>
          </w:p>
        </w:tc>
        <w:tc>
          <w:tcPr>
            <w:tcW w:w="1008" w:type="dxa"/>
            <w:tcMar>
              <w:top w:w="70" w:type="dxa"/>
              <w:left w:w="100" w:type="dxa"/>
              <w:bottom w:w="70" w:type="dxa"/>
              <w:right w:w="100" w:type="dxa"/>
            </w:tcMar>
          </w:tcPr>
          <w:p w14:paraId="346704C1" w14:textId="77777777" w:rsidR="00F67131" w:rsidRDefault="00000000">
            <w:pPr>
              <w:spacing w:before="40" w:after="40" w:line="240" w:lineRule="auto"/>
              <w:jc w:val="both"/>
            </w:pPr>
            <w:r>
              <w:rPr>
                <w:rFonts w:ascii="Times New Roman" w:hAnsi="Times New Roman"/>
                <w:color w:val="262626"/>
                <w:sz w:val="18"/>
              </w:rPr>
              <w:t>93,7%</w:t>
            </w:r>
          </w:p>
        </w:tc>
      </w:tr>
      <w:tr w:rsidR="00F67131" w14:paraId="70D5CC05" w14:textId="77777777">
        <w:trPr>
          <w:jc w:val="center"/>
          <w:cantSplit/>
        </w:trPr>
        <w:tc>
          <w:tcPr>
            <w:tcW w:w="3456" w:type="dxa"/>
            <w:tcMar>
              <w:top w:w="70" w:type="dxa"/>
              <w:left w:w="100" w:type="dxa"/>
              <w:bottom w:w="70" w:type="dxa"/>
              <w:right w:w="100" w:type="dxa"/>
            </w:tcMar>
          </w:tcPr>
          <w:p w14:paraId="572698C7" w14:textId="77777777" w:rsidR="00F67131" w:rsidRDefault="00000000">
            <w:pPr>
              <w:spacing w:before="40" w:after="40" w:line="240" w:lineRule="auto"/>
              <w:jc w:val="both"/>
            </w:pPr>
            <w:r>
              <w:rPr>
                <w:rFonts w:ascii="Times New Roman" w:hAnsi="Times New Roman"/>
                <w:color w:val="262626"/>
                <w:sz w:val="18"/>
              </w:rPr>
              <w:t>MB: Chi phí dự phòng RRTD Hợp nhất (tỷ)</w:t>
            </w:r>
          </w:p>
        </w:tc>
        <w:tc>
          <w:tcPr>
            <w:tcW w:w="1008" w:type="dxa"/>
            <w:tcMar>
              <w:top w:w="70" w:type="dxa"/>
              <w:left w:w="100" w:type="dxa"/>
              <w:bottom w:w="70" w:type="dxa"/>
              <w:right w:w="100" w:type="dxa"/>
            </w:tcMar>
          </w:tcPr>
          <w:p w14:paraId="7EBFFA4F" w14:textId="77777777" w:rsidR="00F67131" w:rsidRDefault="00000000">
            <w:pPr>
              <w:spacing w:before="40" w:after="40" w:line="240" w:lineRule="auto"/>
              <w:jc w:val="both"/>
            </w:pPr>
            <w:r>
              <w:rPr>
                <w:rFonts w:ascii="Times New Roman" w:hAnsi="Times New Roman"/>
                <w:color w:val="262626"/>
                <w:sz w:val="18"/>
              </w:rPr>
              <w:t>6.118</w:t>
            </w:r>
          </w:p>
        </w:tc>
        <w:tc>
          <w:tcPr>
            <w:tcW w:w="1008" w:type="dxa"/>
            <w:tcMar>
              <w:top w:w="70" w:type="dxa"/>
              <w:left w:w="100" w:type="dxa"/>
              <w:bottom w:w="70" w:type="dxa"/>
              <w:right w:w="100" w:type="dxa"/>
            </w:tcMar>
          </w:tcPr>
          <w:p w14:paraId="25F297BF" w14:textId="77777777" w:rsidR="00F67131" w:rsidRDefault="00000000">
            <w:pPr>
              <w:spacing w:before="40" w:after="40" w:line="240" w:lineRule="auto"/>
              <w:jc w:val="both"/>
            </w:pPr>
            <w:r>
              <w:rPr>
                <w:rFonts w:ascii="Times New Roman" w:hAnsi="Times New Roman"/>
                <w:color w:val="262626"/>
                <w:sz w:val="18"/>
              </w:rPr>
              <w:t>8.030</w:t>
            </w:r>
          </w:p>
        </w:tc>
        <w:tc>
          <w:tcPr>
            <w:tcW w:w="1008" w:type="dxa"/>
            <w:tcMar>
              <w:top w:w="70" w:type="dxa"/>
              <w:left w:w="100" w:type="dxa"/>
              <w:bottom w:w="70" w:type="dxa"/>
              <w:right w:w="100" w:type="dxa"/>
            </w:tcMar>
          </w:tcPr>
          <w:p w14:paraId="66B4355A" w14:textId="77777777" w:rsidR="00F67131" w:rsidRDefault="00000000">
            <w:pPr>
              <w:spacing w:before="40" w:after="40" w:line="240" w:lineRule="auto"/>
              <w:jc w:val="both"/>
            </w:pPr>
            <w:r>
              <w:rPr>
                <w:rFonts w:ascii="Times New Roman" w:hAnsi="Times New Roman"/>
                <w:color w:val="262626"/>
                <w:sz w:val="18"/>
              </w:rPr>
              <w:t>8.048</w:t>
            </w:r>
          </w:p>
        </w:tc>
        <w:tc>
          <w:tcPr>
            <w:tcW w:w="1008" w:type="dxa"/>
            <w:tcMar>
              <w:top w:w="70" w:type="dxa"/>
              <w:left w:w="100" w:type="dxa"/>
              <w:bottom w:w="70" w:type="dxa"/>
              <w:right w:w="100" w:type="dxa"/>
            </w:tcMar>
          </w:tcPr>
          <w:p w14:paraId="2A6FBC07" w14:textId="77777777" w:rsidR="00F67131" w:rsidRDefault="00000000">
            <w:pPr>
              <w:spacing w:before="40" w:after="40" w:line="240" w:lineRule="auto"/>
              <w:jc w:val="both"/>
            </w:pPr>
            <w:r>
              <w:rPr>
                <w:rFonts w:ascii="Times New Roman" w:hAnsi="Times New Roman"/>
                <w:color w:val="262626"/>
                <w:sz w:val="18"/>
              </w:rPr>
              <w:t>6.087</w:t>
            </w:r>
          </w:p>
        </w:tc>
        <w:tc>
          <w:tcPr>
            <w:tcW w:w="1008" w:type="dxa"/>
            <w:tcMar>
              <w:top w:w="70" w:type="dxa"/>
              <w:left w:w="100" w:type="dxa"/>
              <w:bottom w:w="70" w:type="dxa"/>
              <w:right w:w="100" w:type="dxa"/>
            </w:tcMar>
          </w:tcPr>
          <w:p w14:paraId="1B8D1576" w14:textId="77777777" w:rsidR="00F67131" w:rsidRDefault="00000000">
            <w:pPr>
              <w:spacing w:before="40" w:after="40" w:line="240" w:lineRule="auto"/>
              <w:jc w:val="both"/>
            </w:pPr>
            <w:r>
              <w:rPr>
                <w:rFonts w:ascii="Times New Roman" w:hAnsi="Times New Roman"/>
                <w:color w:val="262626"/>
                <w:sz w:val="18"/>
              </w:rPr>
              <w:t>9.577</w:t>
            </w:r>
          </w:p>
        </w:tc>
        <w:tc>
          <w:tcPr>
            <w:tcW w:w="1008" w:type="dxa"/>
            <w:tcMar>
              <w:top w:w="70" w:type="dxa"/>
              <w:left w:w="100" w:type="dxa"/>
              <w:bottom w:w="70" w:type="dxa"/>
              <w:right w:w="100" w:type="dxa"/>
            </w:tcMar>
          </w:tcPr>
          <w:p w14:paraId="0E7D1D32" w14:textId="77777777" w:rsidR="00F67131" w:rsidRDefault="00000000">
            <w:pPr>
              <w:spacing w:before="40" w:after="40" w:line="240" w:lineRule="auto"/>
              <w:jc w:val="both"/>
            </w:pPr>
            <w:r>
              <w:rPr>
                <w:rFonts w:ascii="Times New Roman" w:hAnsi="Times New Roman"/>
                <w:color w:val="262626"/>
                <w:sz w:val="18"/>
              </w:rPr>
              <w:t>13.744</w:t>
            </w:r>
          </w:p>
        </w:tc>
      </w:tr>
      <w:tr w:rsidR="00F67131" w14:paraId="035026D8" w14:textId="77777777">
        <w:trPr>
          <w:jc w:val="center"/>
          <w:cantSplit/>
        </w:trPr>
        <w:tc>
          <w:tcPr>
            <w:tcW w:w="3456" w:type="dxa"/>
            <w:tcMar>
              <w:top w:w="70" w:type="dxa"/>
              <w:left w:w="100" w:type="dxa"/>
              <w:bottom w:w="70" w:type="dxa"/>
              <w:right w:w="100" w:type="dxa"/>
            </w:tcMar>
          </w:tcPr>
          <w:p w14:paraId="5500D93F" w14:textId="77777777" w:rsidR="00F67131" w:rsidRDefault="00000000">
            <w:pPr>
              <w:spacing w:before="40" w:after="40" w:line="240" w:lineRule="auto"/>
              <w:jc w:val="both"/>
            </w:pPr>
            <w:r>
              <w:rPr>
                <w:rFonts w:ascii="Times New Roman" w:hAnsi="Times New Roman"/>
                <w:color w:val="262626"/>
                <w:sz w:val="18"/>
              </w:rPr>
              <w:t>MB: Credit Cost Hợp nhất (CPDP / Dư nợ BQ)</w:t>
            </w:r>
          </w:p>
        </w:tc>
        <w:tc>
          <w:tcPr>
            <w:tcW w:w="1008" w:type="dxa"/>
            <w:tcMar>
              <w:top w:w="70" w:type="dxa"/>
              <w:left w:w="100" w:type="dxa"/>
              <w:bottom w:w="70" w:type="dxa"/>
              <w:right w:w="100" w:type="dxa"/>
            </w:tcMar>
          </w:tcPr>
          <w:p w14:paraId="1C9B226D" w14:textId="77777777" w:rsidR="00F67131" w:rsidRDefault="00000000">
            <w:pPr>
              <w:spacing w:before="40" w:after="40" w:line="240" w:lineRule="auto"/>
              <w:jc w:val="both"/>
            </w:pPr>
            <w:r>
              <w:rPr>
                <w:rFonts w:ascii="Times New Roman" w:hAnsi="Times New Roman"/>
                <w:color w:val="262626"/>
                <w:sz w:val="18"/>
              </w:rPr>
              <w:t>2,23%</w:t>
            </w:r>
          </w:p>
        </w:tc>
        <w:tc>
          <w:tcPr>
            <w:tcW w:w="1008" w:type="dxa"/>
            <w:tcMar>
              <w:top w:w="70" w:type="dxa"/>
              <w:left w:w="100" w:type="dxa"/>
              <w:bottom w:w="70" w:type="dxa"/>
              <w:right w:w="100" w:type="dxa"/>
            </w:tcMar>
          </w:tcPr>
          <w:p w14:paraId="06846F97" w14:textId="77777777" w:rsidR="00F67131" w:rsidRDefault="00000000">
            <w:pPr>
              <w:spacing w:before="40" w:after="40" w:line="240" w:lineRule="auto"/>
              <w:jc w:val="both"/>
            </w:pPr>
            <w:r>
              <w:rPr>
                <w:rFonts w:ascii="Times New Roman" w:hAnsi="Times New Roman"/>
                <w:color w:val="262626"/>
                <w:sz w:val="18"/>
              </w:rPr>
              <w:t>2,43%</w:t>
            </w:r>
          </w:p>
        </w:tc>
        <w:tc>
          <w:tcPr>
            <w:tcW w:w="1008" w:type="dxa"/>
            <w:tcMar>
              <w:top w:w="70" w:type="dxa"/>
              <w:left w:w="100" w:type="dxa"/>
              <w:bottom w:w="70" w:type="dxa"/>
              <w:right w:w="100" w:type="dxa"/>
            </w:tcMar>
          </w:tcPr>
          <w:p w14:paraId="21B9ABFB" w14:textId="77777777" w:rsidR="00F67131" w:rsidRDefault="00000000">
            <w:pPr>
              <w:spacing w:before="40" w:after="40" w:line="240" w:lineRule="auto"/>
              <w:jc w:val="both"/>
            </w:pPr>
            <w:r>
              <w:rPr>
                <w:rFonts w:ascii="Times New Roman" w:hAnsi="Times New Roman"/>
                <w:color w:val="262626"/>
                <w:sz w:val="18"/>
              </w:rPr>
              <w:t>1,95%</w:t>
            </w:r>
          </w:p>
        </w:tc>
        <w:tc>
          <w:tcPr>
            <w:tcW w:w="1008" w:type="dxa"/>
            <w:tcMar>
              <w:top w:w="70" w:type="dxa"/>
              <w:left w:w="100" w:type="dxa"/>
              <w:bottom w:w="70" w:type="dxa"/>
              <w:right w:w="100" w:type="dxa"/>
            </w:tcMar>
          </w:tcPr>
          <w:p w14:paraId="6B077188" w14:textId="77777777" w:rsidR="00F67131" w:rsidRDefault="00000000">
            <w:pPr>
              <w:spacing w:before="40" w:after="40" w:line="240" w:lineRule="auto"/>
              <w:jc w:val="both"/>
            </w:pPr>
            <w:r>
              <w:rPr>
                <w:rFonts w:ascii="Times New Roman" w:hAnsi="Times New Roman"/>
                <w:color w:val="262626"/>
                <w:sz w:val="18"/>
              </w:rPr>
              <w:t>1,14%</w:t>
            </w:r>
          </w:p>
        </w:tc>
        <w:tc>
          <w:tcPr>
            <w:tcW w:w="1008" w:type="dxa"/>
            <w:tcMar>
              <w:top w:w="70" w:type="dxa"/>
              <w:left w:w="100" w:type="dxa"/>
              <w:bottom w:w="70" w:type="dxa"/>
              <w:right w:w="100" w:type="dxa"/>
            </w:tcMar>
          </w:tcPr>
          <w:p w14:paraId="179B54D6" w14:textId="77777777" w:rsidR="00F67131" w:rsidRDefault="00000000">
            <w:pPr>
              <w:spacing w:before="40" w:after="40" w:line="240" w:lineRule="auto"/>
              <w:jc w:val="both"/>
            </w:pPr>
            <w:r>
              <w:rPr>
                <w:rFonts w:ascii="Times New Roman" w:hAnsi="Times New Roman"/>
                <w:color w:val="262626"/>
                <w:sz w:val="18"/>
              </w:rPr>
              <w:t>1,38%</w:t>
            </w:r>
          </w:p>
        </w:tc>
        <w:tc>
          <w:tcPr>
            <w:tcW w:w="1008" w:type="dxa"/>
            <w:tcMar>
              <w:top w:w="70" w:type="dxa"/>
              <w:left w:w="100" w:type="dxa"/>
              <w:bottom w:w="70" w:type="dxa"/>
              <w:right w:w="100" w:type="dxa"/>
            </w:tcMar>
          </w:tcPr>
          <w:p w14:paraId="3D1254E8" w14:textId="77777777" w:rsidR="00F67131" w:rsidRDefault="00000000">
            <w:pPr>
              <w:spacing w:before="40" w:after="40" w:line="240" w:lineRule="auto"/>
              <w:jc w:val="both"/>
            </w:pPr>
            <w:r>
              <w:rPr>
                <w:rFonts w:ascii="Times New Roman" w:hAnsi="Times New Roman"/>
                <w:color w:val="262626"/>
                <w:sz w:val="18"/>
              </w:rPr>
              <w:t>1,48%</w:t>
            </w:r>
          </w:p>
        </w:tc>
      </w:tr>
      <w:tr w:rsidR="00F67131" w14:paraId="0F802B77" w14:textId="77777777">
        <w:trPr>
          <w:jc w:val="center"/>
          <w:cantSplit/>
        </w:trPr>
        <w:tc>
          <w:tcPr>
            <w:tcW w:w="3456" w:type="dxa"/>
            <w:tcMar>
              <w:top w:w="70" w:type="dxa"/>
              <w:left w:w="100" w:type="dxa"/>
              <w:bottom w:w="70" w:type="dxa"/>
              <w:right w:w="100" w:type="dxa"/>
            </w:tcMar>
          </w:tcPr>
          <w:p w14:paraId="34EEE8C9" w14:textId="77777777" w:rsidR="00F67131" w:rsidRDefault="00000000">
            <w:pPr>
              <w:spacing w:before="40" w:after="40" w:line="240" w:lineRule="auto"/>
              <w:jc w:val="both"/>
            </w:pPr>
            <w:r>
              <w:rPr>
                <w:rFonts w:ascii="Times New Roman" w:hAnsi="Times New Roman"/>
                <w:color w:val="262626"/>
                <w:sz w:val="18"/>
              </w:rPr>
              <w:t>MB: Nợ xóa bằng quỹ DP trong năm (TM 11/10 HN)</w:t>
            </w:r>
          </w:p>
        </w:tc>
        <w:tc>
          <w:tcPr>
            <w:tcW w:w="1008" w:type="dxa"/>
            <w:tcMar>
              <w:top w:w="70" w:type="dxa"/>
              <w:left w:w="100" w:type="dxa"/>
              <w:bottom w:w="70" w:type="dxa"/>
              <w:right w:w="100" w:type="dxa"/>
            </w:tcMar>
          </w:tcPr>
          <w:p w14:paraId="4C654954" w14:textId="77777777" w:rsidR="00F67131" w:rsidRDefault="00000000">
            <w:pPr>
              <w:spacing w:before="40" w:after="40" w:line="240" w:lineRule="auto"/>
              <w:jc w:val="both"/>
            </w:pPr>
            <w:r>
              <w:rPr>
                <w:rFonts w:ascii="Times New Roman" w:hAnsi="Times New Roman"/>
                <w:color w:val="262626"/>
                <w:sz w:val="18"/>
              </w:rPr>
              <w:t>4.980</w:t>
            </w:r>
          </w:p>
        </w:tc>
        <w:tc>
          <w:tcPr>
            <w:tcW w:w="1008" w:type="dxa"/>
            <w:tcMar>
              <w:top w:w="70" w:type="dxa"/>
              <w:left w:w="100" w:type="dxa"/>
              <w:bottom w:w="70" w:type="dxa"/>
              <w:right w:w="100" w:type="dxa"/>
            </w:tcMar>
          </w:tcPr>
          <w:p w14:paraId="64BAF1FB" w14:textId="77777777" w:rsidR="00F67131" w:rsidRDefault="00000000">
            <w:pPr>
              <w:spacing w:before="40" w:after="40" w:line="240" w:lineRule="auto"/>
              <w:jc w:val="both"/>
            </w:pPr>
            <w:r>
              <w:rPr>
                <w:rFonts w:ascii="Times New Roman" w:hAnsi="Times New Roman"/>
                <w:color w:val="262626"/>
                <w:sz w:val="18"/>
              </w:rPr>
              <w:t>3.543</w:t>
            </w:r>
          </w:p>
        </w:tc>
        <w:tc>
          <w:tcPr>
            <w:tcW w:w="1008" w:type="dxa"/>
            <w:tcMar>
              <w:top w:w="70" w:type="dxa"/>
              <w:left w:w="100" w:type="dxa"/>
              <w:bottom w:w="70" w:type="dxa"/>
              <w:right w:w="100" w:type="dxa"/>
            </w:tcMar>
          </w:tcPr>
          <w:p w14:paraId="72E21B8C" w14:textId="77777777" w:rsidR="00F67131" w:rsidRDefault="00000000">
            <w:pPr>
              <w:spacing w:before="40" w:after="40" w:line="240" w:lineRule="auto"/>
              <w:jc w:val="both"/>
            </w:pPr>
            <w:r>
              <w:rPr>
                <w:rFonts w:ascii="Times New Roman" w:hAnsi="Times New Roman"/>
                <w:color w:val="262626"/>
                <w:sz w:val="18"/>
              </w:rPr>
              <w:t>4.412</w:t>
            </w:r>
          </w:p>
        </w:tc>
        <w:tc>
          <w:tcPr>
            <w:tcW w:w="1008" w:type="dxa"/>
            <w:tcMar>
              <w:top w:w="70" w:type="dxa"/>
              <w:left w:w="100" w:type="dxa"/>
              <w:bottom w:w="70" w:type="dxa"/>
              <w:right w:w="100" w:type="dxa"/>
            </w:tcMar>
          </w:tcPr>
          <w:p w14:paraId="6747C33E" w14:textId="77777777" w:rsidR="00F67131" w:rsidRDefault="00000000">
            <w:pPr>
              <w:spacing w:before="40" w:after="40" w:line="240" w:lineRule="auto"/>
              <w:jc w:val="both"/>
            </w:pPr>
            <w:r>
              <w:rPr>
                <w:rFonts w:ascii="Times New Roman" w:hAnsi="Times New Roman"/>
                <w:color w:val="262626"/>
                <w:sz w:val="18"/>
              </w:rPr>
              <w:t>6.622</w:t>
            </w:r>
          </w:p>
        </w:tc>
        <w:tc>
          <w:tcPr>
            <w:tcW w:w="1008" w:type="dxa"/>
            <w:tcMar>
              <w:top w:w="70" w:type="dxa"/>
              <w:left w:w="100" w:type="dxa"/>
              <w:bottom w:w="70" w:type="dxa"/>
              <w:right w:w="100" w:type="dxa"/>
            </w:tcMar>
          </w:tcPr>
          <w:p w14:paraId="471A0541" w14:textId="77777777" w:rsidR="00F67131" w:rsidRDefault="00000000">
            <w:pPr>
              <w:spacing w:before="40" w:after="40" w:line="240" w:lineRule="auto"/>
              <w:jc w:val="both"/>
            </w:pPr>
            <w:r>
              <w:rPr>
                <w:rFonts w:ascii="Times New Roman" w:hAnsi="Times New Roman"/>
                <w:color w:val="262626"/>
                <w:sz w:val="18"/>
              </w:rPr>
              <w:t>9.397</w:t>
            </w:r>
          </w:p>
        </w:tc>
        <w:tc>
          <w:tcPr>
            <w:tcW w:w="1008" w:type="dxa"/>
            <w:tcMar>
              <w:top w:w="70" w:type="dxa"/>
              <w:left w:w="100" w:type="dxa"/>
              <w:bottom w:w="70" w:type="dxa"/>
              <w:right w:w="100" w:type="dxa"/>
            </w:tcMar>
          </w:tcPr>
          <w:p w14:paraId="4C485F63" w14:textId="77777777" w:rsidR="00F67131" w:rsidRDefault="00000000">
            <w:pPr>
              <w:spacing w:before="40" w:after="40" w:line="240" w:lineRule="auto"/>
              <w:jc w:val="both"/>
            </w:pPr>
            <w:r>
              <w:rPr>
                <w:rFonts w:ascii="Times New Roman" w:hAnsi="Times New Roman"/>
                <w:color w:val="262626"/>
                <w:sz w:val="18"/>
              </w:rPr>
              <w:t>12.185</w:t>
            </w:r>
          </w:p>
        </w:tc>
      </w:tr>
    </w:tbl>
    <w:p w14:paraId="4310272F"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Trích xuất từ Báo cáo KQKD hợp nhất kiểm toán và Thuyết minh biến động dự phòng rủi ro cho vay khách hàng (TM 10/11 Agribank; TM 11/10 MB) giai đoạn 2020–2025.</w:t>
      </w:r>
    </w:p>
    <w:p w14:paraId="5DBBFD54" w14:textId="77777777" w:rsidR="00010F8E" w:rsidRDefault="00000000">
      <w:pPr>
        <w:keepNext/>
        <w:spacing w:before="240" w:after="80"/>
        <w:jc w:val="center"/>
      </w:pPr>
      <w:r>
        <w:rPr>
          <w:rFonts w:ascii="Times New Roman" w:hAnsi="Times New Roman"/>
          <w:b/>
          <w:color w:val="002060"/>
          <w:sz w:val="21"/>
        </w:rPr>
        <w:t>Hình 3. Tỷ lệ bao phủ nợ xấu (LLCR) và Chi phí tín dụng (Credit Cost) giai đoạn 2020–2025</w:t>
      </w:r>
    </w:p>
    <w:p w14:paraId="0FF275C1" w14:textId="77777777" w:rsidR="00010F8E" w:rsidRDefault="00000000">
      <w:pPr>
        <w:spacing w:before="80" w:after="80"/>
        <w:jc w:val="center"/>
      </w:pPr>
      <w:r>
        <w:rPr>
          <w:noProof/>
        </w:rPr>
        <w:drawing>
          <wp:inline distT="0" distB="0" distL="0" distR="0" wp14:anchorId="0ED35C4D" wp14:editId="5D88BCB4">
            <wp:extent cx="5669280" cy="32014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LLCR_va_Credit_Cost.png"/>
                    <pic:cNvPicPr/>
                  </pic:nvPicPr>
                  <pic:blipFill>
                    <a:blip r:embed="rId8"/>
                    <a:stretch>
                      <a:fillRect/>
                    </a:stretch>
                  </pic:blipFill>
                  <pic:spPr>
                    <a:xfrm>
                      <a:off x="0" y="0"/>
                      <a:ext cx="5669280" cy="3201476"/>
                    </a:xfrm>
                    <a:prstGeom prst="rect">
                      <a:avLst/>
                    </a:prstGeom>
                  </pic:spPr>
                </pic:pic>
              </a:graphicData>
            </a:graphic>
          </wp:inline>
        </w:drawing>
      </w:r>
    </w:p>
    <w:p w14:paraId="639C38B7" w14:textId="77777777" w:rsidR="00010F8E" w:rsidRDefault="00000000">
      <w:pPr>
        <w:spacing w:before="60"/>
        <w:jc w:val="center"/>
      </w:pPr>
      <w:r>
        <w:rPr>
          <w:rFonts w:ascii="Times New Roman" w:hAnsi="Times New Roman"/>
          <w:i/>
          <w:color w:val="505050"/>
          <w:sz w:val="19"/>
        </w:rPr>
        <w:t>Nguồn: Tính toán và đồ thị hóa của nhóm tác giả từ Báo cáo KQKD và Thuyết minh biến động dự phòng BCTC kiểm toán.</w:t>
      </w:r>
    </w:p>
    <w:p w14:paraId="7B38A8E2" w14:textId="77777777" w:rsidR="00F67131" w:rsidRDefault="00000000">
      <w:pPr>
        <w:spacing w:after="80" w:line="300" w:lineRule="auto"/>
        <w:jc w:val="both"/>
      </w:pPr>
      <w:r>
        <w:rPr>
          <w:rFonts w:ascii="Times New Roman" w:hAnsi="Times New Roman"/>
          <w:color w:val="000000"/>
        </w:rPr>
        <w:t xml:space="preserve">Hành vi trích lập dự phòng theo chu kỳ: Hình 3 trực quan hóa rõ nét sự đánh đổi mang tính chu kỳ giữa bộ đệm dự phòng bao nợ xấu (LLCR) và chi phí tín dụng (Credit Cost) của hai ngân hàng. Năm 2021, MB trích lập mạnh, đưa tỷ lệ bao phủ nợ xấu hợp nhất lên 268,0% (riêng lẻ 348,7%). Năm </w:t>
      </w:r>
      <w:r>
        <w:rPr>
          <w:rFonts w:ascii="Times New Roman" w:hAnsi="Times New Roman"/>
          <w:color w:val="000000"/>
        </w:rPr>
        <w:lastRenderedPageBreak/>
        <w:t>2023, nợ xấu hợp nhất của MB tăng 94,9% nhưng chi phí dự phòng giảm 24,4% (từ 8.048 xuống 6.087 tỷ đồng); tỷ trọng chi phí dự phòng trên lợi nhuận trước dự phòng giảm từ 26,1% (2022) xuống 18,8% (2023), và LLCR giảm từ 238,0% xuống 117,0%, rồi 92,2%–93,7% trong 2024–2025. Diễn biến này phù hợp với hiện tượng trích lập dự phòng thuận chu kỳ ("quá ít, quá muộn") và động cơ làm mượt lợi nhuận được Laeven &amp; Majnoni (2003) mô tả. Tuy nhiên, có hai lưu ý: (i) thuyết minh biến động dự phòng năm 2023 cho thấy trích lập ròng xấp xỉ 6,1 nghìn tỷ đồng (số dư đầu kỳ 11.976 tỷ, xóa nợ 6.622 tỷ, số dư cuối kỳ 11.470 tỷ), nên con số “hoàn nhập 4.800 tỷ đồng” do báo chí nêu chưa được xác nhận trên báo cáo kiểm toán; (ii) Agribank có diễn biến tương tự: năm 2023 nợ xấu tăng 10,2% nhưng chi phí dự phòng giảm 28,8% (từ 27.172 xuống 19.347 tỷ đồng), tỷ trọng chi phí dự phòng trên lợi nhuận trước dự phòng giảm từ 54,7% xuống 42,8%. Như vậy, đây là đặc điểm chung của năm 2023 – năm áp dụng Thông tư 02/2023 – chứ không riêng MB; muốn khẳng định hành vi làm mượt lợi nhuận cần kiểm định thống kê trên mẫu nhiều ngân hàng.</w:t>
      </w:r>
    </w:p>
    <w:p w14:paraId="47B3CF3A" w14:textId="77777777" w:rsidR="00F67131" w:rsidRDefault="00000000">
      <w:pPr>
        <w:spacing w:after="80" w:line="300" w:lineRule="auto"/>
        <w:jc w:val="both"/>
      </w:pPr>
      <w:r>
        <w:rPr>
          <w:rFonts w:ascii="Times New Roman" w:hAnsi="Times New Roman"/>
          <w:b/>
        </w:rPr>
        <w:t xml:space="preserve">Thu hồi nợ đã xử lý của Agribank: </w:t>
      </w:r>
      <w:r>
        <w:rPr>
          <w:rFonts w:ascii="Times New Roman" w:hAnsi="Times New Roman"/>
        </w:rPr>
        <w:t>Agribank duy trì LLCR hợp nhất trong khoảng 113,6%–146,3% (riêng lẻ 110,9%–144,4%). Thu từ nợ đã xử lý rủi ro theo Thuyết minh 29/30 BCTC hợp nhất tăng từ 8.673 tỷ đồng (2020) lên 12.123 tỷ đồng (2025); nếu tính cả thu từ xử lý tài sản như báo cáo thường niên 2025 thì đạt 16.305 tỷ đồng, tương đương 38,1%–51,3% chi phí dự phòng năm 2025. Số dư nợ đã xử lý đang theo dõi ngoại bảng cuối 2025 là 278.372 tỷ đồng, nên mức thu hồi hằng năm chỉ bằng khoảng 4%–6% số dư này. Tài sản bảo đảm là đất đai giúp thu hồi được tiền mặt, nhưng tốc độ thu hồi chậm – phù hợp với tỷ trọng nợ nhóm 5 cao ở Mục 4.3.</w:t>
      </w:r>
    </w:p>
    <w:p w14:paraId="5821B7EA" w14:textId="77777777" w:rsidR="00F67131" w:rsidRDefault="00000000">
      <w:pPr>
        <w:pStyle w:val="Heading2"/>
        <w:spacing w:after="80" w:line="300" w:lineRule="auto"/>
      </w:pPr>
      <w:bookmarkStart w:id="14" w:name="_Toc244090114"/>
      <w:r>
        <w:rPr>
          <w:rFonts w:ascii="Times New Roman" w:hAnsi="Times New Roman"/>
          <w:color w:val="0F4C81"/>
          <w:sz w:val="24"/>
        </w:rPr>
        <w:t>4.3. Nợ nhóm 2, nợ cơ cấu và áp lực nợ xấu tiềm ẩn</w:t>
      </w:r>
      <w:bookmarkEnd w:id="14"/>
    </w:p>
    <w:p w14:paraId="20996FAA" w14:textId="77777777" w:rsidR="00F67131" w:rsidRDefault="00000000">
      <w:pPr>
        <w:spacing w:before="120" w:after="60" w:line="300" w:lineRule="auto"/>
      </w:pPr>
      <w:r>
        <w:rPr>
          <w:rFonts w:ascii="Times New Roman" w:hAnsi="Times New Roman"/>
          <w:b/>
          <w:color w:val="1B365D"/>
          <w:sz w:val="20"/>
        </w:rPr>
        <w:t>Bảng 7. Nợ nhóm 2, nợ cơ cấu theo thông tư và NPL điều chỉnh toàn diện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12"/>
        <w:gridCol w:w="990"/>
        <w:gridCol w:w="995"/>
        <w:gridCol w:w="995"/>
        <w:gridCol w:w="990"/>
        <w:gridCol w:w="995"/>
        <w:gridCol w:w="995"/>
      </w:tblGrid>
      <w:tr w:rsidR="00F67131" w14:paraId="036D816B" w14:textId="77777777">
        <w:trPr>
          <w:jc w:val="center"/>
          <w:cantSplit/>
          <w:tblHeader/>
        </w:trPr>
        <w:tc>
          <w:tcPr>
            <w:tcW w:w="3456" w:type="dxa"/>
            <w:shd w:val="clear" w:color="auto" w:fill="1B365D"/>
            <w:tcMar>
              <w:top w:w="70" w:type="dxa"/>
              <w:left w:w="100" w:type="dxa"/>
              <w:bottom w:w="70" w:type="dxa"/>
              <w:right w:w="100" w:type="dxa"/>
            </w:tcMar>
          </w:tcPr>
          <w:p w14:paraId="395D9690" w14:textId="77777777" w:rsidR="00F67131" w:rsidRDefault="00000000">
            <w:pPr>
              <w:spacing w:before="40" w:after="40" w:line="240" w:lineRule="auto"/>
              <w:jc w:val="both"/>
            </w:pPr>
            <w:r>
              <w:rPr>
                <w:rFonts w:ascii="Times New Roman" w:hAnsi="Times New Roman"/>
                <w:color w:val="FFFFFF"/>
                <w:sz w:val="19"/>
              </w:rPr>
              <w:t>Chỉ tiêu phân tích (Tỷ đồng, %)</w:t>
            </w:r>
          </w:p>
        </w:tc>
        <w:tc>
          <w:tcPr>
            <w:tcW w:w="1008" w:type="dxa"/>
            <w:shd w:val="clear" w:color="auto" w:fill="1B365D"/>
            <w:tcMar>
              <w:top w:w="70" w:type="dxa"/>
              <w:left w:w="100" w:type="dxa"/>
              <w:bottom w:w="70" w:type="dxa"/>
              <w:right w:w="100" w:type="dxa"/>
            </w:tcMar>
          </w:tcPr>
          <w:p w14:paraId="5665E8EE" w14:textId="77777777" w:rsidR="00F67131" w:rsidRDefault="00000000">
            <w:pPr>
              <w:spacing w:before="40" w:after="40" w:line="240" w:lineRule="auto"/>
              <w:jc w:val="both"/>
            </w:pPr>
            <w:r>
              <w:rPr>
                <w:rFonts w:ascii="Times New Roman" w:hAnsi="Times New Roman"/>
                <w:color w:val="FFFFFF"/>
                <w:sz w:val="19"/>
              </w:rPr>
              <w:t>2020</w:t>
            </w:r>
          </w:p>
        </w:tc>
        <w:tc>
          <w:tcPr>
            <w:tcW w:w="1008" w:type="dxa"/>
            <w:shd w:val="clear" w:color="auto" w:fill="1B365D"/>
            <w:tcMar>
              <w:top w:w="70" w:type="dxa"/>
              <w:left w:w="100" w:type="dxa"/>
              <w:bottom w:w="70" w:type="dxa"/>
              <w:right w:w="100" w:type="dxa"/>
            </w:tcMar>
          </w:tcPr>
          <w:p w14:paraId="1EA5CB67" w14:textId="77777777" w:rsidR="00F67131" w:rsidRDefault="00000000">
            <w:pPr>
              <w:spacing w:before="40" w:after="40" w:line="240" w:lineRule="auto"/>
              <w:jc w:val="both"/>
            </w:pPr>
            <w:r>
              <w:rPr>
                <w:rFonts w:ascii="Times New Roman" w:hAnsi="Times New Roman"/>
                <w:color w:val="FFFFFF"/>
                <w:sz w:val="19"/>
              </w:rPr>
              <w:t>2021</w:t>
            </w:r>
          </w:p>
        </w:tc>
        <w:tc>
          <w:tcPr>
            <w:tcW w:w="1008" w:type="dxa"/>
            <w:shd w:val="clear" w:color="auto" w:fill="1B365D"/>
            <w:tcMar>
              <w:top w:w="70" w:type="dxa"/>
              <w:left w:w="100" w:type="dxa"/>
              <w:bottom w:w="70" w:type="dxa"/>
              <w:right w:w="100" w:type="dxa"/>
            </w:tcMar>
          </w:tcPr>
          <w:p w14:paraId="5978F932" w14:textId="77777777" w:rsidR="00F67131" w:rsidRDefault="00000000">
            <w:pPr>
              <w:spacing w:before="40" w:after="40" w:line="240" w:lineRule="auto"/>
              <w:jc w:val="both"/>
            </w:pPr>
            <w:r>
              <w:rPr>
                <w:rFonts w:ascii="Times New Roman" w:hAnsi="Times New Roman"/>
                <w:color w:val="FFFFFF"/>
                <w:sz w:val="19"/>
              </w:rPr>
              <w:t>2022</w:t>
            </w:r>
          </w:p>
        </w:tc>
        <w:tc>
          <w:tcPr>
            <w:tcW w:w="1008" w:type="dxa"/>
            <w:shd w:val="clear" w:color="auto" w:fill="1B365D"/>
            <w:tcMar>
              <w:top w:w="70" w:type="dxa"/>
              <w:left w:w="100" w:type="dxa"/>
              <w:bottom w:w="70" w:type="dxa"/>
              <w:right w:w="100" w:type="dxa"/>
            </w:tcMar>
          </w:tcPr>
          <w:p w14:paraId="10FCD7A5" w14:textId="77777777" w:rsidR="00F67131" w:rsidRDefault="00000000">
            <w:pPr>
              <w:spacing w:before="40" w:after="40" w:line="240" w:lineRule="auto"/>
              <w:jc w:val="both"/>
            </w:pPr>
            <w:r>
              <w:rPr>
                <w:rFonts w:ascii="Times New Roman" w:hAnsi="Times New Roman"/>
                <w:color w:val="FFFFFF"/>
                <w:sz w:val="19"/>
              </w:rPr>
              <w:t>2023</w:t>
            </w:r>
          </w:p>
        </w:tc>
        <w:tc>
          <w:tcPr>
            <w:tcW w:w="1008" w:type="dxa"/>
            <w:shd w:val="clear" w:color="auto" w:fill="1B365D"/>
            <w:tcMar>
              <w:top w:w="70" w:type="dxa"/>
              <w:left w:w="100" w:type="dxa"/>
              <w:bottom w:w="70" w:type="dxa"/>
              <w:right w:w="100" w:type="dxa"/>
            </w:tcMar>
          </w:tcPr>
          <w:p w14:paraId="4EE99EAC" w14:textId="77777777" w:rsidR="00F67131" w:rsidRDefault="00000000">
            <w:pPr>
              <w:spacing w:before="40" w:after="40" w:line="240" w:lineRule="auto"/>
              <w:jc w:val="both"/>
            </w:pPr>
            <w:r>
              <w:rPr>
                <w:rFonts w:ascii="Times New Roman" w:hAnsi="Times New Roman"/>
                <w:color w:val="FFFFFF"/>
                <w:sz w:val="19"/>
              </w:rPr>
              <w:t>2024</w:t>
            </w:r>
          </w:p>
        </w:tc>
        <w:tc>
          <w:tcPr>
            <w:tcW w:w="1008" w:type="dxa"/>
            <w:shd w:val="clear" w:color="auto" w:fill="1B365D"/>
            <w:tcMar>
              <w:top w:w="70" w:type="dxa"/>
              <w:left w:w="100" w:type="dxa"/>
              <w:bottom w:w="70" w:type="dxa"/>
              <w:right w:w="100" w:type="dxa"/>
            </w:tcMar>
          </w:tcPr>
          <w:p w14:paraId="7378FC21" w14:textId="77777777" w:rsidR="00F67131" w:rsidRDefault="00000000">
            <w:pPr>
              <w:spacing w:before="40" w:after="40" w:line="240" w:lineRule="auto"/>
              <w:jc w:val="both"/>
            </w:pPr>
            <w:r>
              <w:rPr>
                <w:rFonts w:ascii="Times New Roman" w:hAnsi="Times New Roman"/>
                <w:color w:val="FFFFFF"/>
                <w:sz w:val="19"/>
              </w:rPr>
              <w:t>2025</w:t>
            </w:r>
          </w:p>
        </w:tc>
      </w:tr>
      <w:tr w:rsidR="00F67131" w14:paraId="7AC443C2" w14:textId="77777777">
        <w:trPr>
          <w:jc w:val="center"/>
          <w:cantSplit/>
        </w:trPr>
        <w:tc>
          <w:tcPr>
            <w:tcW w:w="3456" w:type="dxa"/>
            <w:tcMar>
              <w:top w:w="70" w:type="dxa"/>
              <w:left w:w="100" w:type="dxa"/>
              <w:bottom w:w="70" w:type="dxa"/>
              <w:right w:w="100" w:type="dxa"/>
            </w:tcMar>
          </w:tcPr>
          <w:p w14:paraId="1B0A8A10" w14:textId="77777777" w:rsidR="00F67131" w:rsidRDefault="00000000">
            <w:pPr>
              <w:spacing w:before="40" w:after="40" w:line="240" w:lineRule="auto"/>
              <w:jc w:val="both"/>
            </w:pPr>
            <w:r>
              <w:rPr>
                <w:rFonts w:ascii="Times New Roman" w:hAnsi="Times New Roman"/>
                <w:color w:val="262626"/>
                <w:sz w:val="18"/>
              </w:rPr>
              <w:t>Agribank: Nợ nhóm 2 (TM 9/10 BCTC Kiểm toán)</w:t>
            </w:r>
          </w:p>
        </w:tc>
        <w:tc>
          <w:tcPr>
            <w:tcW w:w="1008" w:type="dxa"/>
            <w:tcMar>
              <w:top w:w="70" w:type="dxa"/>
              <w:left w:w="100" w:type="dxa"/>
              <w:bottom w:w="70" w:type="dxa"/>
              <w:right w:w="100" w:type="dxa"/>
            </w:tcMar>
          </w:tcPr>
          <w:p w14:paraId="7E5F5762" w14:textId="77777777" w:rsidR="00F67131" w:rsidRDefault="00000000">
            <w:pPr>
              <w:spacing w:before="40" w:after="40" w:line="240" w:lineRule="auto"/>
              <w:jc w:val="both"/>
            </w:pPr>
            <w:r>
              <w:rPr>
                <w:rFonts w:ascii="Times New Roman" w:hAnsi="Times New Roman"/>
                <w:color w:val="262626"/>
                <w:sz w:val="18"/>
              </w:rPr>
              <w:t>30.078</w:t>
            </w:r>
          </w:p>
        </w:tc>
        <w:tc>
          <w:tcPr>
            <w:tcW w:w="1008" w:type="dxa"/>
            <w:tcMar>
              <w:top w:w="70" w:type="dxa"/>
              <w:left w:w="100" w:type="dxa"/>
              <w:bottom w:w="70" w:type="dxa"/>
              <w:right w:w="100" w:type="dxa"/>
            </w:tcMar>
          </w:tcPr>
          <w:p w14:paraId="2AA8470F" w14:textId="77777777" w:rsidR="00F67131" w:rsidRDefault="00000000">
            <w:pPr>
              <w:spacing w:before="40" w:after="40" w:line="240" w:lineRule="auto"/>
              <w:jc w:val="both"/>
            </w:pPr>
            <w:r>
              <w:rPr>
                <w:rFonts w:ascii="Times New Roman" w:hAnsi="Times New Roman"/>
                <w:color w:val="262626"/>
                <w:sz w:val="18"/>
              </w:rPr>
              <w:t>28.446</w:t>
            </w:r>
          </w:p>
        </w:tc>
        <w:tc>
          <w:tcPr>
            <w:tcW w:w="1008" w:type="dxa"/>
            <w:tcMar>
              <w:top w:w="70" w:type="dxa"/>
              <w:left w:w="100" w:type="dxa"/>
              <w:bottom w:w="70" w:type="dxa"/>
              <w:right w:w="100" w:type="dxa"/>
            </w:tcMar>
          </w:tcPr>
          <w:p w14:paraId="14BAD90D" w14:textId="77777777" w:rsidR="00F67131" w:rsidRDefault="00000000">
            <w:pPr>
              <w:spacing w:before="40" w:after="40" w:line="240" w:lineRule="auto"/>
              <w:jc w:val="both"/>
            </w:pPr>
            <w:r>
              <w:rPr>
                <w:rFonts w:ascii="Times New Roman" w:hAnsi="Times New Roman"/>
                <w:color w:val="262626"/>
                <w:sz w:val="18"/>
              </w:rPr>
              <w:t>35.280</w:t>
            </w:r>
          </w:p>
        </w:tc>
        <w:tc>
          <w:tcPr>
            <w:tcW w:w="1008" w:type="dxa"/>
            <w:tcMar>
              <w:top w:w="70" w:type="dxa"/>
              <w:left w:w="100" w:type="dxa"/>
              <w:bottom w:w="70" w:type="dxa"/>
              <w:right w:w="100" w:type="dxa"/>
            </w:tcMar>
          </w:tcPr>
          <w:p w14:paraId="5F258FF4" w14:textId="77777777" w:rsidR="00F67131" w:rsidRDefault="00000000">
            <w:pPr>
              <w:spacing w:before="40" w:after="40" w:line="240" w:lineRule="auto"/>
              <w:jc w:val="both"/>
            </w:pPr>
            <w:r>
              <w:rPr>
                <w:rFonts w:ascii="Times New Roman" w:hAnsi="Times New Roman"/>
                <w:color w:val="262626"/>
                <w:sz w:val="18"/>
              </w:rPr>
              <w:t>32.340</w:t>
            </w:r>
          </w:p>
        </w:tc>
        <w:tc>
          <w:tcPr>
            <w:tcW w:w="1008" w:type="dxa"/>
            <w:tcMar>
              <w:top w:w="70" w:type="dxa"/>
              <w:left w:w="100" w:type="dxa"/>
              <w:bottom w:w="70" w:type="dxa"/>
              <w:right w:w="100" w:type="dxa"/>
            </w:tcMar>
          </w:tcPr>
          <w:p w14:paraId="3F106160" w14:textId="77777777" w:rsidR="00F67131" w:rsidRDefault="00000000">
            <w:pPr>
              <w:spacing w:before="40" w:after="40" w:line="240" w:lineRule="auto"/>
              <w:jc w:val="both"/>
            </w:pPr>
            <w:r>
              <w:rPr>
                <w:rFonts w:ascii="Times New Roman" w:hAnsi="Times New Roman"/>
                <w:color w:val="262626"/>
                <w:sz w:val="18"/>
              </w:rPr>
              <w:t>29.202</w:t>
            </w:r>
          </w:p>
        </w:tc>
        <w:tc>
          <w:tcPr>
            <w:tcW w:w="1008" w:type="dxa"/>
            <w:tcMar>
              <w:top w:w="70" w:type="dxa"/>
              <w:left w:w="100" w:type="dxa"/>
              <w:bottom w:w="70" w:type="dxa"/>
              <w:right w:w="100" w:type="dxa"/>
            </w:tcMar>
          </w:tcPr>
          <w:p w14:paraId="727482A1" w14:textId="77777777" w:rsidR="00F67131" w:rsidRDefault="00000000">
            <w:pPr>
              <w:spacing w:before="40" w:after="40" w:line="240" w:lineRule="auto"/>
              <w:jc w:val="both"/>
            </w:pPr>
            <w:r>
              <w:rPr>
                <w:rFonts w:ascii="Times New Roman" w:hAnsi="Times New Roman"/>
                <w:color w:val="262626"/>
                <w:sz w:val="18"/>
              </w:rPr>
              <w:t>21.282</w:t>
            </w:r>
          </w:p>
        </w:tc>
      </w:tr>
      <w:tr w:rsidR="00F67131" w14:paraId="6DAFE4AE" w14:textId="77777777">
        <w:trPr>
          <w:jc w:val="center"/>
          <w:cantSplit/>
        </w:trPr>
        <w:tc>
          <w:tcPr>
            <w:tcW w:w="3456" w:type="dxa"/>
            <w:tcMar>
              <w:top w:w="70" w:type="dxa"/>
              <w:left w:w="100" w:type="dxa"/>
              <w:bottom w:w="70" w:type="dxa"/>
              <w:right w:w="100" w:type="dxa"/>
            </w:tcMar>
          </w:tcPr>
          <w:p w14:paraId="5668719F" w14:textId="77777777" w:rsidR="00F67131" w:rsidRDefault="00000000">
            <w:pPr>
              <w:spacing w:before="40" w:after="40" w:line="240" w:lineRule="auto"/>
              <w:jc w:val="both"/>
            </w:pPr>
            <w:r>
              <w:rPr>
                <w:rFonts w:ascii="Times New Roman" w:hAnsi="Times New Roman"/>
                <w:color w:val="262626"/>
                <w:sz w:val="18"/>
              </w:rPr>
              <w:t>Agribank: Tỷ lệ nợ nhóm 2 / Dư nợ Hợp nhất (%)</w:t>
            </w:r>
          </w:p>
        </w:tc>
        <w:tc>
          <w:tcPr>
            <w:tcW w:w="1008" w:type="dxa"/>
            <w:tcMar>
              <w:top w:w="70" w:type="dxa"/>
              <w:left w:w="100" w:type="dxa"/>
              <w:bottom w:w="70" w:type="dxa"/>
              <w:right w:w="100" w:type="dxa"/>
            </w:tcMar>
          </w:tcPr>
          <w:p w14:paraId="7FDBBC3F" w14:textId="77777777" w:rsidR="00F67131" w:rsidRDefault="00000000">
            <w:pPr>
              <w:spacing w:before="40" w:after="40" w:line="240" w:lineRule="auto"/>
              <w:jc w:val="both"/>
            </w:pPr>
            <w:r>
              <w:rPr>
                <w:rFonts w:ascii="Times New Roman" w:hAnsi="Times New Roman"/>
                <w:color w:val="262626"/>
                <w:sz w:val="18"/>
              </w:rPr>
              <w:t>2,48%</w:t>
            </w:r>
          </w:p>
        </w:tc>
        <w:tc>
          <w:tcPr>
            <w:tcW w:w="1008" w:type="dxa"/>
            <w:tcMar>
              <w:top w:w="70" w:type="dxa"/>
              <w:left w:w="100" w:type="dxa"/>
              <w:bottom w:w="70" w:type="dxa"/>
              <w:right w:w="100" w:type="dxa"/>
            </w:tcMar>
          </w:tcPr>
          <w:p w14:paraId="2BD1B4C6" w14:textId="77777777" w:rsidR="00F67131" w:rsidRDefault="00000000">
            <w:pPr>
              <w:spacing w:before="40" w:after="40" w:line="240" w:lineRule="auto"/>
              <w:jc w:val="both"/>
            </w:pPr>
            <w:r>
              <w:rPr>
                <w:rFonts w:ascii="Times New Roman" w:hAnsi="Times New Roman"/>
                <w:color w:val="262626"/>
                <w:sz w:val="18"/>
              </w:rPr>
              <w:t>2,16%</w:t>
            </w:r>
          </w:p>
        </w:tc>
        <w:tc>
          <w:tcPr>
            <w:tcW w:w="1008" w:type="dxa"/>
            <w:tcMar>
              <w:top w:w="70" w:type="dxa"/>
              <w:left w:w="100" w:type="dxa"/>
              <w:bottom w:w="70" w:type="dxa"/>
              <w:right w:w="100" w:type="dxa"/>
            </w:tcMar>
          </w:tcPr>
          <w:p w14:paraId="2710DB62" w14:textId="77777777" w:rsidR="00F67131" w:rsidRDefault="00000000">
            <w:pPr>
              <w:spacing w:before="40" w:after="40" w:line="240" w:lineRule="auto"/>
              <w:jc w:val="both"/>
            </w:pPr>
            <w:r>
              <w:rPr>
                <w:rFonts w:ascii="Times New Roman" w:hAnsi="Times New Roman"/>
                <w:color w:val="262626"/>
                <w:sz w:val="18"/>
              </w:rPr>
              <w:t>2,44%</w:t>
            </w:r>
          </w:p>
        </w:tc>
        <w:tc>
          <w:tcPr>
            <w:tcW w:w="1008" w:type="dxa"/>
            <w:tcMar>
              <w:top w:w="70" w:type="dxa"/>
              <w:left w:w="100" w:type="dxa"/>
              <w:bottom w:w="70" w:type="dxa"/>
              <w:right w:w="100" w:type="dxa"/>
            </w:tcMar>
          </w:tcPr>
          <w:p w14:paraId="4CBD1512" w14:textId="77777777" w:rsidR="00F67131" w:rsidRDefault="00000000">
            <w:pPr>
              <w:spacing w:before="40" w:after="40" w:line="240" w:lineRule="auto"/>
              <w:jc w:val="both"/>
            </w:pPr>
            <w:r>
              <w:rPr>
                <w:rFonts w:ascii="Times New Roman" w:hAnsi="Times New Roman"/>
                <w:color w:val="262626"/>
                <w:sz w:val="18"/>
              </w:rPr>
              <w:t>2,08%</w:t>
            </w:r>
          </w:p>
        </w:tc>
        <w:tc>
          <w:tcPr>
            <w:tcW w:w="1008" w:type="dxa"/>
            <w:tcMar>
              <w:top w:w="70" w:type="dxa"/>
              <w:left w:w="100" w:type="dxa"/>
              <w:bottom w:w="70" w:type="dxa"/>
              <w:right w:w="100" w:type="dxa"/>
            </w:tcMar>
          </w:tcPr>
          <w:p w14:paraId="0CDE1E8C" w14:textId="77777777" w:rsidR="00F67131" w:rsidRDefault="00000000">
            <w:pPr>
              <w:spacing w:before="40" w:after="40" w:line="240" w:lineRule="auto"/>
              <w:jc w:val="both"/>
            </w:pPr>
            <w:r>
              <w:rPr>
                <w:rFonts w:ascii="Times New Roman" w:hAnsi="Times New Roman"/>
                <w:color w:val="262626"/>
                <w:sz w:val="18"/>
              </w:rPr>
              <w:t>1,69%</w:t>
            </w:r>
          </w:p>
        </w:tc>
        <w:tc>
          <w:tcPr>
            <w:tcW w:w="1008" w:type="dxa"/>
            <w:tcMar>
              <w:top w:w="70" w:type="dxa"/>
              <w:left w:w="100" w:type="dxa"/>
              <w:bottom w:w="70" w:type="dxa"/>
              <w:right w:w="100" w:type="dxa"/>
            </w:tcMar>
          </w:tcPr>
          <w:p w14:paraId="40468D84" w14:textId="77777777" w:rsidR="00F67131" w:rsidRDefault="00000000">
            <w:pPr>
              <w:spacing w:before="40" w:after="40" w:line="240" w:lineRule="auto"/>
              <w:jc w:val="both"/>
            </w:pPr>
            <w:r>
              <w:rPr>
                <w:rFonts w:ascii="Times New Roman" w:hAnsi="Times New Roman"/>
                <w:color w:val="262626"/>
                <w:sz w:val="18"/>
              </w:rPr>
              <w:t>1,08%</w:t>
            </w:r>
          </w:p>
        </w:tc>
      </w:tr>
      <w:tr w:rsidR="00F67131" w14:paraId="75E1A3B6" w14:textId="77777777">
        <w:trPr>
          <w:jc w:val="center"/>
          <w:cantSplit/>
        </w:trPr>
        <w:tc>
          <w:tcPr>
            <w:tcW w:w="3456" w:type="dxa"/>
            <w:tcMar>
              <w:top w:w="70" w:type="dxa"/>
              <w:left w:w="100" w:type="dxa"/>
              <w:bottom w:w="70" w:type="dxa"/>
              <w:right w:w="100" w:type="dxa"/>
            </w:tcMar>
          </w:tcPr>
          <w:p w14:paraId="0FE4DE5A" w14:textId="77777777" w:rsidR="00F67131" w:rsidRDefault="00000000">
            <w:pPr>
              <w:spacing w:before="40" w:after="40" w:line="240" w:lineRule="auto"/>
              <w:jc w:val="both"/>
            </w:pPr>
            <w:r>
              <w:rPr>
                <w:rFonts w:ascii="Times New Roman" w:hAnsi="Times New Roman"/>
                <w:color w:val="262626"/>
                <w:sz w:val="18"/>
              </w:rPr>
              <w:t>Agribank: Tỷ lệ Nợ có vấn đề (Nhóm 2 + Nhóm 3–5) / Dư nợ HN</w:t>
            </w:r>
          </w:p>
        </w:tc>
        <w:tc>
          <w:tcPr>
            <w:tcW w:w="1008" w:type="dxa"/>
            <w:tcMar>
              <w:top w:w="70" w:type="dxa"/>
              <w:left w:w="100" w:type="dxa"/>
              <w:bottom w:w="70" w:type="dxa"/>
              <w:right w:w="100" w:type="dxa"/>
            </w:tcMar>
          </w:tcPr>
          <w:p w14:paraId="5A32CEFA" w14:textId="77777777" w:rsidR="00F67131" w:rsidRDefault="00000000">
            <w:pPr>
              <w:spacing w:before="40" w:after="40" w:line="240" w:lineRule="auto"/>
              <w:jc w:val="both"/>
            </w:pPr>
            <w:r>
              <w:rPr>
                <w:rFonts w:ascii="Times New Roman" w:hAnsi="Times New Roman"/>
                <w:color w:val="262626"/>
                <w:sz w:val="18"/>
              </w:rPr>
              <w:t>4,25%</w:t>
            </w:r>
          </w:p>
        </w:tc>
        <w:tc>
          <w:tcPr>
            <w:tcW w:w="1008" w:type="dxa"/>
            <w:tcMar>
              <w:top w:w="70" w:type="dxa"/>
              <w:left w:w="100" w:type="dxa"/>
              <w:bottom w:w="70" w:type="dxa"/>
              <w:right w:w="100" w:type="dxa"/>
            </w:tcMar>
          </w:tcPr>
          <w:p w14:paraId="6A3B3412" w14:textId="77777777" w:rsidR="00F67131" w:rsidRDefault="00000000">
            <w:pPr>
              <w:spacing w:before="40" w:after="40" w:line="240" w:lineRule="auto"/>
              <w:jc w:val="both"/>
            </w:pPr>
            <w:r>
              <w:rPr>
                <w:rFonts w:ascii="Times New Roman" w:hAnsi="Times New Roman"/>
                <w:color w:val="262626"/>
                <w:sz w:val="18"/>
              </w:rPr>
              <w:t>4,03%</w:t>
            </w:r>
          </w:p>
        </w:tc>
        <w:tc>
          <w:tcPr>
            <w:tcW w:w="1008" w:type="dxa"/>
            <w:tcMar>
              <w:top w:w="70" w:type="dxa"/>
              <w:left w:w="100" w:type="dxa"/>
              <w:bottom w:w="70" w:type="dxa"/>
              <w:right w:w="100" w:type="dxa"/>
            </w:tcMar>
          </w:tcPr>
          <w:p w14:paraId="7C497BEA" w14:textId="77777777" w:rsidR="00F67131" w:rsidRDefault="00000000">
            <w:pPr>
              <w:spacing w:before="40" w:after="40" w:line="240" w:lineRule="auto"/>
              <w:jc w:val="both"/>
            </w:pPr>
            <w:r>
              <w:rPr>
                <w:rFonts w:ascii="Times New Roman" w:hAnsi="Times New Roman"/>
                <w:color w:val="262626"/>
                <w:sz w:val="18"/>
              </w:rPr>
              <w:t>4,25%</w:t>
            </w:r>
          </w:p>
        </w:tc>
        <w:tc>
          <w:tcPr>
            <w:tcW w:w="1008" w:type="dxa"/>
            <w:tcMar>
              <w:top w:w="70" w:type="dxa"/>
              <w:left w:w="100" w:type="dxa"/>
              <w:bottom w:w="70" w:type="dxa"/>
              <w:right w:w="100" w:type="dxa"/>
            </w:tcMar>
          </w:tcPr>
          <w:p w14:paraId="2A23B6FF" w14:textId="77777777" w:rsidR="00F67131" w:rsidRDefault="00000000">
            <w:pPr>
              <w:spacing w:before="40" w:after="40" w:line="240" w:lineRule="auto"/>
              <w:jc w:val="both"/>
            </w:pPr>
            <w:r>
              <w:rPr>
                <w:rFonts w:ascii="Times New Roman" w:hAnsi="Times New Roman"/>
                <w:color w:val="262626"/>
                <w:sz w:val="18"/>
              </w:rPr>
              <w:t>3,93%</w:t>
            </w:r>
          </w:p>
        </w:tc>
        <w:tc>
          <w:tcPr>
            <w:tcW w:w="1008" w:type="dxa"/>
            <w:tcMar>
              <w:top w:w="70" w:type="dxa"/>
              <w:left w:w="100" w:type="dxa"/>
              <w:bottom w:w="70" w:type="dxa"/>
              <w:right w:w="100" w:type="dxa"/>
            </w:tcMar>
          </w:tcPr>
          <w:p w14:paraId="37301932" w14:textId="77777777" w:rsidR="00F67131" w:rsidRDefault="00000000">
            <w:pPr>
              <w:spacing w:before="40" w:after="40" w:line="240" w:lineRule="auto"/>
              <w:jc w:val="both"/>
            </w:pPr>
            <w:r>
              <w:rPr>
                <w:rFonts w:ascii="Times New Roman" w:hAnsi="Times New Roman"/>
                <w:color w:val="262626"/>
                <w:sz w:val="18"/>
              </w:rPr>
              <w:t>3,38%</w:t>
            </w:r>
          </w:p>
        </w:tc>
        <w:tc>
          <w:tcPr>
            <w:tcW w:w="1008" w:type="dxa"/>
            <w:tcMar>
              <w:top w:w="70" w:type="dxa"/>
              <w:left w:w="100" w:type="dxa"/>
              <w:bottom w:w="70" w:type="dxa"/>
              <w:right w:w="100" w:type="dxa"/>
            </w:tcMar>
          </w:tcPr>
          <w:p w14:paraId="4B4374B8" w14:textId="77777777" w:rsidR="00F67131" w:rsidRDefault="00000000">
            <w:pPr>
              <w:spacing w:before="40" w:after="40" w:line="240" w:lineRule="auto"/>
              <w:jc w:val="both"/>
            </w:pPr>
            <w:r>
              <w:rPr>
                <w:rFonts w:ascii="Times New Roman" w:hAnsi="Times New Roman"/>
                <w:color w:val="262626"/>
                <w:sz w:val="18"/>
              </w:rPr>
              <w:t>2,37%</w:t>
            </w:r>
          </w:p>
        </w:tc>
      </w:tr>
      <w:tr w:rsidR="00F67131" w14:paraId="5563AE09" w14:textId="77777777">
        <w:trPr>
          <w:jc w:val="center"/>
          <w:cantSplit/>
        </w:trPr>
        <w:tc>
          <w:tcPr>
            <w:tcW w:w="3456" w:type="dxa"/>
            <w:tcMar>
              <w:top w:w="70" w:type="dxa"/>
              <w:left w:w="100" w:type="dxa"/>
              <w:bottom w:w="70" w:type="dxa"/>
              <w:right w:w="100" w:type="dxa"/>
            </w:tcMar>
          </w:tcPr>
          <w:p w14:paraId="6C527A65" w14:textId="77777777" w:rsidR="00F67131" w:rsidRDefault="00000000">
            <w:pPr>
              <w:spacing w:before="40" w:after="40" w:line="240" w:lineRule="auto"/>
              <w:jc w:val="both"/>
            </w:pPr>
            <w:r>
              <w:rPr>
                <w:rFonts w:ascii="Times New Roman" w:hAnsi="Times New Roman"/>
                <w:color w:val="262626"/>
                <w:sz w:val="18"/>
              </w:rPr>
              <w:t>Agribank: Dư nợ cơ cấu giữ nguyên nhóm nợ công bố (BCTN, tỷ)</w:t>
            </w:r>
          </w:p>
        </w:tc>
        <w:tc>
          <w:tcPr>
            <w:tcW w:w="1008" w:type="dxa"/>
            <w:tcMar>
              <w:top w:w="70" w:type="dxa"/>
              <w:left w:w="100" w:type="dxa"/>
              <w:bottom w:w="70" w:type="dxa"/>
              <w:right w:w="100" w:type="dxa"/>
            </w:tcMar>
          </w:tcPr>
          <w:p w14:paraId="332E6981"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16925A99"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07AA662B" w14:textId="77777777" w:rsidR="00F67131" w:rsidRDefault="00000000">
            <w:pPr>
              <w:spacing w:before="40" w:after="40" w:line="240" w:lineRule="auto"/>
              <w:jc w:val="both"/>
            </w:pPr>
            <w:r>
              <w:rPr>
                <w:rFonts w:ascii="Times New Roman" w:hAnsi="Times New Roman"/>
                <w:color w:val="262626"/>
                <w:sz w:val="18"/>
              </w:rPr>
              <w:t>0</w:t>
            </w:r>
          </w:p>
        </w:tc>
        <w:tc>
          <w:tcPr>
            <w:tcW w:w="1008" w:type="dxa"/>
            <w:tcMar>
              <w:top w:w="70" w:type="dxa"/>
              <w:left w:w="100" w:type="dxa"/>
              <w:bottom w:w="70" w:type="dxa"/>
              <w:right w:w="100" w:type="dxa"/>
            </w:tcMar>
          </w:tcPr>
          <w:p w14:paraId="2F1E3725" w14:textId="77777777" w:rsidR="00F67131" w:rsidRDefault="00000000">
            <w:pPr>
              <w:spacing w:before="40" w:after="40" w:line="240" w:lineRule="auto"/>
              <w:jc w:val="both"/>
            </w:pPr>
            <w:r>
              <w:rPr>
                <w:rFonts w:ascii="Times New Roman" w:hAnsi="Times New Roman"/>
                <w:color w:val="262626"/>
                <w:sz w:val="18"/>
              </w:rPr>
              <w:t>37.876</w:t>
            </w:r>
          </w:p>
        </w:tc>
        <w:tc>
          <w:tcPr>
            <w:tcW w:w="1008" w:type="dxa"/>
            <w:tcMar>
              <w:top w:w="70" w:type="dxa"/>
              <w:left w:w="100" w:type="dxa"/>
              <w:bottom w:w="70" w:type="dxa"/>
              <w:right w:w="100" w:type="dxa"/>
            </w:tcMar>
          </w:tcPr>
          <w:p w14:paraId="353650C5" w14:textId="77777777" w:rsidR="00F67131" w:rsidRDefault="00000000">
            <w:pPr>
              <w:spacing w:before="40" w:after="40" w:line="240" w:lineRule="auto"/>
              <w:jc w:val="both"/>
            </w:pPr>
            <w:r>
              <w:rPr>
                <w:rFonts w:ascii="Times New Roman" w:hAnsi="Times New Roman"/>
                <w:color w:val="262626"/>
                <w:sz w:val="18"/>
              </w:rPr>
              <w:t>0</w:t>
            </w:r>
          </w:p>
        </w:tc>
        <w:tc>
          <w:tcPr>
            <w:tcW w:w="1008" w:type="dxa"/>
            <w:tcMar>
              <w:top w:w="70" w:type="dxa"/>
              <w:left w:w="100" w:type="dxa"/>
              <w:bottom w:w="70" w:type="dxa"/>
              <w:right w:w="100" w:type="dxa"/>
            </w:tcMar>
          </w:tcPr>
          <w:p w14:paraId="7FC57698" w14:textId="77777777" w:rsidR="00F67131" w:rsidRDefault="00000000">
            <w:pPr>
              <w:spacing w:before="40" w:after="40" w:line="240" w:lineRule="auto"/>
              <w:jc w:val="both"/>
            </w:pPr>
            <w:r>
              <w:rPr>
                <w:rFonts w:ascii="Times New Roman" w:hAnsi="Times New Roman"/>
                <w:color w:val="262626"/>
                <w:sz w:val="18"/>
              </w:rPr>
              <w:t>n.a.</w:t>
            </w:r>
          </w:p>
        </w:tc>
      </w:tr>
      <w:tr w:rsidR="00F67131" w14:paraId="52C271A5" w14:textId="77777777">
        <w:trPr>
          <w:jc w:val="center"/>
          <w:cantSplit/>
        </w:trPr>
        <w:tc>
          <w:tcPr>
            <w:tcW w:w="3456" w:type="dxa"/>
            <w:tcMar>
              <w:top w:w="70" w:type="dxa"/>
              <w:left w:w="100" w:type="dxa"/>
              <w:bottom w:w="70" w:type="dxa"/>
              <w:right w:w="100" w:type="dxa"/>
            </w:tcMar>
          </w:tcPr>
          <w:p w14:paraId="6C18832E" w14:textId="77777777" w:rsidR="00F67131" w:rsidRDefault="00000000">
            <w:pPr>
              <w:spacing w:before="40" w:after="40" w:line="240" w:lineRule="auto"/>
              <w:jc w:val="both"/>
            </w:pPr>
            <w:r>
              <w:rPr>
                <w:rFonts w:ascii="Times New Roman" w:hAnsi="Times New Roman"/>
                <w:color w:val="262626"/>
                <w:sz w:val="18"/>
              </w:rPr>
              <w:t>Agribank: NPL điều chỉnh tại các năm có số công bố (%)</w:t>
            </w:r>
          </w:p>
        </w:tc>
        <w:tc>
          <w:tcPr>
            <w:tcW w:w="1008" w:type="dxa"/>
            <w:tcMar>
              <w:top w:w="70" w:type="dxa"/>
              <w:left w:w="100" w:type="dxa"/>
              <w:bottom w:w="70" w:type="dxa"/>
              <w:right w:w="100" w:type="dxa"/>
            </w:tcMar>
          </w:tcPr>
          <w:p w14:paraId="036D7BD8"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1A34B1F6"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729BEF73" w14:textId="77777777" w:rsidR="00F67131" w:rsidRDefault="00000000">
            <w:pPr>
              <w:spacing w:before="40" w:after="40" w:line="240" w:lineRule="auto"/>
              <w:jc w:val="both"/>
            </w:pPr>
            <w:r>
              <w:rPr>
                <w:rFonts w:ascii="Times New Roman" w:hAnsi="Times New Roman"/>
                <w:color w:val="262626"/>
                <w:sz w:val="18"/>
              </w:rPr>
              <w:t>1,80%</w:t>
            </w:r>
          </w:p>
        </w:tc>
        <w:tc>
          <w:tcPr>
            <w:tcW w:w="1008" w:type="dxa"/>
            <w:tcMar>
              <w:top w:w="70" w:type="dxa"/>
              <w:left w:w="100" w:type="dxa"/>
              <w:bottom w:w="70" w:type="dxa"/>
              <w:right w:w="100" w:type="dxa"/>
            </w:tcMar>
          </w:tcPr>
          <w:p w14:paraId="633DFABF" w14:textId="77777777" w:rsidR="00F67131" w:rsidRDefault="00000000">
            <w:pPr>
              <w:spacing w:before="40" w:after="40" w:line="240" w:lineRule="auto"/>
              <w:jc w:val="both"/>
            </w:pPr>
            <w:r>
              <w:rPr>
                <w:rFonts w:ascii="Times New Roman" w:hAnsi="Times New Roman"/>
                <w:color w:val="262626"/>
                <w:sz w:val="18"/>
              </w:rPr>
              <w:t>4,29%</w:t>
            </w:r>
          </w:p>
        </w:tc>
        <w:tc>
          <w:tcPr>
            <w:tcW w:w="1008" w:type="dxa"/>
            <w:tcMar>
              <w:top w:w="70" w:type="dxa"/>
              <w:left w:w="100" w:type="dxa"/>
              <w:bottom w:w="70" w:type="dxa"/>
              <w:right w:w="100" w:type="dxa"/>
            </w:tcMar>
          </w:tcPr>
          <w:p w14:paraId="5BC967D9" w14:textId="77777777" w:rsidR="00F67131" w:rsidRDefault="00000000">
            <w:pPr>
              <w:spacing w:before="40" w:after="40" w:line="240" w:lineRule="auto"/>
              <w:jc w:val="both"/>
            </w:pPr>
            <w:r>
              <w:rPr>
                <w:rFonts w:ascii="Times New Roman" w:hAnsi="Times New Roman"/>
                <w:color w:val="262626"/>
                <w:sz w:val="18"/>
              </w:rPr>
              <w:t>1,68%</w:t>
            </w:r>
          </w:p>
        </w:tc>
        <w:tc>
          <w:tcPr>
            <w:tcW w:w="1008" w:type="dxa"/>
            <w:tcMar>
              <w:top w:w="70" w:type="dxa"/>
              <w:left w:w="100" w:type="dxa"/>
              <w:bottom w:w="70" w:type="dxa"/>
              <w:right w:w="100" w:type="dxa"/>
            </w:tcMar>
          </w:tcPr>
          <w:p w14:paraId="58A1D057" w14:textId="77777777" w:rsidR="00F67131" w:rsidRDefault="00000000">
            <w:pPr>
              <w:spacing w:before="40" w:after="40" w:line="240" w:lineRule="auto"/>
              <w:jc w:val="both"/>
            </w:pPr>
            <w:r>
              <w:rPr>
                <w:rFonts w:ascii="Times New Roman" w:hAnsi="Times New Roman"/>
                <w:color w:val="262626"/>
                <w:sz w:val="18"/>
              </w:rPr>
              <w:t>n.a.</w:t>
            </w:r>
          </w:p>
        </w:tc>
      </w:tr>
      <w:tr w:rsidR="00F67131" w14:paraId="33AA03F9" w14:textId="77777777">
        <w:trPr>
          <w:jc w:val="center"/>
          <w:cantSplit/>
        </w:trPr>
        <w:tc>
          <w:tcPr>
            <w:tcW w:w="3456" w:type="dxa"/>
            <w:tcMar>
              <w:top w:w="70" w:type="dxa"/>
              <w:left w:w="100" w:type="dxa"/>
              <w:bottom w:w="70" w:type="dxa"/>
              <w:right w:w="100" w:type="dxa"/>
            </w:tcMar>
          </w:tcPr>
          <w:p w14:paraId="088EB132" w14:textId="77777777" w:rsidR="00F67131" w:rsidRDefault="00000000">
            <w:pPr>
              <w:spacing w:before="40" w:after="40" w:line="240" w:lineRule="auto"/>
              <w:jc w:val="both"/>
            </w:pPr>
            <w:r>
              <w:rPr>
                <w:rFonts w:ascii="Times New Roman" w:hAnsi="Times New Roman"/>
                <w:color w:val="262626"/>
                <w:sz w:val="18"/>
              </w:rPr>
              <w:t>MB: Nợ nhóm 2 Hợp nhất (TM 10.1/9.1 BCTC)</w:t>
            </w:r>
          </w:p>
        </w:tc>
        <w:tc>
          <w:tcPr>
            <w:tcW w:w="1008" w:type="dxa"/>
            <w:tcMar>
              <w:top w:w="70" w:type="dxa"/>
              <w:left w:w="100" w:type="dxa"/>
              <w:bottom w:w="70" w:type="dxa"/>
              <w:right w:w="100" w:type="dxa"/>
            </w:tcMar>
          </w:tcPr>
          <w:p w14:paraId="65306E01" w14:textId="77777777" w:rsidR="00F67131" w:rsidRDefault="00000000">
            <w:pPr>
              <w:spacing w:before="40" w:after="40" w:line="240" w:lineRule="auto"/>
              <w:jc w:val="both"/>
            </w:pPr>
            <w:r>
              <w:rPr>
                <w:rFonts w:ascii="Times New Roman" w:hAnsi="Times New Roman"/>
                <w:color w:val="262626"/>
                <w:sz w:val="18"/>
              </w:rPr>
              <w:t>2.422</w:t>
            </w:r>
          </w:p>
        </w:tc>
        <w:tc>
          <w:tcPr>
            <w:tcW w:w="1008" w:type="dxa"/>
            <w:tcMar>
              <w:top w:w="70" w:type="dxa"/>
              <w:left w:w="100" w:type="dxa"/>
              <w:bottom w:w="70" w:type="dxa"/>
              <w:right w:w="100" w:type="dxa"/>
            </w:tcMar>
          </w:tcPr>
          <w:p w14:paraId="0DF907F7" w14:textId="77777777" w:rsidR="00F67131" w:rsidRDefault="00000000">
            <w:pPr>
              <w:spacing w:before="40" w:after="40" w:line="240" w:lineRule="auto"/>
              <w:jc w:val="both"/>
            </w:pPr>
            <w:r>
              <w:rPr>
                <w:rFonts w:ascii="Times New Roman" w:hAnsi="Times New Roman"/>
                <w:color w:val="262626"/>
                <w:sz w:val="18"/>
              </w:rPr>
              <w:t>3.913</w:t>
            </w:r>
          </w:p>
        </w:tc>
        <w:tc>
          <w:tcPr>
            <w:tcW w:w="1008" w:type="dxa"/>
            <w:tcMar>
              <w:top w:w="70" w:type="dxa"/>
              <w:left w:w="100" w:type="dxa"/>
              <w:bottom w:w="70" w:type="dxa"/>
              <w:right w:w="100" w:type="dxa"/>
            </w:tcMar>
          </w:tcPr>
          <w:p w14:paraId="25B33BEA" w14:textId="77777777" w:rsidR="00F67131" w:rsidRDefault="00000000">
            <w:pPr>
              <w:spacing w:before="40" w:after="40" w:line="240" w:lineRule="auto"/>
              <w:jc w:val="both"/>
            </w:pPr>
            <w:r>
              <w:rPr>
                <w:rFonts w:ascii="Times New Roman" w:hAnsi="Times New Roman"/>
                <w:color w:val="262626"/>
                <w:sz w:val="18"/>
              </w:rPr>
              <w:t>7.809</w:t>
            </w:r>
          </w:p>
        </w:tc>
        <w:tc>
          <w:tcPr>
            <w:tcW w:w="1008" w:type="dxa"/>
            <w:tcMar>
              <w:top w:w="70" w:type="dxa"/>
              <w:left w:w="100" w:type="dxa"/>
              <w:bottom w:w="70" w:type="dxa"/>
              <w:right w:w="100" w:type="dxa"/>
            </w:tcMar>
          </w:tcPr>
          <w:p w14:paraId="680E47C9" w14:textId="77777777" w:rsidR="00F67131" w:rsidRDefault="00000000">
            <w:pPr>
              <w:spacing w:before="40" w:after="40" w:line="240" w:lineRule="auto"/>
              <w:jc w:val="both"/>
            </w:pPr>
            <w:r>
              <w:rPr>
                <w:rFonts w:ascii="Times New Roman" w:hAnsi="Times New Roman"/>
                <w:color w:val="262626"/>
                <w:sz w:val="18"/>
              </w:rPr>
              <w:t>13.918</w:t>
            </w:r>
          </w:p>
        </w:tc>
        <w:tc>
          <w:tcPr>
            <w:tcW w:w="1008" w:type="dxa"/>
            <w:tcMar>
              <w:top w:w="70" w:type="dxa"/>
              <w:left w:w="100" w:type="dxa"/>
              <w:bottom w:w="70" w:type="dxa"/>
              <w:right w:w="100" w:type="dxa"/>
            </w:tcMar>
          </w:tcPr>
          <w:p w14:paraId="06E4EAAD" w14:textId="77777777" w:rsidR="00F67131" w:rsidRDefault="00000000">
            <w:pPr>
              <w:spacing w:before="40" w:after="40" w:line="240" w:lineRule="auto"/>
              <w:jc w:val="both"/>
            </w:pPr>
            <w:r>
              <w:rPr>
                <w:rFonts w:ascii="Times New Roman" w:hAnsi="Times New Roman"/>
                <w:color w:val="262626"/>
                <w:sz w:val="18"/>
              </w:rPr>
              <w:t>12.197</w:t>
            </w:r>
          </w:p>
        </w:tc>
        <w:tc>
          <w:tcPr>
            <w:tcW w:w="1008" w:type="dxa"/>
            <w:tcMar>
              <w:top w:w="70" w:type="dxa"/>
              <w:left w:w="100" w:type="dxa"/>
              <w:bottom w:w="70" w:type="dxa"/>
              <w:right w:w="100" w:type="dxa"/>
            </w:tcMar>
          </w:tcPr>
          <w:p w14:paraId="170B9D9B" w14:textId="77777777" w:rsidR="00F67131" w:rsidRDefault="00000000">
            <w:pPr>
              <w:spacing w:before="40" w:after="40" w:line="240" w:lineRule="auto"/>
              <w:jc w:val="both"/>
            </w:pPr>
            <w:r>
              <w:rPr>
                <w:rFonts w:ascii="Times New Roman" w:hAnsi="Times New Roman"/>
                <w:color w:val="262626"/>
                <w:sz w:val="18"/>
              </w:rPr>
              <w:t>10.210</w:t>
            </w:r>
          </w:p>
        </w:tc>
      </w:tr>
      <w:tr w:rsidR="00F67131" w14:paraId="36E78D41" w14:textId="77777777">
        <w:trPr>
          <w:jc w:val="center"/>
          <w:cantSplit/>
        </w:trPr>
        <w:tc>
          <w:tcPr>
            <w:tcW w:w="3456" w:type="dxa"/>
            <w:tcMar>
              <w:top w:w="70" w:type="dxa"/>
              <w:left w:w="100" w:type="dxa"/>
              <w:bottom w:w="70" w:type="dxa"/>
              <w:right w:w="100" w:type="dxa"/>
            </w:tcMar>
          </w:tcPr>
          <w:p w14:paraId="1C6737EF" w14:textId="77777777" w:rsidR="00F67131" w:rsidRDefault="00000000">
            <w:pPr>
              <w:spacing w:before="40" w:after="40" w:line="240" w:lineRule="auto"/>
              <w:jc w:val="both"/>
            </w:pPr>
            <w:r>
              <w:rPr>
                <w:rFonts w:ascii="Times New Roman" w:hAnsi="Times New Roman"/>
                <w:color w:val="262626"/>
                <w:sz w:val="18"/>
              </w:rPr>
              <w:t>MB: Tỷ lệ nợ nhóm 2 / Dư nợ Hợp nhất (%)</w:t>
            </w:r>
          </w:p>
        </w:tc>
        <w:tc>
          <w:tcPr>
            <w:tcW w:w="1008" w:type="dxa"/>
            <w:tcMar>
              <w:top w:w="70" w:type="dxa"/>
              <w:left w:w="100" w:type="dxa"/>
              <w:bottom w:w="70" w:type="dxa"/>
              <w:right w:w="100" w:type="dxa"/>
            </w:tcMar>
          </w:tcPr>
          <w:p w14:paraId="3ED98273" w14:textId="77777777" w:rsidR="00F67131" w:rsidRDefault="00000000">
            <w:pPr>
              <w:spacing w:before="40" w:after="40" w:line="240" w:lineRule="auto"/>
              <w:jc w:val="both"/>
            </w:pPr>
            <w:r>
              <w:rPr>
                <w:rFonts w:ascii="Times New Roman" w:hAnsi="Times New Roman"/>
                <w:color w:val="262626"/>
                <w:sz w:val="18"/>
              </w:rPr>
              <w:t>0,81%</w:t>
            </w:r>
          </w:p>
        </w:tc>
        <w:tc>
          <w:tcPr>
            <w:tcW w:w="1008" w:type="dxa"/>
            <w:tcMar>
              <w:top w:w="70" w:type="dxa"/>
              <w:left w:w="100" w:type="dxa"/>
              <w:bottom w:w="70" w:type="dxa"/>
              <w:right w:w="100" w:type="dxa"/>
            </w:tcMar>
          </w:tcPr>
          <w:p w14:paraId="396E3937" w14:textId="77777777" w:rsidR="00F67131" w:rsidRDefault="00000000">
            <w:pPr>
              <w:spacing w:before="40" w:after="40" w:line="240" w:lineRule="auto"/>
              <w:jc w:val="both"/>
            </w:pPr>
            <w:r>
              <w:rPr>
                <w:rFonts w:ascii="Times New Roman" w:hAnsi="Times New Roman"/>
                <w:color w:val="262626"/>
                <w:sz w:val="18"/>
              </w:rPr>
              <w:t>1,08%</w:t>
            </w:r>
          </w:p>
        </w:tc>
        <w:tc>
          <w:tcPr>
            <w:tcW w:w="1008" w:type="dxa"/>
            <w:tcMar>
              <w:top w:w="70" w:type="dxa"/>
              <w:left w:w="100" w:type="dxa"/>
              <w:bottom w:w="70" w:type="dxa"/>
              <w:right w:w="100" w:type="dxa"/>
            </w:tcMar>
          </w:tcPr>
          <w:p w14:paraId="5495B8BD" w14:textId="77777777" w:rsidR="00F67131" w:rsidRDefault="00000000">
            <w:pPr>
              <w:spacing w:before="40" w:after="40" w:line="240" w:lineRule="auto"/>
              <w:jc w:val="both"/>
            </w:pPr>
            <w:r>
              <w:rPr>
                <w:rFonts w:ascii="Times New Roman" w:hAnsi="Times New Roman"/>
                <w:color w:val="262626"/>
                <w:sz w:val="18"/>
              </w:rPr>
              <w:t>1,70%</w:t>
            </w:r>
          </w:p>
        </w:tc>
        <w:tc>
          <w:tcPr>
            <w:tcW w:w="1008" w:type="dxa"/>
            <w:tcMar>
              <w:top w:w="70" w:type="dxa"/>
              <w:left w:w="100" w:type="dxa"/>
              <w:bottom w:w="70" w:type="dxa"/>
              <w:right w:w="100" w:type="dxa"/>
            </w:tcMar>
          </w:tcPr>
          <w:p w14:paraId="0EDD08A0" w14:textId="77777777" w:rsidR="00F67131" w:rsidRDefault="00000000">
            <w:pPr>
              <w:spacing w:before="40" w:after="40" w:line="240" w:lineRule="auto"/>
              <w:jc w:val="both"/>
            </w:pPr>
            <w:r>
              <w:rPr>
                <w:rFonts w:ascii="Times New Roman" w:hAnsi="Times New Roman"/>
                <w:color w:val="262626"/>
                <w:sz w:val="18"/>
              </w:rPr>
              <w:t>2,28%</w:t>
            </w:r>
          </w:p>
        </w:tc>
        <w:tc>
          <w:tcPr>
            <w:tcW w:w="1008" w:type="dxa"/>
            <w:tcMar>
              <w:top w:w="70" w:type="dxa"/>
              <w:left w:w="100" w:type="dxa"/>
              <w:bottom w:w="70" w:type="dxa"/>
              <w:right w:w="100" w:type="dxa"/>
            </w:tcMar>
          </w:tcPr>
          <w:p w14:paraId="50A08D0F" w14:textId="77777777" w:rsidR="00F67131" w:rsidRDefault="00000000">
            <w:pPr>
              <w:spacing w:before="40" w:after="40" w:line="240" w:lineRule="auto"/>
              <w:jc w:val="both"/>
            </w:pPr>
            <w:r>
              <w:rPr>
                <w:rFonts w:ascii="Times New Roman" w:hAnsi="Times New Roman"/>
                <w:color w:val="262626"/>
                <w:sz w:val="18"/>
              </w:rPr>
              <w:t>1,57%</w:t>
            </w:r>
          </w:p>
        </w:tc>
        <w:tc>
          <w:tcPr>
            <w:tcW w:w="1008" w:type="dxa"/>
            <w:tcMar>
              <w:top w:w="70" w:type="dxa"/>
              <w:left w:w="100" w:type="dxa"/>
              <w:bottom w:w="70" w:type="dxa"/>
              <w:right w:w="100" w:type="dxa"/>
            </w:tcMar>
          </w:tcPr>
          <w:p w14:paraId="3A50555C" w14:textId="77777777" w:rsidR="00F67131" w:rsidRDefault="00000000">
            <w:pPr>
              <w:spacing w:before="40" w:after="40" w:line="240" w:lineRule="auto"/>
              <w:jc w:val="both"/>
            </w:pPr>
            <w:r>
              <w:rPr>
                <w:rFonts w:ascii="Times New Roman" w:hAnsi="Times New Roman"/>
                <w:color w:val="262626"/>
                <w:sz w:val="18"/>
              </w:rPr>
              <w:t>0,94%</w:t>
            </w:r>
          </w:p>
        </w:tc>
      </w:tr>
      <w:tr w:rsidR="00F67131" w14:paraId="19803507" w14:textId="77777777">
        <w:trPr>
          <w:jc w:val="center"/>
          <w:cantSplit/>
        </w:trPr>
        <w:tc>
          <w:tcPr>
            <w:tcW w:w="3456" w:type="dxa"/>
            <w:tcMar>
              <w:top w:w="70" w:type="dxa"/>
              <w:left w:w="100" w:type="dxa"/>
              <w:bottom w:w="70" w:type="dxa"/>
              <w:right w:w="100" w:type="dxa"/>
            </w:tcMar>
          </w:tcPr>
          <w:p w14:paraId="6C22C07D" w14:textId="77777777" w:rsidR="00F67131" w:rsidRDefault="00000000">
            <w:pPr>
              <w:spacing w:before="40" w:after="40" w:line="240" w:lineRule="auto"/>
              <w:jc w:val="both"/>
            </w:pPr>
            <w:r>
              <w:rPr>
                <w:rFonts w:ascii="Times New Roman" w:hAnsi="Times New Roman"/>
                <w:color w:val="262626"/>
                <w:sz w:val="18"/>
              </w:rPr>
              <w:t>MB: Tỷ lệ Nợ có vấn đề (Nhóm 2 + Nhóm 3–5) / Dư nợ HN</w:t>
            </w:r>
          </w:p>
        </w:tc>
        <w:tc>
          <w:tcPr>
            <w:tcW w:w="1008" w:type="dxa"/>
            <w:tcMar>
              <w:top w:w="70" w:type="dxa"/>
              <w:left w:w="100" w:type="dxa"/>
              <w:bottom w:w="70" w:type="dxa"/>
              <w:right w:w="100" w:type="dxa"/>
            </w:tcMar>
          </w:tcPr>
          <w:p w14:paraId="0C3F7F5D" w14:textId="77777777" w:rsidR="00F67131" w:rsidRDefault="00000000">
            <w:pPr>
              <w:spacing w:before="40" w:after="40" w:line="240" w:lineRule="auto"/>
              <w:jc w:val="both"/>
            </w:pPr>
            <w:r>
              <w:rPr>
                <w:rFonts w:ascii="Times New Roman" w:hAnsi="Times New Roman"/>
                <w:color w:val="262626"/>
                <w:sz w:val="18"/>
              </w:rPr>
              <w:t>1,90%</w:t>
            </w:r>
          </w:p>
        </w:tc>
        <w:tc>
          <w:tcPr>
            <w:tcW w:w="1008" w:type="dxa"/>
            <w:tcMar>
              <w:top w:w="70" w:type="dxa"/>
              <w:left w:w="100" w:type="dxa"/>
              <w:bottom w:w="70" w:type="dxa"/>
              <w:right w:w="100" w:type="dxa"/>
            </w:tcMar>
          </w:tcPr>
          <w:p w14:paraId="7B05C150" w14:textId="77777777" w:rsidR="00F67131" w:rsidRDefault="00000000">
            <w:pPr>
              <w:spacing w:before="40" w:after="40" w:line="240" w:lineRule="auto"/>
              <w:jc w:val="both"/>
            </w:pPr>
            <w:r>
              <w:rPr>
                <w:rFonts w:ascii="Times New Roman" w:hAnsi="Times New Roman"/>
                <w:color w:val="262626"/>
                <w:sz w:val="18"/>
              </w:rPr>
              <w:t>1,98%</w:t>
            </w:r>
          </w:p>
        </w:tc>
        <w:tc>
          <w:tcPr>
            <w:tcW w:w="1008" w:type="dxa"/>
            <w:tcMar>
              <w:top w:w="70" w:type="dxa"/>
              <w:left w:w="100" w:type="dxa"/>
              <w:bottom w:w="70" w:type="dxa"/>
              <w:right w:w="100" w:type="dxa"/>
            </w:tcMar>
          </w:tcPr>
          <w:p w14:paraId="26D6128D" w14:textId="77777777" w:rsidR="00F67131" w:rsidRDefault="00000000">
            <w:pPr>
              <w:spacing w:before="40" w:after="40" w:line="240" w:lineRule="auto"/>
              <w:jc w:val="both"/>
            </w:pPr>
            <w:r>
              <w:rPr>
                <w:rFonts w:ascii="Times New Roman" w:hAnsi="Times New Roman"/>
                <w:color w:val="262626"/>
                <w:sz w:val="18"/>
              </w:rPr>
              <w:t>2,79%</w:t>
            </w:r>
          </w:p>
        </w:tc>
        <w:tc>
          <w:tcPr>
            <w:tcW w:w="1008" w:type="dxa"/>
            <w:tcMar>
              <w:top w:w="70" w:type="dxa"/>
              <w:left w:w="100" w:type="dxa"/>
              <w:bottom w:w="70" w:type="dxa"/>
              <w:right w:w="100" w:type="dxa"/>
            </w:tcMar>
          </w:tcPr>
          <w:p w14:paraId="7D9261B1" w14:textId="77777777" w:rsidR="00F67131" w:rsidRDefault="00000000">
            <w:pPr>
              <w:spacing w:before="40" w:after="40" w:line="240" w:lineRule="auto"/>
              <w:jc w:val="both"/>
            </w:pPr>
            <w:r>
              <w:rPr>
                <w:rFonts w:ascii="Times New Roman" w:hAnsi="Times New Roman"/>
                <w:color w:val="262626"/>
                <w:sz w:val="18"/>
              </w:rPr>
              <w:t>3,88%</w:t>
            </w:r>
          </w:p>
        </w:tc>
        <w:tc>
          <w:tcPr>
            <w:tcW w:w="1008" w:type="dxa"/>
            <w:tcMar>
              <w:top w:w="70" w:type="dxa"/>
              <w:left w:w="100" w:type="dxa"/>
              <w:bottom w:w="70" w:type="dxa"/>
              <w:right w:w="100" w:type="dxa"/>
            </w:tcMar>
          </w:tcPr>
          <w:p w14:paraId="73BAC586" w14:textId="77777777" w:rsidR="00F67131" w:rsidRDefault="00000000">
            <w:pPr>
              <w:spacing w:before="40" w:after="40" w:line="240" w:lineRule="auto"/>
              <w:jc w:val="both"/>
            </w:pPr>
            <w:r>
              <w:rPr>
                <w:rFonts w:ascii="Times New Roman" w:hAnsi="Times New Roman"/>
                <w:color w:val="262626"/>
                <w:sz w:val="18"/>
              </w:rPr>
              <w:t>3,19%</w:t>
            </w:r>
          </w:p>
        </w:tc>
        <w:tc>
          <w:tcPr>
            <w:tcW w:w="1008" w:type="dxa"/>
            <w:tcMar>
              <w:top w:w="70" w:type="dxa"/>
              <w:left w:w="100" w:type="dxa"/>
              <w:bottom w:w="70" w:type="dxa"/>
              <w:right w:w="100" w:type="dxa"/>
            </w:tcMar>
          </w:tcPr>
          <w:p w14:paraId="5F389A31" w14:textId="77777777" w:rsidR="00F67131" w:rsidRDefault="00000000">
            <w:pPr>
              <w:spacing w:before="40" w:after="40" w:line="240" w:lineRule="auto"/>
              <w:jc w:val="both"/>
            </w:pPr>
            <w:r>
              <w:rPr>
                <w:rFonts w:ascii="Times New Roman" w:hAnsi="Times New Roman"/>
                <w:color w:val="262626"/>
                <w:sz w:val="18"/>
              </w:rPr>
              <w:t>2,24%</w:t>
            </w:r>
          </w:p>
        </w:tc>
      </w:tr>
      <w:tr w:rsidR="00F67131" w14:paraId="6D341FDD" w14:textId="77777777">
        <w:trPr>
          <w:jc w:val="center"/>
          <w:cantSplit/>
        </w:trPr>
        <w:tc>
          <w:tcPr>
            <w:tcW w:w="3456" w:type="dxa"/>
            <w:tcMar>
              <w:top w:w="70" w:type="dxa"/>
              <w:left w:w="100" w:type="dxa"/>
              <w:bottom w:w="70" w:type="dxa"/>
              <w:right w:w="100" w:type="dxa"/>
            </w:tcMar>
          </w:tcPr>
          <w:p w14:paraId="667EFE3F" w14:textId="77777777" w:rsidR="00F67131" w:rsidRDefault="00000000">
            <w:pPr>
              <w:spacing w:before="40" w:after="40" w:line="240" w:lineRule="auto"/>
              <w:jc w:val="both"/>
            </w:pPr>
            <w:r>
              <w:rPr>
                <w:rFonts w:ascii="Times New Roman" w:hAnsi="Times New Roman"/>
                <w:color w:val="262626"/>
                <w:sz w:val="18"/>
              </w:rPr>
              <w:lastRenderedPageBreak/>
              <w:t>MB: Dư nợ cơ cấu công bố (tỷ) &amp; NPL điều chỉnh (%)</w:t>
            </w:r>
          </w:p>
        </w:tc>
        <w:tc>
          <w:tcPr>
            <w:tcW w:w="1008" w:type="dxa"/>
            <w:tcMar>
              <w:top w:w="70" w:type="dxa"/>
              <w:left w:w="100" w:type="dxa"/>
              <w:bottom w:w="70" w:type="dxa"/>
              <w:right w:w="100" w:type="dxa"/>
            </w:tcMar>
          </w:tcPr>
          <w:p w14:paraId="30EC9346"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7EDABCD7" w14:textId="77777777" w:rsidR="00F67131" w:rsidRDefault="00000000">
            <w:pPr>
              <w:spacing w:before="40" w:after="40" w:line="240" w:lineRule="auto"/>
              <w:jc w:val="both"/>
            </w:pPr>
            <w:r>
              <w:rPr>
                <w:rFonts w:ascii="Times New Roman" w:hAnsi="Times New Roman"/>
                <w:color w:val="262626"/>
                <w:sz w:val="18"/>
              </w:rPr>
              <w:t>612 (1,07%)</w:t>
            </w:r>
          </w:p>
        </w:tc>
        <w:tc>
          <w:tcPr>
            <w:tcW w:w="1008" w:type="dxa"/>
            <w:tcMar>
              <w:top w:w="70" w:type="dxa"/>
              <w:left w:w="100" w:type="dxa"/>
              <w:bottom w:w="70" w:type="dxa"/>
              <w:right w:w="100" w:type="dxa"/>
            </w:tcMar>
          </w:tcPr>
          <w:p w14:paraId="288B9132" w14:textId="77777777" w:rsidR="00F67131" w:rsidRDefault="00000000">
            <w:pPr>
              <w:spacing w:before="40" w:after="40" w:line="240" w:lineRule="auto"/>
              <w:jc w:val="both"/>
            </w:pPr>
            <w:r>
              <w:rPr>
                <w:rFonts w:ascii="Times New Roman" w:hAnsi="Times New Roman"/>
                <w:color w:val="262626"/>
                <w:sz w:val="18"/>
              </w:rPr>
              <w:t>0 (1,09%)</w:t>
            </w:r>
          </w:p>
        </w:tc>
        <w:tc>
          <w:tcPr>
            <w:tcW w:w="1008" w:type="dxa"/>
            <w:tcMar>
              <w:top w:w="70" w:type="dxa"/>
              <w:left w:w="100" w:type="dxa"/>
              <w:bottom w:w="70" w:type="dxa"/>
              <w:right w:w="100" w:type="dxa"/>
            </w:tcMar>
          </w:tcPr>
          <w:p w14:paraId="0D4E0635"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0550C6F8" w14:textId="77777777" w:rsidR="00F67131" w:rsidRDefault="00000000">
            <w:pPr>
              <w:spacing w:before="40" w:after="40" w:line="240" w:lineRule="auto"/>
              <w:jc w:val="both"/>
            </w:pPr>
            <w:r>
              <w:rPr>
                <w:rFonts w:ascii="Times New Roman" w:hAnsi="Times New Roman"/>
                <w:color w:val="262626"/>
                <w:sz w:val="18"/>
              </w:rPr>
              <w:t>0 (1,62%)</w:t>
            </w:r>
          </w:p>
        </w:tc>
        <w:tc>
          <w:tcPr>
            <w:tcW w:w="1008" w:type="dxa"/>
            <w:tcMar>
              <w:top w:w="70" w:type="dxa"/>
              <w:left w:w="100" w:type="dxa"/>
              <w:bottom w:w="70" w:type="dxa"/>
              <w:right w:w="100" w:type="dxa"/>
            </w:tcMar>
          </w:tcPr>
          <w:p w14:paraId="06EDD5EA" w14:textId="77777777" w:rsidR="00F67131" w:rsidRDefault="00000000">
            <w:pPr>
              <w:spacing w:before="40" w:after="40" w:line="240" w:lineRule="auto"/>
              <w:jc w:val="both"/>
            </w:pPr>
            <w:r>
              <w:rPr>
                <w:rFonts w:ascii="Times New Roman" w:hAnsi="Times New Roman"/>
                <w:color w:val="262626"/>
                <w:sz w:val="18"/>
              </w:rPr>
              <w:t>0 (1,29%)</w:t>
            </w:r>
          </w:p>
        </w:tc>
      </w:tr>
    </w:tbl>
    <w:p w14:paraId="03B7416C"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Trích xuất từ Thuyết minh phân tích chất lượng nợ cho vay (TM 9/10 Agribank; TM 10.1/9.1 MB) và Báo cáo thường niên 2021 (tr.41 MB), 2023 (tr.39 Agribank). Các năm không thuyết minh số dư nợ cơ cấu tuyệt đối trên BCTC được ghi nhận là 'n.a.'.</w:t>
      </w:r>
    </w:p>
    <w:p w14:paraId="28558183" w14:textId="77777777" w:rsidR="00F67131" w:rsidRDefault="00000000">
      <w:pPr>
        <w:spacing w:after="80" w:line="300" w:lineRule="auto"/>
        <w:jc w:val="both"/>
      </w:pPr>
      <w:r>
        <w:rPr>
          <w:rFonts w:ascii="Times New Roman" w:hAnsi="Times New Roman"/>
          <w:b/>
        </w:rPr>
        <w:t xml:space="preserve">So sánh Nợ nhóm 2, Tỷ lệ nợ có vấn đề (Nhóm 2–5) và Nợ cơ cấu có kiểm chứng: </w:t>
      </w:r>
      <w:r>
        <w:rPr>
          <w:rFonts w:ascii="Times New Roman" w:hAnsi="Times New Roman"/>
        </w:rPr>
        <w:t>Nợ nhóm 2 (nợ cần chú ý) là chỉ báo cảnh báo sớm quan trọng về sự suy giảm dòng tiền trả nợ của khách hàng. Khi đặt cả hai ngân hàng lên cùng một thước đo chuẩn hóa là Tỷ lệ Nợ có vấn đề (tổng nợ nhóm 2 và nợ xấu nhóm 3–5 chia cho dư nợ cho vay hợp nhất – tương ứng dòng 16 và dòng 28 trên sheet Chi_tieu), bức tranh hội tụ rủi ro trong giai đoạn khủng hoảng 2022–2023 hiện lên rất rõ nét: tại Agribank, nợ nhóm 2 đạt đỉnh tuyệt đối 35.280 tỷ đồng năm 2022 (2,44% dư nợ; tỷ lệ cao nhất của giai đoạn là 2,48% năm 2020) và Tỷ lệ nợ có vấn đề duy trì quanh mức 4,25% (2020 và 2022), trước khi giảm dần về 3,93% (2023), 3,38% (2024) và 2,37% (2025). Ngược lại, tại MB, tỷ lệ nợ nhóm 2 hợp nhất tăng vọt từ 0,81% (2020) lên đỉnh 2,28% năm 2023 (13.918 tỷ đồng, cao hơn mức 2,08% của Agribank), đẩy Tỷ lệ nợ có vấn đề của MB từ 1,90% (2020) lên tới 3,88% năm 2023 – tiệm cận sát mức 3,93% của Agribank – trước khi hạ về 3,19% (2024) và 2,24% (2025). Đối với dư nợ cơ cấu lại thời hạn trả nợ và giữ nguyên nhóm nợ, để đảm bảo tính nghiêm ngặt học thuật, nghiên cứu chỉ đưa vào tính toán định lượng các con số tuyệt đối được công bố chính thức tại Báo cáo thường niên và BCTC kiểm toán: (i) Tại Agribank, Báo cáo thường niên 2023 (trang 39) xác nhận dư nợ cơ cấu theo Thông tư 02/2023/TT-NHNN đến 31/12/2023 là 37.876 tỷ đồng (với 4.249 khách hàng), qua đó đẩy tỷ lệ NPL điều chỉnh cận trên của Agribank năm 2023 từ 1,85% lên 4,29%; đến cuối năm 2024, Thông tư 02 hết hiệu lực và Agribank đã trích đủ 100% dự phòng theo quy định, trong khi số dư cơ cấu theo Thông tư 01/03/14 (giai đoạn 2020–2021) và Thông tư 53/2024 (bão Yagi năm 2025) không được thuyết minh số tuyệt đối trên BCTC nên được ký hiệu là 'n.a.'; (ii) Tại MB, Báo cáo thường niên 2021 (trang 41) công bố số dư nợ cơ cấu Covid cuối năm 2021 còn 612 tỷ đồng (đã trích đủ 100% dự phòng), tương ứng NPL điều chỉnh năm 2021 là 1,07%. Một đặc điểm cấu trúc cốt lõi của Agribank là nợ nhóm 5 (nợ có khả năng mất vốn) luôn chiếm từ 67,0% đến 79,0% tổng nợ xấu (năm 2025: 20.220 / 25.610 tỷ đồng, tương đương 79,0% theo Thuyết minh 9 BCTC hợp nhất 2025). Nguyên nhân là tài sản bảo đảm của Agribank chủ yếu là đất nông nghiệp và đất ở nông thôn có tính thanh khoản thứ cấp thấp, thủ tục khởi kiện và thi hành án kéo dài nhiều năm, đặc biệt trong giai đoạn khoảng trống pháp lý từ khi Nghị quyết 42 hết hiệu lực (31/12/2023) đến trước khi Luật số 96/2025/QH15 có hiệu lực (15/10/2025).</w:t>
      </w:r>
    </w:p>
    <w:p w14:paraId="735637AF" w14:textId="77777777" w:rsidR="00F67131" w:rsidRDefault="00000000">
      <w:pPr>
        <w:pStyle w:val="Heading2"/>
        <w:spacing w:after="80" w:line="300" w:lineRule="auto"/>
      </w:pPr>
      <w:bookmarkStart w:id="15" w:name="_Toc244090115"/>
      <w:r>
        <w:rPr>
          <w:rFonts w:ascii="Times New Roman" w:hAnsi="Times New Roman"/>
          <w:color w:val="0F4C81"/>
          <w:sz w:val="24"/>
        </w:rPr>
        <w:t>4.4. Đo lường hiệu quả tài chính điều chỉnh theo rủi ro (RORAC)</w:t>
      </w:r>
      <w:bookmarkEnd w:id="15"/>
    </w:p>
    <w:p w14:paraId="4DA31E26" w14:textId="77777777" w:rsidR="00F67131" w:rsidRDefault="00000000">
      <w:pPr>
        <w:spacing w:before="120" w:after="60" w:line="300" w:lineRule="auto"/>
      </w:pPr>
      <w:r>
        <w:rPr>
          <w:rFonts w:ascii="Times New Roman" w:hAnsi="Times New Roman"/>
          <w:b/>
          <w:color w:val="1B365D"/>
          <w:sz w:val="20"/>
        </w:rPr>
        <w:t>Bảng 8. Tỷ suất lợi nhuận trên vốn rủi ro ước tính (RORAC proxy) giai đoạn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08"/>
        <w:gridCol w:w="989"/>
        <w:gridCol w:w="995"/>
        <w:gridCol w:w="995"/>
        <w:gridCol w:w="995"/>
        <w:gridCol w:w="995"/>
        <w:gridCol w:w="995"/>
      </w:tblGrid>
      <w:tr w:rsidR="00F67131" w14:paraId="7FF1C338" w14:textId="77777777">
        <w:trPr>
          <w:jc w:val="center"/>
          <w:cantSplit/>
          <w:tblHeader/>
        </w:trPr>
        <w:tc>
          <w:tcPr>
            <w:tcW w:w="3456" w:type="dxa"/>
            <w:shd w:val="clear" w:color="auto" w:fill="1B365D"/>
            <w:tcMar>
              <w:top w:w="70" w:type="dxa"/>
              <w:left w:w="100" w:type="dxa"/>
              <w:bottom w:w="70" w:type="dxa"/>
              <w:right w:w="100" w:type="dxa"/>
            </w:tcMar>
          </w:tcPr>
          <w:p w14:paraId="05C86F1A" w14:textId="77777777" w:rsidR="00F67131" w:rsidRDefault="00000000">
            <w:pPr>
              <w:spacing w:before="40" w:after="40" w:line="240" w:lineRule="auto"/>
              <w:jc w:val="both"/>
            </w:pPr>
            <w:r>
              <w:rPr>
                <w:rFonts w:ascii="Times New Roman" w:hAnsi="Times New Roman"/>
                <w:b/>
                <w:color w:val="FFFFFF"/>
                <w:sz w:val="19"/>
              </w:rPr>
              <w:t>Chỉ tiêu RORAC proxy (Tỷ đồng, %)</w:t>
            </w:r>
          </w:p>
        </w:tc>
        <w:tc>
          <w:tcPr>
            <w:tcW w:w="1008" w:type="dxa"/>
            <w:shd w:val="clear" w:color="auto" w:fill="1B365D"/>
            <w:tcMar>
              <w:top w:w="70" w:type="dxa"/>
              <w:left w:w="100" w:type="dxa"/>
              <w:bottom w:w="70" w:type="dxa"/>
              <w:right w:w="100" w:type="dxa"/>
            </w:tcMar>
          </w:tcPr>
          <w:p w14:paraId="755ADD02" w14:textId="77777777" w:rsidR="00F67131" w:rsidRDefault="00000000">
            <w:pPr>
              <w:spacing w:before="40" w:after="40" w:line="240" w:lineRule="auto"/>
              <w:jc w:val="both"/>
            </w:pPr>
            <w:r>
              <w:rPr>
                <w:rFonts w:ascii="Times New Roman" w:hAnsi="Times New Roman"/>
                <w:b/>
                <w:color w:val="FFFFFF"/>
                <w:sz w:val="19"/>
              </w:rPr>
              <w:t>2020</w:t>
            </w:r>
          </w:p>
        </w:tc>
        <w:tc>
          <w:tcPr>
            <w:tcW w:w="1008" w:type="dxa"/>
            <w:shd w:val="clear" w:color="auto" w:fill="1B365D"/>
            <w:tcMar>
              <w:top w:w="70" w:type="dxa"/>
              <w:left w:w="100" w:type="dxa"/>
              <w:bottom w:w="70" w:type="dxa"/>
              <w:right w:w="100" w:type="dxa"/>
            </w:tcMar>
          </w:tcPr>
          <w:p w14:paraId="39DD8825" w14:textId="77777777" w:rsidR="00F67131" w:rsidRDefault="00000000">
            <w:pPr>
              <w:spacing w:before="40" w:after="40" w:line="240" w:lineRule="auto"/>
              <w:jc w:val="both"/>
            </w:pPr>
            <w:r>
              <w:rPr>
                <w:rFonts w:ascii="Times New Roman" w:hAnsi="Times New Roman"/>
                <w:b/>
                <w:color w:val="FFFFFF"/>
                <w:sz w:val="19"/>
              </w:rPr>
              <w:t>2021</w:t>
            </w:r>
          </w:p>
        </w:tc>
        <w:tc>
          <w:tcPr>
            <w:tcW w:w="1008" w:type="dxa"/>
            <w:shd w:val="clear" w:color="auto" w:fill="1B365D"/>
            <w:tcMar>
              <w:top w:w="70" w:type="dxa"/>
              <w:left w:w="100" w:type="dxa"/>
              <w:bottom w:w="70" w:type="dxa"/>
              <w:right w:w="100" w:type="dxa"/>
            </w:tcMar>
          </w:tcPr>
          <w:p w14:paraId="02BCB502" w14:textId="77777777" w:rsidR="00F67131" w:rsidRDefault="00000000">
            <w:pPr>
              <w:spacing w:before="40" w:after="40" w:line="240" w:lineRule="auto"/>
              <w:jc w:val="both"/>
            </w:pPr>
            <w:r>
              <w:rPr>
                <w:rFonts w:ascii="Times New Roman" w:hAnsi="Times New Roman"/>
                <w:b/>
                <w:color w:val="FFFFFF"/>
                <w:sz w:val="19"/>
              </w:rPr>
              <w:t>2022</w:t>
            </w:r>
          </w:p>
        </w:tc>
        <w:tc>
          <w:tcPr>
            <w:tcW w:w="1008" w:type="dxa"/>
            <w:shd w:val="clear" w:color="auto" w:fill="1B365D"/>
            <w:tcMar>
              <w:top w:w="70" w:type="dxa"/>
              <w:left w:w="100" w:type="dxa"/>
              <w:bottom w:w="70" w:type="dxa"/>
              <w:right w:w="100" w:type="dxa"/>
            </w:tcMar>
          </w:tcPr>
          <w:p w14:paraId="1C78BEBB" w14:textId="77777777" w:rsidR="00F67131" w:rsidRDefault="00000000">
            <w:pPr>
              <w:spacing w:before="40" w:after="40" w:line="240" w:lineRule="auto"/>
              <w:jc w:val="both"/>
            </w:pPr>
            <w:r>
              <w:rPr>
                <w:rFonts w:ascii="Times New Roman" w:hAnsi="Times New Roman"/>
                <w:b/>
                <w:color w:val="FFFFFF"/>
                <w:sz w:val="19"/>
              </w:rPr>
              <w:t>2023</w:t>
            </w:r>
          </w:p>
        </w:tc>
        <w:tc>
          <w:tcPr>
            <w:tcW w:w="1008" w:type="dxa"/>
            <w:shd w:val="clear" w:color="auto" w:fill="1B365D"/>
            <w:tcMar>
              <w:top w:w="70" w:type="dxa"/>
              <w:left w:w="100" w:type="dxa"/>
              <w:bottom w:w="70" w:type="dxa"/>
              <w:right w:w="100" w:type="dxa"/>
            </w:tcMar>
          </w:tcPr>
          <w:p w14:paraId="5F39DDD5" w14:textId="77777777" w:rsidR="00F67131" w:rsidRDefault="00000000">
            <w:pPr>
              <w:spacing w:before="40" w:after="40" w:line="240" w:lineRule="auto"/>
              <w:jc w:val="both"/>
            </w:pPr>
            <w:r>
              <w:rPr>
                <w:rFonts w:ascii="Times New Roman" w:hAnsi="Times New Roman"/>
                <w:b/>
                <w:color w:val="FFFFFF"/>
                <w:sz w:val="19"/>
              </w:rPr>
              <w:t>2024</w:t>
            </w:r>
          </w:p>
        </w:tc>
        <w:tc>
          <w:tcPr>
            <w:tcW w:w="1008" w:type="dxa"/>
            <w:shd w:val="clear" w:color="auto" w:fill="1B365D"/>
            <w:tcMar>
              <w:top w:w="70" w:type="dxa"/>
              <w:left w:w="100" w:type="dxa"/>
              <w:bottom w:w="70" w:type="dxa"/>
              <w:right w:w="100" w:type="dxa"/>
            </w:tcMar>
          </w:tcPr>
          <w:p w14:paraId="4A001350" w14:textId="77777777" w:rsidR="00F67131" w:rsidRDefault="00000000">
            <w:pPr>
              <w:spacing w:before="40" w:after="40" w:line="240" w:lineRule="auto"/>
              <w:jc w:val="both"/>
            </w:pPr>
            <w:r>
              <w:rPr>
                <w:rFonts w:ascii="Times New Roman" w:hAnsi="Times New Roman"/>
                <w:b/>
                <w:color w:val="FFFFFF"/>
                <w:sz w:val="19"/>
              </w:rPr>
              <w:t>2025</w:t>
            </w:r>
          </w:p>
        </w:tc>
      </w:tr>
      <w:tr w:rsidR="00F67131" w14:paraId="4F224373" w14:textId="77777777">
        <w:trPr>
          <w:jc w:val="center"/>
          <w:cantSplit/>
        </w:trPr>
        <w:tc>
          <w:tcPr>
            <w:tcW w:w="3456" w:type="dxa"/>
            <w:tcMar>
              <w:top w:w="70" w:type="dxa"/>
              <w:left w:w="100" w:type="dxa"/>
              <w:bottom w:w="70" w:type="dxa"/>
              <w:right w:w="100" w:type="dxa"/>
            </w:tcMar>
          </w:tcPr>
          <w:p w14:paraId="78DB2F68" w14:textId="77777777" w:rsidR="00F67131" w:rsidRDefault="00000000">
            <w:pPr>
              <w:spacing w:before="40" w:after="40" w:line="240" w:lineRule="auto"/>
              <w:jc w:val="both"/>
            </w:pPr>
            <w:r>
              <w:rPr>
                <w:rFonts w:ascii="Times New Roman" w:hAnsi="Times New Roman"/>
                <w:color w:val="262626"/>
                <w:sz w:val="18"/>
              </w:rPr>
              <w:t>Agribank: Vốn tối thiểu ước tính (8% × dư nợ cho vay)</w:t>
            </w:r>
          </w:p>
        </w:tc>
        <w:tc>
          <w:tcPr>
            <w:tcW w:w="1008" w:type="dxa"/>
            <w:tcMar>
              <w:top w:w="70" w:type="dxa"/>
              <w:left w:w="100" w:type="dxa"/>
              <w:bottom w:w="70" w:type="dxa"/>
              <w:right w:w="100" w:type="dxa"/>
            </w:tcMar>
          </w:tcPr>
          <w:p w14:paraId="0BB6908F" w14:textId="77777777" w:rsidR="00F67131" w:rsidRDefault="00000000">
            <w:pPr>
              <w:spacing w:before="40" w:after="40" w:line="240" w:lineRule="auto"/>
              <w:jc w:val="both"/>
            </w:pPr>
            <w:r>
              <w:rPr>
                <w:rFonts w:ascii="Times New Roman" w:hAnsi="Times New Roman"/>
                <w:color w:val="262626"/>
                <w:sz w:val="18"/>
              </w:rPr>
              <w:t>97.117</w:t>
            </w:r>
          </w:p>
        </w:tc>
        <w:tc>
          <w:tcPr>
            <w:tcW w:w="1008" w:type="dxa"/>
            <w:tcMar>
              <w:top w:w="70" w:type="dxa"/>
              <w:left w:w="100" w:type="dxa"/>
              <w:bottom w:w="70" w:type="dxa"/>
              <w:right w:w="100" w:type="dxa"/>
            </w:tcMar>
          </w:tcPr>
          <w:p w14:paraId="75D48773" w14:textId="77777777" w:rsidR="00F67131" w:rsidRDefault="00000000">
            <w:pPr>
              <w:spacing w:before="40" w:after="40" w:line="240" w:lineRule="auto"/>
              <w:jc w:val="both"/>
            </w:pPr>
            <w:r>
              <w:rPr>
                <w:rFonts w:ascii="Times New Roman" w:hAnsi="Times New Roman"/>
                <w:color w:val="262626"/>
                <w:sz w:val="18"/>
              </w:rPr>
              <w:t>105.316</w:t>
            </w:r>
          </w:p>
        </w:tc>
        <w:tc>
          <w:tcPr>
            <w:tcW w:w="1008" w:type="dxa"/>
            <w:tcMar>
              <w:top w:w="70" w:type="dxa"/>
              <w:left w:w="100" w:type="dxa"/>
              <w:bottom w:w="70" w:type="dxa"/>
              <w:right w:w="100" w:type="dxa"/>
            </w:tcMar>
          </w:tcPr>
          <w:p w14:paraId="755D4E3F" w14:textId="77777777" w:rsidR="00F67131" w:rsidRDefault="00000000">
            <w:pPr>
              <w:spacing w:before="40" w:after="40" w:line="240" w:lineRule="auto"/>
              <w:jc w:val="both"/>
            </w:pPr>
            <w:r>
              <w:rPr>
                <w:rFonts w:ascii="Times New Roman" w:hAnsi="Times New Roman"/>
                <w:color w:val="262626"/>
                <w:sz w:val="18"/>
              </w:rPr>
              <w:t>115.584</w:t>
            </w:r>
          </w:p>
        </w:tc>
        <w:tc>
          <w:tcPr>
            <w:tcW w:w="1008" w:type="dxa"/>
            <w:tcMar>
              <w:top w:w="70" w:type="dxa"/>
              <w:left w:w="100" w:type="dxa"/>
              <w:bottom w:w="70" w:type="dxa"/>
              <w:right w:w="100" w:type="dxa"/>
            </w:tcMar>
          </w:tcPr>
          <w:p w14:paraId="178FB050" w14:textId="77777777" w:rsidR="00F67131" w:rsidRDefault="00000000">
            <w:pPr>
              <w:spacing w:before="40" w:after="40" w:line="240" w:lineRule="auto"/>
              <w:jc w:val="both"/>
            </w:pPr>
            <w:r>
              <w:rPr>
                <w:rFonts w:ascii="Times New Roman" w:hAnsi="Times New Roman"/>
                <w:color w:val="262626"/>
                <w:sz w:val="18"/>
              </w:rPr>
              <w:t>124.173</w:t>
            </w:r>
          </w:p>
        </w:tc>
        <w:tc>
          <w:tcPr>
            <w:tcW w:w="1008" w:type="dxa"/>
            <w:tcMar>
              <w:top w:w="70" w:type="dxa"/>
              <w:left w:w="100" w:type="dxa"/>
              <w:bottom w:w="70" w:type="dxa"/>
              <w:right w:w="100" w:type="dxa"/>
            </w:tcMar>
          </w:tcPr>
          <w:p w14:paraId="7E6BB66A" w14:textId="77777777" w:rsidR="00F67131" w:rsidRDefault="00000000">
            <w:pPr>
              <w:spacing w:before="40" w:after="40" w:line="240" w:lineRule="auto"/>
              <w:jc w:val="both"/>
            </w:pPr>
            <w:r>
              <w:rPr>
                <w:rFonts w:ascii="Times New Roman" w:hAnsi="Times New Roman"/>
                <w:color w:val="262626"/>
                <w:sz w:val="18"/>
              </w:rPr>
              <w:t>137.871</w:t>
            </w:r>
          </w:p>
        </w:tc>
        <w:tc>
          <w:tcPr>
            <w:tcW w:w="1008" w:type="dxa"/>
            <w:tcMar>
              <w:top w:w="70" w:type="dxa"/>
              <w:left w:w="100" w:type="dxa"/>
              <w:bottom w:w="70" w:type="dxa"/>
              <w:right w:w="100" w:type="dxa"/>
            </w:tcMar>
          </w:tcPr>
          <w:p w14:paraId="0541FA0C" w14:textId="77777777" w:rsidR="00F67131" w:rsidRDefault="00000000">
            <w:pPr>
              <w:spacing w:before="40" w:after="40" w:line="240" w:lineRule="auto"/>
              <w:jc w:val="both"/>
            </w:pPr>
            <w:r>
              <w:rPr>
                <w:rFonts w:ascii="Times New Roman" w:hAnsi="Times New Roman"/>
                <w:color w:val="262626"/>
                <w:sz w:val="18"/>
              </w:rPr>
              <w:t>158.110</w:t>
            </w:r>
          </w:p>
        </w:tc>
      </w:tr>
      <w:tr w:rsidR="00F67131" w14:paraId="07D2757B" w14:textId="77777777">
        <w:trPr>
          <w:jc w:val="center"/>
          <w:cantSplit/>
        </w:trPr>
        <w:tc>
          <w:tcPr>
            <w:tcW w:w="3456" w:type="dxa"/>
            <w:tcMar>
              <w:top w:w="70" w:type="dxa"/>
              <w:left w:w="100" w:type="dxa"/>
              <w:bottom w:w="70" w:type="dxa"/>
              <w:right w:w="100" w:type="dxa"/>
            </w:tcMar>
          </w:tcPr>
          <w:p w14:paraId="7082693E" w14:textId="77777777" w:rsidR="00F67131" w:rsidRDefault="00000000">
            <w:pPr>
              <w:spacing w:before="40" w:after="40" w:line="240" w:lineRule="auto"/>
              <w:jc w:val="both"/>
            </w:pPr>
            <w:r>
              <w:rPr>
                <w:rFonts w:ascii="Times New Roman" w:hAnsi="Times New Roman"/>
                <w:color w:val="262626"/>
                <w:sz w:val="18"/>
              </w:rPr>
              <w:t>Agribank: Lợi nhuận sau thuế hợp nhất</w:t>
            </w:r>
          </w:p>
        </w:tc>
        <w:tc>
          <w:tcPr>
            <w:tcW w:w="1008" w:type="dxa"/>
            <w:tcMar>
              <w:top w:w="70" w:type="dxa"/>
              <w:left w:w="100" w:type="dxa"/>
              <w:bottom w:w="70" w:type="dxa"/>
              <w:right w:w="100" w:type="dxa"/>
            </w:tcMar>
          </w:tcPr>
          <w:p w14:paraId="560C60E4" w14:textId="77777777" w:rsidR="00F67131" w:rsidRDefault="00000000">
            <w:pPr>
              <w:spacing w:before="40" w:after="40" w:line="240" w:lineRule="auto"/>
              <w:jc w:val="both"/>
            </w:pPr>
            <w:r>
              <w:rPr>
                <w:rFonts w:ascii="Times New Roman" w:hAnsi="Times New Roman"/>
                <w:color w:val="262626"/>
                <w:sz w:val="18"/>
              </w:rPr>
              <w:t>10.517</w:t>
            </w:r>
          </w:p>
        </w:tc>
        <w:tc>
          <w:tcPr>
            <w:tcW w:w="1008" w:type="dxa"/>
            <w:tcMar>
              <w:top w:w="70" w:type="dxa"/>
              <w:left w:w="100" w:type="dxa"/>
              <w:bottom w:w="70" w:type="dxa"/>
              <w:right w:w="100" w:type="dxa"/>
            </w:tcMar>
          </w:tcPr>
          <w:p w14:paraId="33EDDDED" w14:textId="77777777" w:rsidR="00F67131" w:rsidRDefault="00000000">
            <w:pPr>
              <w:spacing w:before="40" w:after="40" w:line="240" w:lineRule="auto"/>
              <w:jc w:val="both"/>
            </w:pPr>
            <w:r>
              <w:rPr>
                <w:rFonts w:ascii="Times New Roman" w:hAnsi="Times New Roman"/>
                <w:color w:val="262626"/>
                <w:sz w:val="18"/>
              </w:rPr>
              <w:t>12.261</w:t>
            </w:r>
          </w:p>
        </w:tc>
        <w:tc>
          <w:tcPr>
            <w:tcW w:w="1008" w:type="dxa"/>
            <w:tcMar>
              <w:top w:w="70" w:type="dxa"/>
              <w:left w:w="100" w:type="dxa"/>
              <w:bottom w:w="70" w:type="dxa"/>
              <w:right w:w="100" w:type="dxa"/>
            </w:tcMar>
          </w:tcPr>
          <w:p w14:paraId="4767916F" w14:textId="77777777" w:rsidR="00F67131" w:rsidRDefault="00000000">
            <w:pPr>
              <w:spacing w:before="40" w:after="40" w:line="240" w:lineRule="auto"/>
              <w:jc w:val="both"/>
            </w:pPr>
            <w:r>
              <w:rPr>
                <w:rFonts w:ascii="Times New Roman" w:hAnsi="Times New Roman"/>
                <w:color w:val="262626"/>
                <w:sz w:val="18"/>
              </w:rPr>
              <w:t>18.043</w:t>
            </w:r>
          </w:p>
        </w:tc>
        <w:tc>
          <w:tcPr>
            <w:tcW w:w="1008" w:type="dxa"/>
            <w:tcMar>
              <w:top w:w="70" w:type="dxa"/>
              <w:left w:w="100" w:type="dxa"/>
              <w:bottom w:w="70" w:type="dxa"/>
              <w:right w:w="100" w:type="dxa"/>
            </w:tcMar>
          </w:tcPr>
          <w:p w14:paraId="6B431BF9" w14:textId="77777777" w:rsidR="00F67131" w:rsidRDefault="00000000">
            <w:pPr>
              <w:spacing w:before="40" w:after="40" w:line="240" w:lineRule="auto"/>
              <w:jc w:val="both"/>
            </w:pPr>
            <w:r>
              <w:rPr>
                <w:rFonts w:ascii="Times New Roman" w:hAnsi="Times New Roman"/>
                <w:color w:val="262626"/>
                <w:sz w:val="18"/>
              </w:rPr>
              <w:t>20.696</w:t>
            </w:r>
          </w:p>
        </w:tc>
        <w:tc>
          <w:tcPr>
            <w:tcW w:w="1008" w:type="dxa"/>
            <w:tcMar>
              <w:top w:w="70" w:type="dxa"/>
              <w:left w:w="100" w:type="dxa"/>
              <w:bottom w:w="70" w:type="dxa"/>
              <w:right w:w="100" w:type="dxa"/>
            </w:tcMar>
          </w:tcPr>
          <w:p w14:paraId="089518B2" w14:textId="77777777" w:rsidR="00F67131" w:rsidRDefault="00000000">
            <w:pPr>
              <w:spacing w:before="40" w:after="40" w:line="240" w:lineRule="auto"/>
              <w:jc w:val="both"/>
            </w:pPr>
            <w:r>
              <w:rPr>
                <w:rFonts w:ascii="Times New Roman" w:hAnsi="Times New Roman"/>
                <w:color w:val="262626"/>
                <w:sz w:val="18"/>
              </w:rPr>
              <w:t>22.067</w:t>
            </w:r>
          </w:p>
        </w:tc>
        <w:tc>
          <w:tcPr>
            <w:tcW w:w="1008" w:type="dxa"/>
            <w:tcMar>
              <w:top w:w="70" w:type="dxa"/>
              <w:left w:w="100" w:type="dxa"/>
              <w:bottom w:w="70" w:type="dxa"/>
              <w:right w:w="100" w:type="dxa"/>
            </w:tcMar>
          </w:tcPr>
          <w:p w14:paraId="5AE1143E" w14:textId="77777777" w:rsidR="00F67131" w:rsidRDefault="00000000">
            <w:pPr>
              <w:spacing w:before="40" w:after="40" w:line="240" w:lineRule="auto"/>
              <w:jc w:val="both"/>
            </w:pPr>
            <w:r>
              <w:rPr>
                <w:rFonts w:ascii="Times New Roman" w:hAnsi="Times New Roman"/>
                <w:color w:val="262626"/>
                <w:sz w:val="18"/>
              </w:rPr>
              <w:t>24.955</w:t>
            </w:r>
          </w:p>
        </w:tc>
      </w:tr>
      <w:tr w:rsidR="00F67131" w14:paraId="337B73CA" w14:textId="77777777">
        <w:trPr>
          <w:jc w:val="center"/>
          <w:cantSplit/>
        </w:trPr>
        <w:tc>
          <w:tcPr>
            <w:tcW w:w="3456" w:type="dxa"/>
            <w:tcMar>
              <w:top w:w="70" w:type="dxa"/>
              <w:left w:w="100" w:type="dxa"/>
              <w:bottom w:w="70" w:type="dxa"/>
              <w:right w:w="100" w:type="dxa"/>
            </w:tcMar>
          </w:tcPr>
          <w:p w14:paraId="2FF192D4" w14:textId="77777777" w:rsidR="00F67131" w:rsidRDefault="00000000">
            <w:pPr>
              <w:spacing w:before="40" w:after="40" w:line="240" w:lineRule="auto"/>
              <w:jc w:val="both"/>
            </w:pPr>
            <w:r>
              <w:rPr>
                <w:rFonts w:ascii="Times New Roman" w:hAnsi="Times New Roman"/>
                <w:b/>
                <w:color w:val="262626"/>
                <w:sz w:val="18"/>
              </w:rPr>
              <w:t>Agribank: RORAC proxy (%)</w:t>
            </w:r>
          </w:p>
        </w:tc>
        <w:tc>
          <w:tcPr>
            <w:tcW w:w="1008" w:type="dxa"/>
            <w:tcMar>
              <w:top w:w="70" w:type="dxa"/>
              <w:left w:w="100" w:type="dxa"/>
              <w:bottom w:w="70" w:type="dxa"/>
              <w:right w:w="100" w:type="dxa"/>
            </w:tcMar>
          </w:tcPr>
          <w:p w14:paraId="619A89C2" w14:textId="77777777" w:rsidR="00F67131" w:rsidRDefault="00000000">
            <w:pPr>
              <w:spacing w:before="40" w:after="40" w:line="240" w:lineRule="auto"/>
              <w:jc w:val="both"/>
            </w:pPr>
            <w:r>
              <w:rPr>
                <w:rFonts w:ascii="Times New Roman" w:hAnsi="Times New Roman"/>
                <w:color w:val="262626"/>
                <w:sz w:val="18"/>
              </w:rPr>
              <w:t>10,8%</w:t>
            </w:r>
          </w:p>
        </w:tc>
        <w:tc>
          <w:tcPr>
            <w:tcW w:w="1008" w:type="dxa"/>
            <w:tcMar>
              <w:top w:w="70" w:type="dxa"/>
              <w:left w:w="100" w:type="dxa"/>
              <w:bottom w:w="70" w:type="dxa"/>
              <w:right w:w="100" w:type="dxa"/>
            </w:tcMar>
          </w:tcPr>
          <w:p w14:paraId="00A3C0E8" w14:textId="77777777" w:rsidR="00F67131" w:rsidRDefault="00000000">
            <w:pPr>
              <w:spacing w:before="40" w:after="40" w:line="240" w:lineRule="auto"/>
              <w:jc w:val="both"/>
            </w:pPr>
            <w:r>
              <w:rPr>
                <w:rFonts w:ascii="Times New Roman" w:hAnsi="Times New Roman"/>
                <w:color w:val="262626"/>
                <w:sz w:val="18"/>
              </w:rPr>
              <w:t>11,6%</w:t>
            </w:r>
          </w:p>
        </w:tc>
        <w:tc>
          <w:tcPr>
            <w:tcW w:w="1008" w:type="dxa"/>
            <w:tcMar>
              <w:top w:w="70" w:type="dxa"/>
              <w:left w:w="100" w:type="dxa"/>
              <w:bottom w:w="70" w:type="dxa"/>
              <w:right w:w="100" w:type="dxa"/>
            </w:tcMar>
          </w:tcPr>
          <w:p w14:paraId="252C2733" w14:textId="77777777" w:rsidR="00F67131" w:rsidRDefault="00000000">
            <w:pPr>
              <w:spacing w:before="40" w:after="40" w:line="240" w:lineRule="auto"/>
              <w:jc w:val="both"/>
            </w:pPr>
            <w:r>
              <w:rPr>
                <w:rFonts w:ascii="Times New Roman" w:hAnsi="Times New Roman"/>
                <w:color w:val="262626"/>
                <w:sz w:val="18"/>
              </w:rPr>
              <w:t>15,6%</w:t>
            </w:r>
          </w:p>
        </w:tc>
        <w:tc>
          <w:tcPr>
            <w:tcW w:w="1008" w:type="dxa"/>
            <w:tcMar>
              <w:top w:w="70" w:type="dxa"/>
              <w:left w:w="100" w:type="dxa"/>
              <w:bottom w:w="70" w:type="dxa"/>
              <w:right w:w="100" w:type="dxa"/>
            </w:tcMar>
          </w:tcPr>
          <w:p w14:paraId="29E89BBB" w14:textId="77777777" w:rsidR="00F67131" w:rsidRDefault="00000000">
            <w:pPr>
              <w:spacing w:before="40" w:after="40" w:line="240" w:lineRule="auto"/>
              <w:jc w:val="both"/>
            </w:pPr>
            <w:r>
              <w:rPr>
                <w:rFonts w:ascii="Times New Roman" w:hAnsi="Times New Roman"/>
                <w:color w:val="262626"/>
                <w:sz w:val="18"/>
              </w:rPr>
              <w:t>16,7%</w:t>
            </w:r>
          </w:p>
        </w:tc>
        <w:tc>
          <w:tcPr>
            <w:tcW w:w="1008" w:type="dxa"/>
            <w:tcMar>
              <w:top w:w="70" w:type="dxa"/>
              <w:left w:w="100" w:type="dxa"/>
              <w:bottom w:w="70" w:type="dxa"/>
              <w:right w:w="100" w:type="dxa"/>
            </w:tcMar>
          </w:tcPr>
          <w:p w14:paraId="5BAB2FDC" w14:textId="77777777" w:rsidR="00F67131" w:rsidRDefault="00000000">
            <w:pPr>
              <w:spacing w:before="40" w:after="40" w:line="240" w:lineRule="auto"/>
              <w:jc w:val="both"/>
            </w:pPr>
            <w:r>
              <w:rPr>
                <w:rFonts w:ascii="Times New Roman" w:hAnsi="Times New Roman"/>
                <w:color w:val="262626"/>
                <w:sz w:val="18"/>
              </w:rPr>
              <w:t>16,0%</w:t>
            </w:r>
          </w:p>
        </w:tc>
        <w:tc>
          <w:tcPr>
            <w:tcW w:w="1008" w:type="dxa"/>
            <w:tcMar>
              <w:top w:w="70" w:type="dxa"/>
              <w:left w:w="100" w:type="dxa"/>
              <w:bottom w:w="70" w:type="dxa"/>
              <w:right w:w="100" w:type="dxa"/>
            </w:tcMar>
          </w:tcPr>
          <w:p w14:paraId="5157E1BA" w14:textId="77777777" w:rsidR="00F67131" w:rsidRDefault="00000000">
            <w:pPr>
              <w:spacing w:before="40" w:after="40" w:line="240" w:lineRule="auto"/>
              <w:jc w:val="both"/>
            </w:pPr>
            <w:r>
              <w:rPr>
                <w:rFonts w:ascii="Times New Roman" w:hAnsi="Times New Roman"/>
                <w:color w:val="262626"/>
                <w:sz w:val="18"/>
              </w:rPr>
              <w:t>15,8%</w:t>
            </w:r>
          </w:p>
        </w:tc>
      </w:tr>
      <w:tr w:rsidR="00F67131" w14:paraId="076C2948" w14:textId="77777777">
        <w:trPr>
          <w:jc w:val="center"/>
          <w:cantSplit/>
        </w:trPr>
        <w:tc>
          <w:tcPr>
            <w:tcW w:w="3456" w:type="dxa"/>
            <w:tcMar>
              <w:top w:w="70" w:type="dxa"/>
              <w:left w:w="100" w:type="dxa"/>
              <w:bottom w:w="70" w:type="dxa"/>
              <w:right w:w="100" w:type="dxa"/>
            </w:tcMar>
          </w:tcPr>
          <w:p w14:paraId="2215D058" w14:textId="77777777" w:rsidR="00F67131" w:rsidRDefault="00000000">
            <w:pPr>
              <w:spacing w:before="40" w:after="40" w:line="240" w:lineRule="auto"/>
              <w:jc w:val="both"/>
            </w:pPr>
            <w:r>
              <w:rPr>
                <w:rFonts w:ascii="Times New Roman" w:hAnsi="Times New Roman"/>
                <w:color w:val="262626"/>
                <w:sz w:val="18"/>
              </w:rPr>
              <w:lastRenderedPageBreak/>
              <w:t>MB: Vốn tối thiểu ước tính (8% × dư nợ cho vay)</w:t>
            </w:r>
          </w:p>
        </w:tc>
        <w:tc>
          <w:tcPr>
            <w:tcW w:w="1008" w:type="dxa"/>
            <w:tcMar>
              <w:top w:w="70" w:type="dxa"/>
              <w:left w:w="100" w:type="dxa"/>
              <w:bottom w:w="70" w:type="dxa"/>
              <w:right w:w="100" w:type="dxa"/>
            </w:tcMar>
          </w:tcPr>
          <w:p w14:paraId="39E69025" w14:textId="77777777" w:rsidR="00F67131" w:rsidRDefault="00000000">
            <w:pPr>
              <w:spacing w:before="40" w:after="40" w:line="240" w:lineRule="auto"/>
              <w:jc w:val="both"/>
            </w:pPr>
            <w:r>
              <w:rPr>
                <w:rFonts w:ascii="Times New Roman" w:hAnsi="Times New Roman"/>
                <w:color w:val="262626"/>
                <w:sz w:val="18"/>
              </w:rPr>
              <w:t>23.864</w:t>
            </w:r>
          </w:p>
        </w:tc>
        <w:tc>
          <w:tcPr>
            <w:tcW w:w="1008" w:type="dxa"/>
            <w:tcMar>
              <w:top w:w="70" w:type="dxa"/>
              <w:left w:w="100" w:type="dxa"/>
              <w:bottom w:w="70" w:type="dxa"/>
              <w:right w:w="100" w:type="dxa"/>
            </w:tcMar>
          </w:tcPr>
          <w:p w14:paraId="5D349C8D" w14:textId="77777777" w:rsidR="00F67131" w:rsidRDefault="00000000">
            <w:pPr>
              <w:spacing w:before="40" w:after="40" w:line="240" w:lineRule="auto"/>
              <w:jc w:val="both"/>
            </w:pPr>
            <w:r>
              <w:rPr>
                <w:rFonts w:ascii="Times New Roman" w:hAnsi="Times New Roman"/>
                <w:color w:val="262626"/>
                <w:sz w:val="18"/>
              </w:rPr>
              <w:t>29.084</w:t>
            </w:r>
          </w:p>
        </w:tc>
        <w:tc>
          <w:tcPr>
            <w:tcW w:w="1008" w:type="dxa"/>
            <w:tcMar>
              <w:top w:w="70" w:type="dxa"/>
              <w:left w:w="100" w:type="dxa"/>
              <w:bottom w:w="70" w:type="dxa"/>
              <w:right w:w="100" w:type="dxa"/>
            </w:tcMar>
          </w:tcPr>
          <w:p w14:paraId="4666C781" w14:textId="77777777" w:rsidR="00F67131" w:rsidRDefault="00000000">
            <w:pPr>
              <w:spacing w:before="40" w:after="40" w:line="240" w:lineRule="auto"/>
              <w:jc w:val="both"/>
            </w:pPr>
            <w:r>
              <w:rPr>
                <w:rFonts w:ascii="Times New Roman" w:hAnsi="Times New Roman"/>
                <w:color w:val="262626"/>
                <w:sz w:val="18"/>
              </w:rPr>
              <w:t>36.846</w:t>
            </w:r>
          </w:p>
        </w:tc>
        <w:tc>
          <w:tcPr>
            <w:tcW w:w="1008" w:type="dxa"/>
            <w:tcMar>
              <w:top w:w="70" w:type="dxa"/>
              <w:left w:w="100" w:type="dxa"/>
              <w:bottom w:w="70" w:type="dxa"/>
              <w:right w:w="100" w:type="dxa"/>
            </w:tcMar>
          </w:tcPr>
          <w:p w14:paraId="70008A7C" w14:textId="77777777" w:rsidR="00F67131" w:rsidRDefault="00000000">
            <w:pPr>
              <w:spacing w:before="40" w:after="40" w:line="240" w:lineRule="auto"/>
              <w:jc w:val="both"/>
            </w:pPr>
            <w:r>
              <w:rPr>
                <w:rFonts w:ascii="Times New Roman" w:hAnsi="Times New Roman"/>
                <w:color w:val="262626"/>
                <w:sz w:val="18"/>
              </w:rPr>
              <w:t>48.884</w:t>
            </w:r>
          </w:p>
        </w:tc>
        <w:tc>
          <w:tcPr>
            <w:tcW w:w="1008" w:type="dxa"/>
            <w:tcMar>
              <w:top w:w="70" w:type="dxa"/>
              <w:left w:w="100" w:type="dxa"/>
              <w:bottom w:w="70" w:type="dxa"/>
              <w:right w:w="100" w:type="dxa"/>
            </w:tcMar>
          </w:tcPr>
          <w:p w14:paraId="5FCDA318" w14:textId="77777777" w:rsidR="00F67131" w:rsidRDefault="00000000">
            <w:pPr>
              <w:spacing w:before="40" w:after="40" w:line="240" w:lineRule="auto"/>
              <w:jc w:val="both"/>
            </w:pPr>
            <w:r>
              <w:rPr>
                <w:rFonts w:ascii="Times New Roman" w:hAnsi="Times New Roman"/>
                <w:color w:val="262626"/>
                <w:sz w:val="18"/>
              </w:rPr>
              <w:t>62.133</w:t>
            </w:r>
          </w:p>
        </w:tc>
        <w:tc>
          <w:tcPr>
            <w:tcW w:w="1008" w:type="dxa"/>
            <w:tcMar>
              <w:top w:w="70" w:type="dxa"/>
              <w:left w:w="100" w:type="dxa"/>
              <w:bottom w:w="70" w:type="dxa"/>
              <w:right w:w="100" w:type="dxa"/>
            </w:tcMar>
          </w:tcPr>
          <w:p w14:paraId="6EF6A6DC" w14:textId="77777777" w:rsidR="00F67131" w:rsidRDefault="00000000">
            <w:pPr>
              <w:spacing w:before="40" w:after="40" w:line="240" w:lineRule="auto"/>
              <w:jc w:val="both"/>
            </w:pPr>
            <w:r>
              <w:rPr>
                <w:rFonts w:ascii="Times New Roman" w:hAnsi="Times New Roman"/>
                <w:color w:val="262626"/>
                <w:sz w:val="18"/>
              </w:rPr>
              <w:t>86.722</w:t>
            </w:r>
          </w:p>
        </w:tc>
      </w:tr>
      <w:tr w:rsidR="00F67131" w14:paraId="27D7A03C" w14:textId="77777777">
        <w:trPr>
          <w:jc w:val="center"/>
          <w:cantSplit/>
        </w:trPr>
        <w:tc>
          <w:tcPr>
            <w:tcW w:w="3456" w:type="dxa"/>
            <w:tcMar>
              <w:top w:w="70" w:type="dxa"/>
              <w:left w:w="100" w:type="dxa"/>
              <w:bottom w:w="70" w:type="dxa"/>
              <w:right w:w="100" w:type="dxa"/>
            </w:tcMar>
          </w:tcPr>
          <w:p w14:paraId="5B785D3C" w14:textId="77777777" w:rsidR="00F67131" w:rsidRDefault="00000000">
            <w:pPr>
              <w:spacing w:before="40" w:after="40" w:line="240" w:lineRule="auto"/>
              <w:jc w:val="both"/>
            </w:pPr>
            <w:r>
              <w:rPr>
                <w:rFonts w:ascii="Times New Roman" w:hAnsi="Times New Roman"/>
                <w:color w:val="262626"/>
                <w:sz w:val="18"/>
              </w:rPr>
              <w:t>MB: Lợi nhuận sau thuế hợp nhất</w:t>
            </w:r>
          </w:p>
        </w:tc>
        <w:tc>
          <w:tcPr>
            <w:tcW w:w="1008" w:type="dxa"/>
            <w:tcMar>
              <w:top w:w="70" w:type="dxa"/>
              <w:left w:w="100" w:type="dxa"/>
              <w:bottom w:w="70" w:type="dxa"/>
              <w:right w:w="100" w:type="dxa"/>
            </w:tcMar>
          </w:tcPr>
          <w:p w14:paraId="339DBBD6" w14:textId="77777777" w:rsidR="00F67131" w:rsidRDefault="00000000">
            <w:pPr>
              <w:spacing w:before="40" w:after="40" w:line="240" w:lineRule="auto"/>
              <w:jc w:val="both"/>
            </w:pPr>
            <w:r>
              <w:rPr>
                <w:rFonts w:ascii="Times New Roman" w:hAnsi="Times New Roman"/>
                <w:color w:val="262626"/>
                <w:sz w:val="18"/>
              </w:rPr>
              <w:t>8.606</w:t>
            </w:r>
          </w:p>
        </w:tc>
        <w:tc>
          <w:tcPr>
            <w:tcW w:w="1008" w:type="dxa"/>
            <w:tcMar>
              <w:top w:w="70" w:type="dxa"/>
              <w:left w:w="100" w:type="dxa"/>
              <w:bottom w:w="70" w:type="dxa"/>
              <w:right w:w="100" w:type="dxa"/>
            </w:tcMar>
          </w:tcPr>
          <w:p w14:paraId="453BCFF1" w14:textId="77777777" w:rsidR="00F67131" w:rsidRDefault="00000000">
            <w:pPr>
              <w:spacing w:before="40" w:after="40" w:line="240" w:lineRule="auto"/>
              <w:jc w:val="both"/>
            </w:pPr>
            <w:r>
              <w:rPr>
                <w:rFonts w:ascii="Times New Roman" w:hAnsi="Times New Roman"/>
                <w:color w:val="262626"/>
                <w:sz w:val="18"/>
              </w:rPr>
              <w:t>13.221</w:t>
            </w:r>
          </w:p>
        </w:tc>
        <w:tc>
          <w:tcPr>
            <w:tcW w:w="1008" w:type="dxa"/>
            <w:tcMar>
              <w:top w:w="70" w:type="dxa"/>
              <w:left w:w="100" w:type="dxa"/>
              <w:bottom w:w="70" w:type="dxa"/>
              <w:right w:w="100" w:type="dxa"/>
            </w:tcMar>
          </w:tcPr>
          <w:p w14:paraId="22A52A2B" w14:textId="77777777" w:rsidR="00F67131" w:rsidRDefault="00000000">
            <w:pPr>
              <w:spacing w:before="40" w:after="40" w:line="240" w:lineRule="auto"/>
              <w:jc w:val="both"/>
            </w:pPr>
            <w:r>
              <w:rPr>
                <w:rFonts w:ascii="Times New Roman" w:hAnsi="Times New Roman"/>
                <w:color w:val="262626"/>
                <w:sz w:val="18"/>
              </w:rPr>
              <w:t>18.155</w:t>
            </w:r>
          </w:p>
        </w:tc>
        <w:tc>
          <w:tcPr>
            <w:tcW w:w="1008" w:type="dxa"/>
            <w:tcMar>
              <w:top w:w="70" w:type="dxa"/>
              <w:left w:w="100" w:type="dxa"/>
              <w:bottom w:w="70" w:type="dxa"/>
              <w:right w:w="100" w:type="dxa"/>
            </w:tcMar>
          </w:tcPr>
          <w:p w14:paraId="354F7064" w14:textId="77777777" w:rsidR="00F67131" w:rsidRDefault="00000000">
            <w:pPr>
              <w:spacing w:before="40" w:after="40" w:line="240" w:lineRule="auto"/>
              <w:jc w:val="both"/>
            </w:pPr>
            <w:r>
              <w:rPr>
                <w:rFonts w:ascii="Times New Roman" w:hAnsi="Times New Roman"/>
                <w:color w:val="262626"/>
                <w:sz w:val="18"/>
              </w:rPr>
              <w:t>21.054</w:t>
            </w:r>
          </w:p>
        </w:tc>
        <w:tc>
          <w:tcPr>
            <w:tcW w:w="1008" w:type="dxa"/>
            <w:tcMar>
              <w:top w:w="70" w:type="dxa"/>
              <w:left w:w="100" w:type="dxa"/>
              <w:bottom w:w="70" w:type="dxa"/>
              <w:right w:w="100" w:type="dxa"/>
            </w:tcMar>
          </w:tcPr>
          <w:p w14:paraId="43976BB8" w14:textId="77777777" w:rsidR="00F67131" w:rsidRDefault="00000000">
            <w:pPr>
              <w:spacing w:before="40" w:after="40" w:line="240" w:lineRule="auto"/>
              <w:jc w:val="both"/>
            </w:pPr>
            <w:r>
              <w:rPr>
                <w:rFonts w:ascii="Times New Roman" w:hAnsi="Times New Roman"/>
                <w:color w:val="262626"/>
                <w:sz w:val="18"/>
              </w:rPr>
              <w:t>22.951</w:t>
            </w:r>
          </w:p>
        </w:tc>
        <w:tc>
          <w:tcPr>
            <w:tcW w:w="1008" w:type="dxa"/>
            <w:tcMar>
              <w:top w:w="70" w:type="dxa"/>
              <w:left w:w="100" w:type="dxa"/>
              <w:bottom w:w="70" w:type="dxa"/>
              <w:right w:w="100" w:type="dxa"/>
            </w:tcMar>
          </w:tcPr>
          <w:p w14:paraId="230C3EF2" w14:textId="77777777" w:rsidR="00F67131" w:rsidRDefault="00000000">
            <w:pPr>
              <w:spacing w:before="40" w:after="40" w:line="240" w:lineRule="auto"/>
              <w:jc w:val="both"/>
            </w:pPr>
            <w:r>
              <w:rPr>
                <w:rFonts w:ascii="Times New Roman" w:hAnsi="Times New Roman"/>
                <w:color w:val="262626"/>
                <w:sz w:val="18"/>
              </w:rPr>
              <w:t>27.383</w:t>
            </w:r>
          </w:p>
        </w:tc>
      </w:tr>
      <w:tr w:rsidR="00F67131" w14:paraId="42DE684E" w14:textId="77777777">
        <w:trPr>
          <w:jc w:val="center"/>
          <w:cantSplit/>
        </w:trPr>
        <w:tc>
          <w:tcPr>
            <w:tcW w:w="3456" w:type="dxa"/>
            <w:tcMar>
              <w:top w:w="70" w:type="dxa"/>
              <w:left w:w="100" w:type="dxa"/>
              <w:bottom w:w="70" w:type="dxa"/>
              <w:right w:w="100" w:type="dxa"/>
            </w:tcMar>
          </w:tcPr>
          <w:p w14:paraId="162ADADE" w14:textId="77777777" w:rsidR="00F67131" w:rsidRDefault="00000000">
            <w:pPr>
              <w:spacing w:before="40" w:after="40" w:line="240" w:lineRule="auto"/>
              <w:jc w:val="both"/>
            </w:pPr>
            <w:r>
              <w:rPr>
                <w:rFonts w:ascii="Times New Roman" w:hAnsi="Times New Roman"/>
                <w:b/>
                <w:color w:val="262626"/>
                <w:sz w:val="18"/>
              </w:rPr>
              <w:t>MB: RORAC proxy (%)</w:t>
            </w:r>
          </w:p>
        </w:tc>
        <w:tc>
          <w:tcPr>
            <w:tcW w:w="1008" w:type="dxa"/>
            <w:tcMar>
              <w:top w:w="70" w:type="dxa"/>
              <w:left w:w="100" w:type="dxa"/>
              <w:bottom w:w="70" w:type="dxa"/>
              <w:right w:w="100" w:type="dxa"/>
            </w:tcMar>
          </w:tcPr>
          <w:p w14:paraId="051B2B8D" w14:textId="77777777" w:rsidR="00F67131" w:rsidRDefault="00000000">
            <w:pPr>
              <w:spacing w:before="40" w:after="40" w:line="240" w:lineRule="auto"/>
              <w:jc w:val="both"/>
            </w:pPr>
            <w:r>
              <w:rPr>
                <w:rFonts w:ascii="Times New Roman" w:hAnsi="Times New Roman"/>
                <w:color w:val="262626"/>
                <w:sz w:val="18"/>
              </w:rPr>
              <w:t>36,1%</w:t>
            </w:r>
          </w:p>
        </w:tc>
        <w:tc>
          <w:tcPr>
            <w:tcW w:w="1008" w:type="dxa"/>
            <w:tcMar>
              <w:top w:w="70" w:type="dxa"/>
              <w:left w:w="100" w:type="dxa"/>
              <w:bottom w:w="70" w:type="dxa"/>
              <w:right w:w="100" w:type="dxa"/>
            </w:tcMar>
          </w:tcPr>
          <w:p w14:paraId="7E627CD6" w14:textId="77777777" w:rsidR="00F67131" w:rsidRDefault="00000000">
            <w:pPr>
              <w:spacing w:before="40" w:after="40" w:line="240" w:lineRule="auto"/>
              <w:jc w:val="both"/>
            </w:pPr>
            <w:r>
              <w:rPr>
                <w:rFonts w:ascii="Times New Roman" w:hAnsi="Times New Roman"/>
                <w:color w:val="262626"/>
                <w:sz w:val="18"/>
              </w:rPr>
              <w:t>45,5%</w:t>
            </w:r>
          </w:p>
        </w:tc>
        <w:tc>
          <w:tcPr>
            <w:tcW w:w="1008" w:type="dxa"/>
            <w:tcMar>
              <w:top w:w="70" w:type="dxa"/>
              <w:left w:w="100" w:type="dxa"/>
              <w:bottom w:w="70" w:type="dxa"/>
              <w:right w:w="100" w:type="dxa"/>
            </w:tcMar>
          </w:tcPr>
          <w:p w14:paraId="235C1BEC" w14:textId="77777777" w:rsidR="00F67131" w:rsidRDefault="00000000">
            <w:pPr>
              <w:spacing w:before="40" w:after="40" w:line="240" w:lineRule="auto"/>
              <w:jc w:val="both"/>
            </w:pPr>
            <w:r>
              <w:rPr>
                <w:rFonts w:ascii="Times New Roman" w:hAnsi="Times New Roman"/>
                <w:color w:val="262626"/>
                <w:sz w:val="18"/>
              </w:rPr>
              <w:t>49,3%</w:t>
            </w:r>
          </w:p>
        </w:tc>
        <w:tc>
          <w:tcPr>
            <w:tcW w:w="1008" w:type="dxa"/>
            <w:tcMar>
              <w:top w:w="70" w:type="dxa"/>
              <w:left w:w="100" w:type="dxa"/>
              <w:bottom w:w="70" w:type="dxa"/>
              <w:right w:w="100" w:type="dxa"/>
            </w:tcMar>
          </w:tcPr>
          <w:p w14:paraId="1FA80214" w14:textId="77777777" w:rsidR="00F67131" w:rsidRDefault="00000000">
            <w:pPr>
              <w:spacing w:before="40" w:after="40" w:line="240" w:lineRule="auto"/>
              <w:jc w:val="both"/>
            </w:pPr>
            <w:r>
              <w:rPr>
                <w:rFonts w:ascii="Times New Roman" w:hAnsi="Times New Roman"/>
                <w:color w:val="262626"/>
                <w:sz w:val="18"/>
              </w:rPr>
              <w:t>43,1%</w:t>
            </w:r>
          </w:p>
        </w:tc>
        <w:tc>
          <w:tcPr>
            <w:tcW w:w="1008" w:type="dxa"/>
            <w:tcMar>
              <w:top w:w="70" w:type="dxa"/>
              <w:left w:w="100" w:type="dxa"/>
              <w:bottom w:w="70" w:type="dxa"/>
              <w:right w:w="100" w:type="dxa"/>
            </w:tcMar>
          </w:tcPr>
          <w:p w14:paraId="0B648ED6" w14:textId="77777777" w:rsidR="00F67131" w:rsidRDefault="00000000">
            <w:pPr>
              <w:spacing w:before="40" w:after="40" w:line="240" w:lineRule="auto"/>
              <w:jc w:val="both"/>
            </w:pPr>
            <w:r>
              <w:rPr>
                <w:rFonts w:ascii="Times New Roman" w:hAnsi="Times New Roman"/>
                <w:color w:val="262626"/>
                <w:sz w:val="18"/>
              </w:rPr>
              <w:t>36,9%</w:t>
            </w:r>
          </w:p>
        </w:tc>
        <w:tc>
          <w:tcPr>
            <w:tcW w:w="1008" w:type="dxa"/>
            <w:tcMar>
              <w:top w:w="70" w:type="dxa"/>
              <w:left w:w="100" w:type="dxa"/>
              <w:bottom w:w="70" w:type="dxa"/>
              <w:right w:w="100" w:type="dxa"/>
            </w:tcMar>
          </w:tcPr>
          <w:p w14:paraId="2BC86BDB" w14:textId="77777777" w:rsidR="00F67131" w:rsidRDefault="00000000">
            <w:pPr>
              <w:spacing w:before="40" w:after="40" w:line="240" w:lineRule="auto"/>
              <w:jc w:val="both"/>
            </w:pPr>
            <w:r>
              <w:rPr>
                <w:rFonts w:ascii="Times New Roman" w:hAnsi="Times New Roman"/>
                <w:color w:val="262626"/>
                <w:sz w:val="18"/>
              </w:rPr>
              <w:t>31,6%</w:t>
            </w:r>
          </w:p>
        </w:tc>
      </w:tr>
      <w:tr w:rsidR="00F67131" w14:paraId="6B253060" w14:textId="77777777">
        <w:trPr>
          <w:jc w:val="center"/>
          <w:cantSplit/>
        </w:trPr>
        <w:tc>
          <w:tcPr>
            <w:tcW w:w="3456" w:type="dxa"/>
            <w:tcMar>
              <w:top w:w="70" w:type="dxa"/>
              <w:left w:w="100" w:type="dxa"/>
              <w:bottom w:w="70" w:type="dxa"/>
              <w:right w:w="100" w:type="dxa"/>
            </w:tcMar>
          </w:tcPr>
          <w:p w14:paraId="69545791" w14:textId="77777777" w:rsidR="00F67131" w:rsidRDefault="00000000">
            <w:pPr>
              <w:spacing w:before="40" w:after="40" w:line="240" w:lineRule="auto"/>
              <w:jc w:val="both"/>
            </w:pPr>
            <w:r>
              <w:rPr>
                <w:rFonts w:ascii="Times New Roman" w:hAnsi="Times New Roman"/>
                <w:b/>
                <w:color w:val="262626"/>
                <w:sz w:val="18"/>
              </w:rPr>
              <w:t>Chênh lệch (MB − Agribank, điểm %)</w:t>
            </w:r>
          </w:p>
        </w:tc>
        <w:tc>
          <w:tcPr>
            <w:tcW w:w="1008" w:type="dxa"/>
            <w:tcMar>
              <w:top w:w="70" w:type="dxa"/>
              <w:left w:w="100" w:type="dxa"/>
              <w:bottom w:w="70" w:type="dxa"/>
              <w:right w:w="100" w:type="dxa"/>
            </w:tcMar>
          </w:tcPr>
          <w:p w14:paraId="63B050B5" w14:textId="77777777" w:rsidR="00F67131" w:rsidRDefault="00000000">
            <w:pPr>
              <w:spacing w:before="40" w:after="40" w:line="240" w:lineRule="auto"/>
              <w:jc w:val="both"/>
            </w:pPr>
            <w:r>
              <w:rPr>
                <w:rFonts w:ascii="Times New Roman" w:hAnsi="Times New Roman"/>
                <w:color w:val="262626"/>
                <w:sz w:val="18"/>
              </w:rPr>
              <w:t>+25,2</w:t>
            </w:r>
          </w:p>
        </w:tc>
        <w:tc>
          <w:tcPr>
            <w:tcW w:w="1008" w:type="dxa"/>
            <w:tcMar>
              <w:top w:w="70" w:type="dxa"/>
              <w:left w:w="100" w:type="dxa"/>
              <w:bottom w:w="70" w:type="dxa"/>
              <w:right w:w="100" w:type="dxa"/>
            </w:tcMar>
          </w:tcPr>
          <w:p w14:paraId="7E151355" w14:textId="77777777" w:rsidR="00F67131" w:rsidRDefault="00000000">
            <w:pPr>
              <w:spacing w:before="40" w:after="40" w:line="240" w:lineRule="auto"/>
              <w:jc w:val="both"/>
            </w:pPr>
            <w:r>
              <w:rPr>
                <w:rFonts w:ascii="Times New Roman" w:hAnsi="Times New Roman"/>
                <w:color w:val="262626"/>
                <w:sz w:val="18"/>
              </w:rPr>
              <w:t>+33,8</w:t>
            </w:r>
          </w:p>
        </w:tc>
        <w:tc>
          <w:tcPr>
            <w:tcW w:w="1008" w:type="dxa"/>
            <w:tcMar>
              <w:top w:w="70" w:type="dxa"/>
              <w:left w:w="100" w:type="dxa"/>
              <w:bottom w:w="70" w:type="dxa"/>
              <w:right w:w="100" w:type="dxa"/>
            </w:tcMar>
          </w:tcPr>
          <w:p w14:paraId="09938D15" w14:textId="77777777" w:rsidR="00F67131" w:rsidRDefault="00000000">
            <w:pPr>
              <w:spacing w:before="40" w:after="40" w:line="240" w:lineRule="auto"/>
              <w:jc w:val="both"/>
            </w:pPr>
            <w:r>
              <w:rPr>
                <w:rFonts w:ascii="Times New Roman" w:hAnsi="Times New Roman"/>
                <w:color w:val="262626"/>
                <w:sz w:val="18"/>
              </w:rPr>
              <w:t>+33,7</w:t>
            </w:r>
          </w:p>
        </w:tc>
        <w:tc>
          <w:tcPr>
            <w:tcW w:w="1008" w:type="dxa"/>
            <w:tcMar>
              <w:top w:w="70" w:type="dxa"/>
              <w:left w:w="100" w:type="dxa"/>
              <w:bottom w:w="70" w:type="dxa"/>
              <w:right w:w="100" w:type="dxa"/>
            </w:tcMar>
          </w:tcPr>
          <w:p w14:paraId="7C981300" w14:textId="77777777" w:rsidR="00F67131" w:rsidRDefault="00000000">
            <w:pPr>
              <w:spacing w:before="40" w:after="40" w:line="240" w:lineRule="auto"/>
              <w:jc w:val="both"/>
            </w:pPr>
            <w:r>
              <w:rPr>
                <w:rFonts w:ascii="Times New Roman" w:hAnsi="Times New Roman"/>
                <w:color w:val="262626"/>
                <w:sz w:val="18"/>
              </w:rPr>
              <w:t>+26,4</w:t>
            </w:r>
          </w:p>
        </w:tc>
        <w:tc>
          <w:tcPr>
            <w:tcW w:w="1008" w:type="dxa"/>
            <w:tcMar>
              <w:top w:w="70" w:type="dxa"/>
              <w:left w:w="100" w:type="dxa"/>
              <w:bottom w:w="70" w:type="dxa"/>
              <w:right w:w="100" w:type="dxa"/>
            </w:tcMar>
          </w:tcPr>
          <w:p w14:paraId="711DE5ED" w14:textId="77777777" w:rsidR="00F67131" w:rsidRDefault="00000000">
            <w:pPr>
              <w:spacing w:before="40" w:after="40" w:line="240" w:lineRule="auto"/>
              <w:jc w:val="both"/>
            </w:pPr>
            <w:r>
              <w:rPr>
                <w:rFonts w:ascii="Times New Roman" w:hAnsi="Times New Roman"/>
                <w:color w:val="262626"/>
                <w:sz w:val="18"/>
              </w:rPr>
              <w:t>+20,9</w:t>
            </w:r>
          </w:p>
        </w:tc>
        <w:tc>
          <w:tcPr>
            <w:tcW w:w="1008" w:type="dxa"/>
            <w:tcMar>
              <w:top w:w="70" w:type="dxa"/>
              <w:left w:w="100" w:type="dxa"/>
              <w:bottom w:w="70" w:type="dxa"/>
              <w:right w:w="100" w:type="dxa"/>
            </w:tcMar>
          </w:tcPr>
          <w:p w14:paraId="230AA9EA" w14:textId="77777777" w:rsidR="00F67131" w:rsidRDefault="00000000">
            <w:pPr>
              <w:spacing w:before="40" w:after="40" w:line="240" w:lineRule="auto"/>
              <w:jc w:val="both"/>
            </w:pPr>
            <w:r>
              <w:rPr>
                <w:rFonts w:ascii="Times New Roman" w:hAnsi="Times New Roman"/>
                <w:color w:val="262626"/>
                <w:sz w:val="18"/>
              </w:rPr>
              <w:t>+15,8</w:t>
            </w:r>
          </w:p>
        </w:tc>
      </w:tr>
    </w:tbl>
    <w:p w14:paraId="0CBDBFD3"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Tính toán của nhóm nghiên cứu từ Báo cáo KQKD hợp nhất và Bảng CĐKT hợp nhất kiểm toán 2020–2025 của Agribank và MB trên cùng cơ sở mẫu số vốn tối thiểu ước tính = 8% × Dư nợ cho vay hợp nhất (sheet Chi_tieu, dòng 48–56).</w:t>
      </w:r>
    </w:p>
    <w:p w14:paraId="6674B952" w14:textId="77777777" w:rsidR="00F67131" w:rsidRDefault="00000000">
      <w:pPr>
        <w:spacing w:after="80" w:line="300" w:lineRule="auto"/>
        <w:jc w:val="both"/>
      </w:pPr>
      <w:r>
        <w:rPr>
          <w:rFonts w:ascii="Times New Roman" w:hAnsi="Times New Roman"/>
          <w:b/>
        </w:rPr>
        <w:t xml:space="preserve">Đánh giá tỷ suất lợi nhuận trên vốn rủi ro (RORAC proxy): </w:t>
      </w:r>
      <w:r>
        <w:rPr>
          <w:rFonts w:ascii="Times New Roman" w:hAnsi="Times New Roman"/>
        </w:rPr>
        <w:t>Do không có số liệu tài sản có rủi ro (RWA) công bố đầy đủ cho cả hai ngân hàng, nghiên cứu dùng vốn tối thiểu ước tính bằng 8% dư nợ cho vay (giả định trọng số rủi ro 100%) và lợi nhuận sau thuế hợp nhất. Lợi nhuận sau thuế đã trừ chi phí dự phòng nên không trừ thêm tổn thất kỳ vọng để tránh tính trùng. Theo cách đo này, MB đạt 31,6%–49,3% (cao nhất năm 2022), Agribank đạt 10,8%–16,7%. Chênh lệch thu hẹp từ 33,8 điểm % (2021) còn 15,8 điểm % (2025), chủ yếu do dư nợ MB tăng nhanh hơn lợi nhuận. Đây là chỉ tiêu xấp xỉ: trọng số rủi ro thực tế của cho vay nông hộ có tài sản bảo đảm khác với cho vay tiêu dùng tín chấp, nên mức chênh thực có thể khác.</w:t>
      </w:r>
    </w:p>
    <w:p w14:paraId="26F67D6B" w14:textId="77777777" w:rsidR="00F67131" w:rsidRDefault="00000000">
      <w:pPr>
        <w:pStyle w:val="Heading2"/>
        <w:spacing w:after="80" w:line="300" w:lineRule="auto"/>
      </w:pPr>
      <w:bookmarkStart w:id="16" w:name="_Toc244090116"/>
      <w:r>
        <w:rPr>
          <w:rFonts w:ascii="Times New Roman" w:hAnsi="Times New Roman"/>
          <w:color w:val="0F4C81"/>
          <w:sz w:val="24"/>
        </w:rPr>
        <w:t>4.5. Cơ cấu danh mục, mức độ tập trung ngành và an toàn vốn (CAR)</w:t>
      </w:r>
      <w:bookmarkEnd w:id="16"/>
    </w:p>
    <w:p w14:paraId="59364AA9" w14:textId="77777777" w:rsidR="00F67131" w:rsidRDefault="00000000">
      <w:pPr>
        <w:spacing w:before="120" w:after="60" w:line="300" w:lineRule="auto"/>
      </w:pPr>
      <w:r>
        <w:rPr>
          <w:rFonts w:ascii="Times New Roman" w:hAnsi="Times New Roman"/>
          <w:b/>
          <w:color w:val="1B365D"/>
          <w:sz w:val="20"/>
        </w:rPr>
        <w:t>Bảng 9. Cơ cấu danh mục rủi ro tập trung và Hệ số an toàn vốn (CAR) giai đoạn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20"/>
        <w:gridCol w:w="992"/>
        <w:gridCol w:w="992"/>
        <w:gridCol w:w="992"/>
        <w:gridCol w:w="992"/>
        <w:gridCol w:w="992"/>
        <w:gridCol w:w="992"/>
      </w:tblGrid>
      <w:tr w:rsidR="00F67131" w14:paraId="6D850F73" w14:textId="77777777">
        <w:trPr>
          <w:jc w:val="center"/>
          <w:cantSplit/>
          <w:tblHeader/>
        </w:trPr>
        <w:tc>
          <w:tcPr>
            <w:tcW w:w="3456" w:type="dxa"/>
            <w:shd w:val="clear" w:color="auto" w:fill="1B365D"/>
            <w:tcMar>
              <w:top w:w="70" w:type="dxa"/>
              <w:left w:w="100" w:type="dxa"/>
              <w:bottom w:w="70" w:type="dxa"/>
              <w:right w:w="100" w:type="dxa"/>
            </w:tcMar>
          </w:tcPr>
          <w:p w14:paraId="12DB189A" w14:textId="77777777" w:rsidR="00F67131" w:rsidRDefault="00000000">
            <w:pPr>
              <w:spacing w:before="40" w:after="40" w:line="240" w:lineRule="auto"/>
              <w:jc w:val="both"/>
            </w:pPr>
            <w:r>
              <w:rPr>
                <w:rFonts w:ascii="Times New Roman" w:hAnsi="Times New Roman"/>
                <w:b/>
                <w:color w:val="FFFFFF"/>
                <w:sz w:val="19"/>
              </w:rPr>
              <w:t>Chỉ tiêu tập trung &amp; Vốn</w:t>
            </w:r>
          </w:p>
        </w:tc>
        <w:tc>
          <w:tcPr>
            <w:tcW w:w="1008" w:type="dxa"/>
            <w:shd w:val="clear" w:color="auto" w:fill="1B365D"/>
            <w:tcMar>
              <w:top w:w="70" w:type="dxa"/>
              <w:left w:w="100" w:type="dxa"/>
              <w:bottom w:w="70" w:type="dxa"/>
              <w:right w:w="100" w:type="dxa"/>
            </w:tcMar>
          </w:tcPr>
          <w:p w14:paraId="7A4B924D" w14:textId="77777777" w:rsidR="00F67131" w:rsidRDefault="00000000">
            <w:pPr>
              <w:spacing w:before="40" w:after="40" w:line="240" w:lineRule="auto"/>
              <w:jc w:val="both"/>
            </w:pPr>
            <w:r>
              <w:rPr>
                <w:rFonts w:ascii="Times New Roman" w:hAnsi="Times New Roman"/>
                <w:b/>
                <w:color w:val="FFFFFF"/>
                <w:sz w:val="19"/>
              </w:rPr>
              <w:t>2020</w:t>
            </w:r>
          </w:p>
        </w:tc>
        <w:tc>
          <w:tcPr>
            <w:tcW w:w="1008" w:type="dxa"/>
            <w:shd w:val="clear" w:color="auto" w:fill="1B365D"/>
            <w:tcMar>
              <w:top w:w="70" w:type="dxa"/>
              <w:left w:w="100" w:type="dxa"/>
              <w:bottom w:w="70" w:type="dxa"/>
              <w:right w:w="100" w:type="dxa"/>
            </w:tcMar>
          </w:tcPr>
          <w:p w14:paraId="40388351" w14:textId="77777777" w:rsidR="00F67131" w:rsidRDefault="00000000">
            <w:pPr>
              <w:spacing w:before="40" w:after="40" w:line="240" w:lineRule="auto"/>
              <w:jc w:val="both"/>
            </w:pPr>
            <w:r>
              <w:rPr>
                <w:rFonts w:ascii="Times New Roman" w:hAnsi="Times New Roman"/>
                <w:b/>
                <w:color w:val="FFFFFF"/>
                <w:sz w:val="19"/>
              </w:rPr>
              <w:t>2021</w:t>
            </w:r>
          </w:p>
        </w:tc>
        <w:tc>
          <w:tcPr>
            <w:tcW w:w="1008" w:type="dxa"/>
            <w:shd w:val="clear" w:color="auto" w:fill="1B365D"/>
            <w:tcMar>
              <w:top w:w="70" w:type="dxa"/>
              <w:left w:w="100" w:type="dxa"/>
              <w:bottom w:w="70" w:type="dxa"/>
              <w:right w:w="100" w:type="dxa"/>
            </w:tcMar>
          </w:tcPr>
          <w:p w14:paraId="53129144" w14:textId="77777777" w:rsidR="00F67131" w:rsidRDefault="00000000">
            <w:pPr>
              <w:spacing w:before="40" w:after="40" w:line="240" w:lineRule="auto"/>
              <w:jc w:val="both"/>
            </w:pPr>
            <w:r>
              <w:rPr>
                <w:rFonts w:ascii="Times New Roman" w:hAnsi="Times New Roman"/>
                <w:b/>
                <w:color w:val="FFFFFF"/>
                <w:sz w:val="19"/>
              </w:rPr>
              <w:t>2022</w:t>
            </w:r>
          </w:p>
        </w:tc>
        <w:tc>
          <w:tcPr>
            <w:tcW w:w="1008" w:type="dxa"/>
            <w:shd w:val="clear" w:color="auto" w:fill="1B365D"/>
            <w:tcMar>
              <w:top w:w="70" w:type="dxa"/>
              <w:left w:w="100" w:type="dxa"/>
              <w:bottom w:w="70" w:type="dxa"/>
              <w:right w:w="100" w:type="dxa"/>
            </w:tcMar>
          </w:tcPr>
          <w:p w14:paraId="0A5BCB8D" w14:textId="77777777" w:rsidR="00F67131" w:rsidRDefault="00000000">
            <w:pPr>
              <w:spacing w:before="40" w:after="40" w:line="240" w:lineRule="auto"/>
              <w:jc w:val="both"/>
            </w:pPr>
            <w:r>
              <w:rPr>
                <w:rFonts w:ascii="Times New Roman" w:hAnsi="Times New Roman"/>
                <w:b/>
                <w:color w:val="FFFFFF"/>
                <w:sz w:val="19"/>
              </w:rPr>
              <w:t>2023</w:t>
            </w:r>
          </w:p>
        </w:tc>
        <w:tc>
          <w:tcPr>
            <w:tcW w:w="1008" w:type="dxa"/>
            <w:shd w:val="clear" w:color="auto" w:fill="1B365D"/>
            <w:tcMar>
              <w:top w:w="70" w:type="dxa"/>
              <w:left w:w="100" w:type="dxa"/>
              <w:bottom w:w="70" w:type="dxa"/>
              <w:right w:w="100" w:type="dxa"/>
            </w:tcMar>
          </w:tcPr>
          <w:p w14:paraId="7E9C9EA2" w14:textId="77777777" w:rsidR="00F67131" w:rsidRDefault="00000000">
            <w:pPr>
              <w:spacing w:before="40" w:after="40" w:line="240" w:lineRule="auto"/>
              <w:jc w:val="both"/>
            </w:pPr>
            <w:r>
              <w:rPr>
                <w:rFonts w:ascii="Times New Roman" w:hAnsi="Times New Roman"/>
                <w:b/>
                <w:color w:val="FFFFFF"/>
                <w:sz w:val="19"/>
              </w:rPr>
              <w:t>2024</w:t>
            </w:r>
          </w:p>
        </w:tc>
        <w:tc>
          <w:tcPr>
            <w:tcW w:w="1008" w:type="dxa"/>
            <w:shd w:val="clear" w:color="auto" w:fill="1B365D"/>
            <w:tcMar>
              <w:top w:w="70" w:type="dxa"/>
              <w:left w:w="100" w:type="dxa"/>
              <w:bottom w:w="70" w:type="dxa"/>
              <w:right w:w="100" w:type="dxa"/>
            </w:tcMar>
          </w:tcPr>
          <w:p w14:paraId="597EB8D1" w14:textId="77777777" w:rsidR="00F67131" w:rsidRDefault="00000000">
            <w:pPr>
              <w:spacing w:before="40" w:after="40" w:line="240" w:lineRule="auto"/>
              <w:jc w:val="both"/>
            </w:pPr>
            <w:r>
              <w:rPr>
                <w:rFonts w:ascii="Times New Roman" w:hAnsi="Times New Roman"/>
                <w:b/>
                <w:color w:val="FFFFFF"/>
                <w:sz w:val="19"/>
              </w:rPr>
              <w:t>2025</w:t>
            </w:r>
          </w:p>
        </w:tc>
      </w:tr>
      <w:tr w:rsidR="00F67131" w14:paraId="63C90B75" w14:textId="77777777">
        <w:trPr>
          <w:jc w:val="center"/>
          <w:cantSplit/>
        </w:trPr>
        <w:tc>
          <w:tcPr>
            <w:tcW w:w="3456" w:type="dxa"/>
            <w:tcMar>
              <w:top w:w="70" w:type="dxa"/>
              <w:left w:w="100" w:type="dxa"/>
              <w:bottom w:w="70" w:type="dxa"/>
              <w:right w:w="100" w:type="dxa"/>
            </w:tcMar>
          </w:tcPr>
          <w:p w14:paraId="24AEB3B4" w14:textId="77777777" w:rsidR="00F67131" w:rsidRDefault="00000000">
            <w:pPr>
              <w:spacing w:before="40" w:after="40" w:line="240" w:lineRule="auto"/>
              <w:jc w:val="both"/>
            </w:pPr>
            <w:r>
              <w:rPr>
                <w:rFonts w:ascii="Times New Roman" w:hAnsi="Times New Roman"/>
                <w:color w:val="262626"/>
                <w:sz w:val="18"/>
              </w:rPr>
              <w:t>Agribank: Tỷ trọng dư nợ nông nghiệp – nông thôn (BCTN)</w:t>
            </w:r>
          </w:p>
        </w:tc>
        <w:tc>
          <w:tcPr>
            <w:tcW w:w="1008" w:type="dxa"/>
            <w:tcMar>
              <w:top w:w="70" w:type="dxa"/>
              <w:left w:w="100" w:type="dxa"/>
              <w:bottom w:w="70" w:type="dxa"/>
              <w:right w:w="100" w:type="dxa"/>
            </w:tcMar>
          </w:tcPr>
          <w:p w14:paraId="5D30BCDB" w14:textId="77777777" w:rsidR="00F67131" w:rsidRDefault="00000000">
            <w:pPr>
              <w:spacing w:before="40" w:after="40" w:line="240" w:lineRule="auto"/>
              <w:jc w:val="both"/>
            </w:pPr>
            <w:r>
              <w:rPr>
                <w:rFonts w:ascii="Times New Roman" w:hAnsi="Times New Roman"/>
                <w:color w:val="262626"/>
                <w:sz w:val="18"/>
              </w:rPr>
              <w:t>~70%</w:t>
            </w:r>
          </w:p>
        </w:tc>
        <w:tc>
          <w:tcPr>
            <w:tcW w:w="1008" w:type="dxa"/>
            <w:tcMar>
              <w:top w:w="70" w:type="dxa"/>
              <w:left w:w="100" w:type="dxa"/>
              <w:bottom w:w="70" w:type="dxa"/>
              <w:right w:w="100" w:type="dxa"/>
            </w:tcMar>
          </w:tcPr>
          <w:p w14:paraId="31CA0DCD" w14:textId="77777777" w:rsidR="00F67131" w:rsidRDefault="00000000">
            <w:pPr>
              <w:spacing w:before="40" w:after="40" w:line="240" w:lineRule="auto"/>
              <w:jc w:val="both"/>
            </w:pPr>
            <w:r>
              <w:rPr>
                <w:rFonts w:ascii="Times New Roman" w:hAnsi="Times New Roman"/>
                <w:color w:val="262626"/>
                <w:sz w:val="18"/>
              </w:rPr>
              <w:t>65–70%</w:t>
            </w:r>
          </w:p>
        </w:tc>
        <w:tc>
          <w:tcPr>
            <w:tcW w:w="1008" w:type="dxa"/>
            <w:tcMar>
              <w:top w:w="70" w:type="dxa"/>
              <w:left w:w="100" w:type="dxa"/>
              <w:bottom w:w="70" w:type="dxa"/>
              <w:right w:w="100" w:type="dxa"/>
            </w:tcMar>
          </w:tcPr>
          <w:p w14:paraId="2F804F0F" w14:textId="77777777" w:rsidR="00F67131" w:rsidRDefault="00000000">
            <w:pPr>
              <w:spacing w:before="40" w:after="40" w:line="240" w:lineRule="auto"/>
              <w:jc w:val="both"/>
            </w:pPr>
            <w:r>
              <w:rPr>
                <w:rFonts w:ascii="Times New Roman" w:hAnsi="Times New Roman"/>
                <w:color w:val="262626"/>
                <w:sz w:val="18"/>
              </w:rPr>
              <w:t>&gt;65%</w:t>
            </w:r>
          </w:p>
        </w:tc>
        <w:tc>
          <w:tcPr>
            <w:tcW w:w="1008" w:type="dxa"/>
            <w:tcMar>
              <w:top w:w="70" w:type="dxa"/>
              <w:left w:w="100" w:type="dxa"/>
              <w:bottom w:w="70" w:type="dxa"/>
              <w:right w:w="100" w:type="dxa"/>
            </w:tcMar>
          </w:tcPr>
          <w:p w14:paraId="6865C744" w14:textId="77777777" w:rsidR="00F67131" w:rsidRDefault="00000000">
            <w:pPr>
              <w:spacing w:before="40" w:after="40" w:line="240" w:lineRule="auto"/>
              <w:jc w:val="both"/>
            </w:pPr>
            <w:r>
              <w:rPr>
                <w:rFonts w:ascii="Times New Roman" w:hAnsi="Times New Roman"/>
                <w:color w:val="262626"/>
                <w:sz w:val="18"/>
              </w:rPr>
              <w:t>62,7%</w:t>
            </w:r>
          </w:p>
        </w:tc>
        <w:tc>
          <w:tcPr>
            <w:tcW w:w="1008" w:type="dxa"/>
            <w:tcMar>
              <w:top w:w="70" w:type="dxa"/>
              <w:left w:w="100" w:type="dxa"/>
              <w:bottom w:w="70" w:type="dxa"/>
              <w:right w:w="100" w:type="dxa"/>
            </w:tcMar>
          </w:tcPr>
          <w:p w14:paraId="239A6D39" w14:textId="77777777" w:rsidR="00F67131" w:rsidRDefault="00000000">
            <w:pPr>
              <w:spacing w:before="40" w:after="40" w:line="240" w:lineRule="auto"/>
              <w:jc w:val="both"/>
            </w:pPr>
            <w:r>
              <w:rPr>
                <w:rFonts w:ascii="Times New Roman" w:hAnsi="Times New Roman"/>
                <w:color w:val="262626"/>
                <w:sz w:val="18"/>
              </w:rPr>
              <w:t>61,7%</w:t>
            </w:r>
          </w:p>
        </w:tc>
        <w:tc>
          <w:tcPr>
            <w:tcW w:w="1008" w:type="dxa"/>
            <w:tcMar>
              <w:top w:w="70" w:type="dxa"/>
              <w:left w:w="100" w:type="dxa"/>
              <w:bottom w:w="70" w:type="dxa"/>
              <w:right w:w="100" w:type="dxa"/>
            </w:tcMar>
          </w:tcPr>
          <w:p w14:paraId="765CDE4C" w14:textId="77777777" w:rsidR="00F67131" w:rsidRDefault="00000000">
            <w:pPr>
              <w:spacing w:before="40" w:after="40" w:line="240" w:lineRule="auto"/>
              <w:jc w:val="both"/>
            </w:pPr>
            <w:r>
              <w:rPr>
                <w:rFonts w:ascii="Times New Roman" w:hAnsi="Times New Roman"/>
                <w:color w:val="262626"/>
                <w:sz w:val="18"/>
              </w:rPr>
              <w:t>64,1%</w:t>
            </w:r>
          </w:p>
        </w:tc>
      </w:tr>
      <w:tr w:rsidR="00F67131" w14:paraId="52BDB415" w14:textId="77777777">
        <w:trPr>
          <w:jc w:val="center"/>
          <w:cantSplit/>
        </w:trPr>
        <w:tc>
          <w:tcPr>
            <w:tcW w:w="3456" w:type="dxa"/>
            <w:tcMar>
              <w:top w:w="70" w:type="dxa"/>
              <w:left w:w="100" w:type="dxa"/>
              <w:bottom w:w="70" w:type="dxa"/>
              <w:right w:w="100" w:type="dxa"/>
            </w:tcMar>
          </w:tcPr>
          <w:p w14:paraId="32C97F77" w14:textId="77777777" w:rsidR="00F67131" w:rsidRDefault="00000000">
            <w:pPr>
              <w:spacing w:before="40" w:after="40" w:line="240" w:lineRule="auto"/>
              <w:jc w:val="both"/>
            </w:pPr>
            <w:r>
              <w:rPr>
                <w:rFonts w:ascii="Times New Roman" w:hAnsi="Times New Roman"/>
                <w:b/>
                <w:color w:val="262626"/>
                <w:sz w:val="18"/>
              </w:rPr>
              <w:t>Agribank: CAR công bố (2020–2022: TT 22/2019; từ 2023: TT 41)</w:t>
            </w:r>
          </w:p>
        </w:tc>
        <w:tc>
          <w:tcPr>
            <w:tcW w:w="1008" w:type="dxa"/>
            <w:tcMar>
              <w:top w:w="70" w:type="dxa"/>
              <w:left w:w="100" w:type="dxa"/>
              <w:bottom w:w="70" w:type="dxa"/>
              <w:right w:w="100" w:type="dxa"/>
            </w:tcMar>
          </w:tcPr>
          <w:p w14:paraId="772BCAA6" w14:textId="77777777" w:rsidR="00F67131" w:rsidRDefault="00000000">
            <w:pPr>
              <w:spacing w:before="40" w:after="40" w:line="240" w:lineRule="auto"/>
              <w:jc w:val="both"/>
            </w:pPr>
            <w:r>
              <w:rPr>
                <w:rFonts w:ascii="Times New Roman" w:hAnsi="Times New Roman"/>
                <w:color w:val="262626"/>
                <w:sz w:val="18"/>
              </w:rPr>
              <w:t>10,58%</w:t>
            </w:r>
          </w:p>
        </w:tc>
        <w:tc>
          <w:tcPr>
            <w:tcW w:w="1008" w:type="dxa"/>
            <w:tcMar>
              <w:top w:w="70" w:type="dxa"/>
              <w:left w:w="100" w:type="dxa"/>
              <w:bottom w:w="70" w:type="dxa"/>
              <w:right w:w="100" w:type="dxa"/>
            </w:tcMar>
          </w:tcPr>
          <w:p w14:paraId="660A3B03" w14:textId="77777777" w:rsidR="00F67131" w:rsidRDefault="00000000">
            <w:pPr>
              <w:spacing w:before="40" w:after="40" w:line="240" w:lineRule="auto"/>
              <w:jc w:val="both"/>
            </w:pPr>
            <w:r>
              <w:rPr>
                <w:rFonts w:ascii="Times New Roman" w:hAnsi="Times New Roman"/>
                <w:color w:val="262626"/>
                <w:sz w:val="18"/>
              </w:rPr>
              <w:t>10,50%</w:t>
            </w:r>
          </w:p>
        </w:tc>
        <w:tc>
          <w:tcPr>
            <w:tcW w:w="1008" w:type="dxa"/>
            <w:tcMar>
              <w:top w:w="70" w:type="dxa"/>
              <w:left w:w="100" w:type="dxa"/>
              <w:bottom w:w="70" w:type="dxa"/>
              <w:right w:w="100" w:type="dxa"/>
            </w:tcMar>
          </w:tcPr>
          <w:p w14:paraId="3186D3E8" w14:textId="77777777" w:rsidR="00F67131" w:rsidRDefault="00000000">
            <w:pPr>
              <w:spacing w:before="40" w:after="40" w:line="240" w:lineRule="auto"/>
              <w:jc w:val="both"/>
            </w:pPr>
            <w:r>
              <w:rPr>
                <w:rFonts w:ascii="Times New Roman" w:hAnsi="Times New Roman"/>
                <w:color w:val="262626"/>
                <w:sz w:val="18"/>
              </w:rPr>
              <w:t>10,80%</w:t>
            </w:r>
          </w:p>
        </w:tc>
        <w:tc>
          <w:tcPr>
            <w:tcW w:w="1008" w:type="dxa"/>
            <w:tcMar>
              <w:top w:w="70" w:type="dxa"/>
              <w:left w:w="100" w:type="dxa"/>
              <w:bottom w:w="70" w:type="dxa"/>
              <w:right w:w="100" w:type="dxa"/>
            </w:tcMar>
          </w:tcPr>
          <w:p w14:paraId="1C7C41C0" w14:textId="77777777" w:rsidR="00F67131" w:rsidRDefault="00000000">
            <w:pPr>
              <w:spacing w:before="40" w:after="40" w:line="240" w:lineRule="auto"/>
              <w:jc w:val="both"/>
            </w:pPr>
            <w:r>
              <w:rPr>
                <w:rFonts w:ascii="Times New Roman" w:hAnsi="Times New Roman"/>
                <w:color w:val="262626"/>
                <w:sz w:val="18"/>
              </w:rPr>
              <w:t>9,20%</w:t>
            </w:r>
          </w:p>
        </w:tc>
        <w:tc>
          <w:tcPr>
            <w:tcW w:w="1008" w:type="dxa"/>
            <w:tcMar>
              <w:top w:w="70" w:type="dxa"/>
              <w:left w:w="100" w:type="dxa"/>
              <w:bottom w:w="70" w:type="dxa"/>
              <w:right w:w="100" w:type="dxa"/>
            </w:tcMar>
          </w:tcPr>
          <w:p w14:paraId="65F32DC0" w14:textId="77777777" w:rsidR="00F67131" w:rsidRDefault="00000000">
            <w:pPr>
              <w:spacing w:before="40" w:after="40" w:line="240" w:lineRule="auto"/>
              <w:jc w:val="both"/>
            </w:pPr>
            <w:r>
              <w:rPr>
                <w:rFonts w:ascii="Times New Roman" w:hAnsi="Times New Roman"/>
                <w:color w:val="262626"/>
                <w:sz w:val="18"/>
              </w:rPr>
              <w:t>11,36%</w:t>
            </w:r>
          </w:p>
        </w:tc>
        <w:tc>
          <w:tcPr>
            <w:tcW w:w="1008" w:type="dxa"/>
            <w:tcMar>
              <w:top w:w="70" w:type="dxa"/>
              <w:left w:w="100" w:type="dxa"/>
              <w:bottom w:w="70" w:type="dxa"/>
              <w:right w:w="100" w:type="dxa"/>
            </w:tcMar>
          </w:tcPr>
          <w:p w14:paraId="3D2F1822" w14:textId="77777777" w:rsidR="00F67131" w:rsidRDefault="00000000">
            <w:pPr>
              <w:spacing w:before="40" w:after="40" w:line="240" w:lineRule="auto"/>
              <w:jc w:val="both"/>
            </w:pPr>
            <w:r>
              <w:rPr>
                <w:rFonts w:ascii="Times New Roman" w:hAnsi="Times New Roman"/>
                <w:color w:val="262626"/>
                <w:sz w:val="18"/>
              </w:rPr>
              <w:t>10,22%</w:t>
            </w:r>
          </w:p>
        </w:tc>
      </w:tr>
      <w:tr w:rsidR="00F67131" w14:paraId="28DBA28E" w14:textId="77777777">
        <w:trPr>
          <w:jc w:val="center"/>
          <w:cantSplit/>
        </w:trPr>
        <w:tc>
          <w:tcPr>
            <w:tcW w:w="3456" w:type="dxa"/>
            <w:tcMar>
              <w:top w:w="70" w:type="dxa"/>
              <w:left w:w="100" w:type="dxa"/>
              <w:bottom w:w="70" w:type="dxa"/>
              <w:right w:w="100" w:type="dxa"/>
            </w:tcMar>
          </w:tcPr>
          <w:p w14:paraId="52B25A67" w14:textId="77777777" w:rsidR="00F67131" w:rsidRDefault="00000000">
            <w:pPr>
              <w:spacing w:before="40" w:after="40" w:line="240" w:lineRule="auto"/>
              <w:jc w:val="both"/>
            </w:pPr>
            <w:r>
              <w:rPr>
                <w:rFonts w:ascii="Times New Roman" w:hAnsi="Times New Roman"/>
                <w:color w:val="262626"/>
                <w:sz w:val="18"/>
              </w:rPr>
              <w:t>MB: Dư nợ cho vay BĐS &amp; Xây dựng / Dư nợ (TM 10.4)</w:t>
            </w:r>
          </w:p>
        </w:tc>
        <w:tc>
          <w:tcPr>
            <w:tcW w:w="1008" w:type="dxa"/>
            <w:tcMar>
              <w:top w:w="70" w:type="dxa"/>
              <w:left w:w="100" w:type="dxa"/>
              <w:bottom w:w="70" w:type="dxa"/>
              <w:right w:w="100" w:type="dxa"/>
            </w:tcMar>
          </w:tcPr>
          <w:p w14:paraId="1F42F3EB" w14:textId="77777777" w:rsidR="00F67131" w:rsidRDefault="00000000">
            <w:pPr>
              <w:spacing w:before="40" w:after="40" w:line="240" w:lineRule="auto"/>
              <w:jc w:val="both"/>
            </w:pPr>
            <w:r>
              <w:rPr>
                <w:rFonts w:ascii="Times New Roman" w:hAnsi="Times New Roman"/>
                <w:color w:val="262626"/>
                <w:sz w:val="18"/>
              </w:rPr>
              <w:t>9,2%</w:t>
            </w:r>
          </w:p>
        </w:tc>
        <w:tc>
          <w:tcPr>
            <w:tcW w:w="1008" w:type="dxa"/>
            <w:tcMar>
              <w:top w:w="70" w:type="dxa"/>
              <w:left w:w="100" w:type="dxa"/>
              <w:bottom w:w="70" w:type="dxa"/>
              <w:right w:w="100" w:type="dxa"/>
            </w:tcMar>
          </w:tcPr>
          <w:p w14:paraId="66943152" w14:textId="77777777" w:rsidR="00F67131" w:rsidRDefault="00000000">
            <w:pPr>
              <w:spacing w:before="40" w:after="40" w:line="240" w:lineRule="auto"/>
              <w:jc w:val="both"/>
            </w:pPr>
            <w:r>
              <w:rPr>
                <w:rFonts w:ascii="Times New Roman" w:hAnsi="Times New Roman"/>
                <w:color w:val="262626"/>
                <w:sz w:val="18"/>
              </w:rPr>
              <w:t>9,7%</w:t>
            </w:r>
          </w:p>
        </w:tc>
        <w:tc>
          <w:tcPr>
            <w:tcW w:w="1008" w:type="dxa"/>
            <w:tcMar>
              <w:top w:w="70" w:type="dxa"/>
              <w:left w:w="100" w:type="dxa"/>
              <w:bottom w:w="70" w:type="dxa"/>
              <w:right w:w="100" w:type="dxa"/>
            </w:tcMar>
          </w:tcPr>
          <w:p w14:paraId="5E350468" w14:textId="77777777" w:rsidR="00F67131" w:rsidRDefault="00000000">
            <w:pPr>
              <w:spacing w:before="40" w:after="40" w:line="240" w:lineRule="auto"/>
              <w:jc w:val="both"/>
            </w:pPr>
            <w:r>
              <w:rPr>
                <w:rFonts w:ascii="Times New Roman" w:hAnsi="Times New Roman"/>
                <w:color w:val="262626"/>
                <w:sz w:val="18"/>
              </w:rPr>
              <w:t>10,4%</w:t>
            </w:r>
          </w:p>
        </w:tc>
        <w:tc>
          <w:tcPr>
            <w:tcW w:w="1008" w:type="dxa"/>
            <w:tcMar>
              <w:top w:w="70" w:type="dxa"/>
              <w:left w:w="100" w:type="dxa"/>
              <w:bottom w:w="70" w:type="dxa"/>
              <w:right w:w="100" w:type="dxa"/>
            </w:tcMar>
          </w:tcPr>
          <w:p w14:paraId="32F70005" w14:textId="77777777" w:rsidR="00F67131" w:rsidRDefault="00000000">
            <w:pPr>
              <w:spacing w:before="40" w:after="40" w:line="240" w:lineRule="auto"/>
              <w:jc w:val="both"/>
            </w:pPr>
            <w:r>
              <w:rPr>
                <w:rFonts w:ascii="Times New Roman" w:hAnsi="Times New Roman"/>
                <w:color w:val="262626"/>
                <w:sz w:val="18"/>
              </w:rPr>
              <w:t>11,8%</w:t>
            </w:r>
          </w:p>
        </w:tc>
        <w:tc>
          <w:tcPr>
            <w:tcW w:w="1008" w:type="dxa"/>
            <w:tcMar>
              <w:top w:w="70" w:type="dxa"/>
              <w:left w:w="100" w:type="dxa"/>
              <w:bottom w:w="70" w:type="dxa"/>
              <w:right w:w="100" w:type="dxa"/>
            </w:tcMar>
          </w:tcPr>
          <w:p w14:paraId="48C88B6B" w14:textId="77777777" w:rsidR="00F67131" w:rsidRDefault="00000000">
            <w:pPr>
              <w:spacing w:before="40" w:after="40" w:line="240" w:lineRule="auto"/>
              <w:jc w:val="both"/>
            </w:pPr>
            <w:r>
              <w:rPr>
                <w:rFonts w:ascii="Times New Roman" w:hAnsi="Times New Roman"/>
                <w:color w:val="262626"/>
                <w:sz w:val="18"/>
              </w:rPr>
              <w:t>12,4%</w:t>
            </w:r>
          </w:p>
        </w:tc>
        <w:tc>
          <w:tcPr>
            <w:tcW w:w="1008" w:type="dxa"/>
            <w:tcMar>
              <w:top w:w="70" w:type="dxa"/>
              <w:left w:w="100" w:type="dxa"/>
              <w:bottom w:w="70" w:type="dxa"/>
              <w:right w:w="100" w:type="dxa"/>
            </w:tcMar>
          </w:tcPr>
          <w:p w14:paraId="50996C46" w14:textId="77777777" w:rsidR="00F67131" w:rsidRDefault="00000000">
            <w:pPr>
              <w:spacing w:before="40" w:after="40" w:line="240" w:lineRule="auto"/>
              <w:jc w:val="both"/>
            </w:pPr>
            <w:r>
              <w:rPr>
                <w:rFonts w:ascii="Times New Roman" w:hAnsi="Times New Roman"/>
                <w:color w:val="262626"/>
                <w:sz w:val="18"/>
              </w:rPr>
              <w:t>15,4%</w:t>
            </w:r>
          </w:p>
        </w:tc>
      </w:tr>
      <w:tr w:rsidR="00F67131" w14:paraId="5FB509C7" w14:textId="77777777">
        <w:trPr>
          <w:jc w:val="center"/>
          <w:cantSplit/>
        </w:trPr>
        <w:tc>
          <w:tcPr>
            <w:tcW w:w="3456" w:type="dxa"/>
            <w:tcMar>
              <w:top w:w="70" w:type="dxa"/>
              <w:left w:w="100" w:type="dxa"/>
              <w:bottom w:w="70" w:type="dxa"/>
              <w:right w:w="100" w:type="dxa"/>
            </w:tcMar>
          </w:tcPr>
          <w:p w14:paraId="0CF7F55C" w14:textId="77777777" w:rsidR="00F67131" w:rsidRDefault="00000000">
            <w:pPr>
              <w:spacing w:before="40" w:after="40" w:line="240" w:lineRule="auto"/>
              <w:jc w:val="both"/>
            </w:pPr>
            <w:r>
              <w:rPr>
                <w:rFonts w:ascii="Times New Roman" w:hAnsi="Times New Roman"/>
                <w:color w:val="262626"/>
                <w:sz w:val="18"/>
              </w:rPr>
              <w:t>MB: Dư nợ TPDN do TCKT phát hành (TM 12/13, tỷ)</w:t>
            </w:r>
          </w:p>
        </w:tc>
        <w:tc>
          <w:tcPr>
            <w:tcW w:w="1008" w:type="dxa"/>
            <w:tcMar>
              <w:top w:w="70" w:type="dxa"/>
              <w:left w:w="100" w:type="dxa"/>
              <w:bottom w:w="70" w:type="dxa"/>
              <w:right w:w="100" w:type="dxa"/>
            </w:tcMar>
          </w:tcPr>
          <w:p w14:paraId="1F8C80BF" w14:textId="77777777" w:rsidR="00F67131" w:rsidRDefault="00000000">
            <w:pPr>
              <w:spacing w:before="40" w:after="40" w:line="240" w:lineRule="auto"/>
              <w:jc w:val="both"/>
            </w:pPr>
            <w:r>
              <w:rPr>
                <w:rFonts w:ascii="Times New Roman" w:hAnsi="Times New Roman"/>
                <w:color w:val="262626"/>
                <w:sz w:val="18"/>
              </w:rPr>
              <w:t>27.416</w:t>
            </w:r>
          </w:p>
        </w:tc>
        <w:tc>
          <w:tcPr>
            <w:tcW w:w="1008" w:type="dxa"/>
            <w:tcMar>
              <w:top w:w="70" w:type="dxa"/>
              <w:left w:w="100" w:type="dxa"/>
              <w:bottom w:w="70" w:type="dxa"/>
              <w:right w:w="100" w:type="dxa"/>
            </w:tcMar>
          </w:tcPr>
          <w:p w14:paraId="6C33ED4F" w14:textId="77777777" w:rsidR="00F67131" w:rsidRDefault="00000000">
            <w:pPr>
              <w:spacing w:before="40" w:after="40" w:line="240" w:lineRule="auto"/>
              <w:jc w:val="both"/>
            </w:pPr>
            <w:r>
              <w:rPr>
                <w:rFonts w:ascii="Times New Roman" w:hAnsi="Times New Roman"/>
                <w:color w:val="262626"/>
                <w:sz w:val="18"/>
              </w:rPr>
              <w:t>42.369</w:t>
            </w:r>
          </w:p>
        </w:tc>
        <w:tc>
          <w:tcPr>
            <w:tcW w:w="1008" w:type="dxa"/>
            <w:tcMar>
              <w:top w:w="70" w:type="dxa"/>
              <w:left w:w="100" w:type="dxa"/>
              <w:bottom w:w="70" w:type="dxa"/>
              <w:right w:w="100" w:type="dxa"/>
            </w:tcMar>
          </w:tcPr>
          <w:p w14:paraId="1F23EC4F" w14:textId="77777777" w:rsidR="00F67131" w:rsidRDefault="00000000">
            <w:pPr>
              <w:spacing w:before="40" w:after="40" w:line="240" w:lineRule="auto"/>
              <w:jc w:val="both"/>
            </w:pPr>
            <w:r>
              <w:rPr>
                <w:rFonts w:ascii="Times New Roman" w:hAnsi="Times New Roman"/>
                <w:color w:val="262626"/>
                <w:sz w:val="18"/>
              </w:rPr>
              <w:t>46.870</w:t>
            </w:r>
          </w:p>
        </w:tc>
        <w:tc>
          <w:tcPr>
            <w:tcW w:w="1008" w:type="dxa"/>
            <w:tcMar>
              <w:top w:w="70" w:type="dxa"/>
              <w:left w:w="100" w:type="dxa"/>
              <w:bottom w:w="70" w:type="dxa"/>
              <w:right w:w="100" w:type="dxa"/>
            </w:tcMar>
          </w:tcPr>
          <w:p w14:paraId="402D48DF" w14:textId="77777777" w:rsidR="00F67131" w:rsidRDefault="00000000">
            <w:pPr>
              <w:spacing w:before="40" w:after="40" w:line="240" w:lineRule="auto"/>
              <w:jc w:val="both"/>
            </w:pPr>
            <w:r>
              <w:rPr>
                <w:rFonts w:ascii="Times New Roman" w:hAnsi="Times New Roman"/>
                <w:color w:val="262626"/>
                <w:sz w:val="18"/>
              </w:rPr>
              <w:t>38.448</w:t>
            </w:r>
          </w:p>
        </w:tc>
        <w:tc>
          <w:tcPr>
            <w:tcW w:w="1008" w:type="dxa"/>
            <w:tcMar>
              <w:top w:w="70" w:type="dxa"/>
              <w:left w:w="100" w:type="dxa"/>
              <w:bottom w:w="70" w:type="dxa"/>
              <w:right w:w="100" w:type="dxa"/>
            </w:tcMar>
          </w:tcPr>
          <w:p w14:paraId="2451795E" w14:textId="77777777" w:rsidR="00F67131" w:rsidRDefault="00000000">
            <w:pPr>
              <w:spacing w:before="40" w:after="40" w:line="240" w:lineRule="auto"/>
              <w:jc w:val="both"/>
            </w:pPr>
            <w:r>
              <w:rPr>
                <w:rFonts w:ascii="Times New Roman" w:hAnsi="Times New Roman"/>
                <w:color w:val="262626"/>
                <w:sz w:val="18"/>
              </w:rPr>
              <w:t>33.443</w:t>
            </w:r>
          </w:p>
        </w:tc>
        <w:tc>
          <w:tcPr>
            <w:tcW w:w="1008" w:type="dxa"/>
            <w:tcMar>
              <w:top w:w="70" w:type="dxa"/>
              <w:left w:w="100" w:type="dxa"/>
              <w:bottom w:w="70" w:type="dxa"/>
              <w:right w:w="100" w:type="dxa"/>
            </w:tcMar>
          </w:tcPr>
          <w:p w14:paraId="64A9C345" w14:textId="77777777" w:rsidR="00F67131" w:rsidRDefault="00000000">
            <w:pPr>
              <w:spacing w:before="40" w:after="40" w:line="240" w:lineRule="auto"/>
              <w:jc w:val="both"/>
            </w:pPr>
            <w:r>
              <w:rPr>
                <w:rFonts w:ascii="Times New Roman" w:hAnsi="Times New Roman"/>
                <w:color w:val="262626"/>
                <w:sz w:val="18"/>
              </w:rPr>
              <w:t>23.410</w:t>
            </w:r>
          </w:p>
        </w:tc>
      </w:tr>
      <w:tr w:rsidR="00F67131" w14:paraId="0491582C" w14:textId="77777777">
        <w:trPr>
          <w:jc w:val="center"/>
          <w:cantSplit/>
        </w:trPr>
        <w:tc>
          <w:tcPr>
            <w:tcW w:w="3456" w:type="dxa"/>
            <w:tcMar>
              <w:top w:w="70" w:type="dxa"/>
              <w:left w:w="100" w:type="dxa"/>
              <w:bottom w:w="70" w:type="dxa"/>
              <w:right w:w="100" w:type="dxa"/>
            </w:tcMar>
          </w:tcPr>
          <w:p w14:paraId="3F44FDB8" w14:textId="77777777" w:rsidR="00F67131" w:rsidRDefault="00000000">
            <w:pPr>
              <w:spacing w:before="40" w:after="40" w:line="240" w:lineRule="auto"/>
              <w:jc w:val="both"/>
            </w:pPr>
            <w:r>
              <w:rPr>
                <w:rFonts w:ascii="Times New Roman" w:hAnsi="Times New Roman"/>
                <w:b/>
                <w:color w:val="262626"/>
                <w:sz w:val="18"/>
              </w:rPr>
              <w:t>MB: CAR hợp nhất theo Thông tư 41 (BCTN)</w:t>
            </w:r>
          </w:p>
        </w:tc>
        <w:tc>
          <w:tcPr>
            <w:tcW w:w="1008" w:type="dxa"/>
            <w:tcMar>
              <w:top w:w="70" w:type="dxa"/>
              <w:left w:w="100" w:type="dxa"/>
              <w:bottom w:w="70" w:type="dxa"/>
              <w:right w:w="100" w:type="dxa"/>
            </w:tcMar>
          </w:tcPr>
          <w:p w14:paraId="54C6614C" w14:textId="77777777" w:rsidR="00F67131" w:rsidRDefault="00000000">
            <w:pPr>
              <w:spacing w:before="40" w:after="40" w:line="240" w:lineRule="auto"/>
              <w:jc w:val="both"/>
            </w:pPr>
            <w:r>
              <w:rPr>
                <w:rFonts w:ascii="Times New Roman" w:hAnsi="Times New Roman"/>
                <w:color w:val="262626"/>
                <w:sz w:val="18"/>
              </w:rPr>
              <w:t>10,42%</w:t>
            </w:r>
          </w:p>
        </w:tc>
        <w:tc>
          <w:tcPr>
            <w:tcW w:w="1008" w:type="dxa"/>
            <w:tcMar>
              <w:top w:w="70" w:type="dxa"/>
              <w:left w:w="100" w:type="dxa"/>
              <w:bottom w:w="70" w:type="dxa"/>
              <w:right w:w="100" w:type="dxa"/>
            </w:tcMar>
          </w:tcPr>
          <w:p w14:paraId="598F7833" w14:textId="77777777" w:rsidR="00F67131" w:rsidRDefault="00000000">
            <w:pPr>
              <w:spacing w:before="40" w:after="40" w:line="240" w:lineRule="auto"/>
              <w:jc w:val="both"/>
            </w:pPr>
            <w:r>
              <w:rPr>
                <w:rFonts w:ascii="Times New Roman" w:hAnsi="Times New Roman"/>
                <w:color w:val="262626"/>
                <w:sz w:val="18"/>
              </w:rPr>
              <w:t>11,28%</w:t>
            </w:r>
          </w:p>
        </w:tc>
        <w:tc>
          <w:tcPr>
            <w:tcW w:w="1008" w:type="dxa"/>
            <w:tcMar>
              <w:top w:w="70" w:type="dxa"/>
              <w:left w:w="100" w:type="dxa"/>
              <w:bottom w:w="70" w:type="dxa"/>
              <w:right w:w="100" w:type="dxa"/>
            </w:tcMar>
          </w:tcPr>
          <w:p w14:paraId="70032354" w14:textId="77777777" w:rsidR="00F67131" w:rsidRDefault="00000000">
            <w:pPr>
              <w:spacing w:before="40" w:after="40" w:line="240" w:lineRule="auto"/>
              <w:jc w:val="both"/>
            </w:pPr>
            <w:r>
              <w:rPr>
                <w:rFonts w:ascii="Times New Roman" w:hAnsi="Times New Roman"/>
                <w:color w:val="262626"/>
                <w:sz w:val="18"/>
              </w:rPr>
              <w:t>11,53%</w:t>
            </w:r>
          </w:p>
        </w:tc>
        <w:tc>
          <w:tcPr>
            <w:tcW w:w="1008" w:type="dxa"/>
            <w:tcMar>
              <w:top w:w="70" w:type="dxa"/>
              <w:left w:w="100" w:type="dxa"/>
              <w:bottom w:w="70" w:type="dxa"/>
              <w:right w:w="100" w:type="dxa"/>
            </w:tcMar>
          </w:tcPr>
          <w:p w14:paraId="436F2F72" w14:textId="77777777" w:rsidR="00F67131" w:rsidRDefault="00000000">
            <w:pPr>
              <w:spacing w:before="40" w:after="40" w:line="240" w:lineRule="auto"/>
              <w:jc w:val="both"/>
            </w:pPr>
            <w:r>
              <w:rPr>
                <w:rFonts w:ascii="Times New Roman" w:hAnsi="Times New Roman"/>
                <w:color w:val="262626"/>
                <w:sz w:val="18"/>
              </w:rPr>
              <w:t>10,75%</w:t>
            </w:r>
          </w:p>
        </w:tc>
        <w:tc>
          <w:tcPr>
            <w:tcW w:w="1008" w:type="dxa"/>
            <w:tcMar>
              <w:top w:w="70" w:type="dxa"/>
              <w:left w:w="100" w:type="dxa"/>
              <w:bottom w:w="70" w:type="dxa"/>
              <w:right w:w="100" w:type="dxa"/>
            </w:tcMar>
          </w:tcPr>
          <w:p w14:paraId="1B7C11D7" w14:textId="77777777" w:rsidR="00F67131" w:rsidRDefault="00000000">
            <w:pPr>
              <w:spacing w:before="40" w:after="40" w:line="240" w:lineRule="auto"/>
              <w:jc w:val="both"/>
            </w:pPr>
            <w:r>
              <w:rPr>
                <w:rFonts w:ascii="Times New Roman" w:hAnsi="Times New Roman"/>
                <w:color w:val="262626"/>
                <w:sz w:val="18"/>
              </w:rPr>
              <w:t>11,80%</w:t>
            </w:r>
          </w:p>
        </w:tc>
        <w:tc>
          <w:tcPr>
            <w:tcW w:w="1008" w:type="dxa"/>
            <w:tcMar>
              <w:top w:w="70" w:type="dxa"/>
              <w:left w:w="100" w:type="dxa"/>
              <w:bottom w:w="70" w:type="dxa"/>
              <w:right w:w="100" w:type="dxa"/>
            </w:tcMar>
          </w:tcPr>
          <w:p w14:paraId="01C52E64" w14:textId="77777777" w:rsidR="00F67131" w:rsidRDefault="00000000">
            <w:pPr>
              <w:spacing w:before="40" w:after="40" w:line="240" w:lineRule="auto"/>
              <w:jc w:val="both"/>
            </w:pPr>
            <w:r>
              <w:rPr>
                <w:rFonts w:ascii="Times New Roman" w:hAnsi="Times New Roman"/>
                <w:color w:val="262626"/>
                <w:sz w:val="18"/>
              </w:rPr>
              <w:t>11,00%</w:t>
            </w:r>
          </w:p>
        </w:tc>
      </w:tr>
      <w:tr w:rsidR="00F67131" w14:paraId="4F4DBA28" w14:textId="77777777">
        <w:trPr>
          <w:jc w:val="center"/>
          <w:cantSplit/>
        </w:trPr>
        <w:tc>
          <w:tcPr>
            <w:tcW w:w="3456" w:type="dxa"/>
            <w:tcMar>
              <w:top w:w="70" w:type="dxa"/>
              <w:left w:w="100" w:type="dxa"/>
              <w:bottom w:w="70" w:type="dxa"/>
              <w:right w:w="100" w:type="dxa"/>
            </w:tcMar>
          </w:tcPr>
          <w:p w14:paraId="56F0390C" w14:textId="77777777" w:rsidR="00F67131" w:rsidRDefault="00000000">
            <w:pPr>
              <w:spacing w:before="40" w:after="40" w:line="240" w:lineRule="auto"/>
              <w:jc w:val="both"/>
            </w:pPr>
            <w:r>
              <w:rPr>
                <w:rFonts w:ascii="Times New Roman" w:hAnsi="Times New Roman"/>
                <w:color w:val="262626"/>
                <w:sz w:val="18"/>
              </w:rPr>
              <w:t>MB: Dư nợ tiêu dùng Khối Công ty con (MCredit, MBCambodia; tỷ)</w:t>
            </w:r>
          </w:p>
        </w:tc>
        <w:tc>
          <w:tcPr>
            <w:tcW w:w="1008" w:type="dxa"/>
            <w:tcMar>
              <w:top w:w="70" w:type="dxa"/>
              <w:left w:w="100" w:type="dxa"/>
              <w:bottom w:w="70" w:type="dxa"/>
              <w:right w:w="100" w:type="dxa"/>
            </w:tcMar>
          </w:tcPr>
          <w:p w14:paraId="58C96082" w14:textId="77777777" w:rsidR="00F67131" w:rsidRDefault="00000000">
            <w:pPr>
              <w:spacing w:before="40" w:after="40" w:line="240" w:lineRule="auto"/>
              <w:jc w:val="both"/>
            </w:pPr>
            <w:r>
              <w:rPr>
                <w:rFonts w:ascii="Times New Roman" w:hAnsi="Times New Roman"/>
                <w:color w:val="262626"/>
                <w:sz w:val="18"/>
              </w:rPr>
              <w:t>10.173</w:t>
            </w:r>
          </w:p>
        </w:tc>
        <w:tc>
          <w:tcPr>
            <w:tcW w:w="1008" w:type="dxa"/>
            <w:tcMar>
              <w:top w:w="70" w:type="dxa"/>
              <w:left w:w="100" w:type="dxa"/>
              <w:bottom w:w="70" w:type="dxa"/>
              <w:right w:w="100" w:type="dxa"/>
            </w:tcMar>
          </w:tcPr>
          <w:p w14:paraId="40884001" w14:textId="77777777" w:rsidR="00F67131" w:rsidRDefault="00000000">
            <w:pPr>
              <w:spacing w:before="40" w:after="40" w:line="240" w:lineRule="auto"/>
              <w:jc w:val="both"/>
            </w:pPr>
            <w:r>
              <w:rPr>
                <w:rFonts w:ascii="Times New Roman" w:hAnsi="Times New Roman"/>
                <w:color w:val="262626"/>
                <w:sz w:val="18"/>
              </w:rPr>
              <w:t>15.118</w:t>
            </w:r>
          </w:p>
        </w:tc>
        <w:tc>
          <w:tcPr>
            <w:tcW w:w="1008" w:type="dxa"/>
            <w:tcMar>
              <w:top w:w="70" w:type="dxa"/>
              <w:left w:w="100" w:type="dxa"/>
              <w:bottom w:w="70" w:type="dxa"/>
              <w:right w:w="100" w:type="dxa"/>
            </w:tcMar>
          </w:tcPr>
          <w:p w14:paraId="460C4BF7" w14:textId="77777777" w:rsidR="00F67131" w:rsidRDefault="00000000">
            <w:pPr>
              <w:spacing w:before="40" w:after="40" w:line="240" w:lineRule="auto"/>
              <w:jc w:val="both"/>
            </w:pPr>
            <w:r>
              <w:rPr>
                <w:rFonts w:ascii="Times New Roman" w:hAnsi="Times New Roman"/>
                <w:color w:val="262626"/>
                <w:sz w:val="18"/>
              </w:rPr>
              <w:t>21.624</w:t>
            </w:r>
          </w:p>
        </w:tc>
        <w:tc>
          <w:tcPr>
            <w:tcW w:w="1008" w:type="dxa"/>
            <w:tcMar>
              <w:top w:w="70" w:type="dxa"/>
              <w:left w:w="100" w:type="dxa"/>
              <w:bottom w:w="70" w:type="dxa"/>
              <w:right w:w="100" w:type="dxa"/>
            </w:tcMar>
          </w:tcPr>
          <w:p w14:paraId="60CB2842" w14:textId="77777777" w:rsidR="00F67131" w:rsidRDefault="00000000">
            <w:pPr>
              <w:spacing w:before="40" w:after="40" w:line="240" w:lineRule="auto"/>
              <w:jc w:val="both"/>
            </w:pPr>
            <w:r>
              <w:rPr>
                <w:rFonts w:ascii="Times New Roman" w:hAnsi="Times New Roman"/>
                <w:color w:val="262626"/>
                <w:sz w:val="18"/>
              </w:rPr>
              <w:t>21.388</w:t>
            </w:r>
          </w:p>
        </w:tc>
        <w:tc>
          <w:tcPr>
            <w:tcW w:w="1008" w:type="dxa"/>
            <w:tcMar>
              <w:top w:w="70" w:type="dxa"/>
              <w:left w:w="100" w:type="dxa"/>
              <w:bottom w:w="70" w:type="dxa"/>
              <w:right w:w="100" w:type="dxa"/>
            </w:tcMar>
          </w:tcPr>
          <w:p w14:paraId="6CD44A89" w14:textId="77777777" w:rsidR="00F67131" w:rsidRDefault="00000000">
            <w:pPr>
              <w:spacing w:before="40" w:after="40" w:line="240" w:lineRule="auto"/>
              <w:jc w:val="both"/>
            </w:pPr>
            <w:r>
              <w:rPr>
                <w:rFonts w:ascii="Times New Roman" w:hAnsi="Times New Roman"/>
                <w:color w:val="262626"/>
                <w:sz w:val="18"/>
              </w:rPr>
              <w:t>25.435</w:t>
            </w:r>
          </w:p>
        </w:tc>
        <w:tc>
          <w:tcPr>
            <w:tcW w:w="1008" w:type="dxa"/>
            <w:tcMar>
              <w:top w:w="70" w:type="dxa"/>
              <w:left w:w="100" w:type="dxa"/>
              <w:bottom w:w="70" w:type="dxa"/>
              <w:right w:w="100" w:type="dxa"/>
            </w:tcMar>
          </w:tcPr>
          <w:p w14:paraId="273C4C74" w14:textId="77777777" w:rsidR="00F67131" w:rsidRDefault="00000000">
            <w:pPr>
              <w:spacing w:before="40" w:after="40" w:line="240" w:lineRule="auto"/>
              <w:jc w:val="both"/>
            </w:pPr>
            <w:r>
              <w:rPr>
                <w:rFonts w:ascii="Times New Roman" w:hAnsi="Times New Roman"/>
                <w:color w:val="262626"/>
                <w:sz w:val="18"/>
              </w:rPr>
              <w:t>29.622</w:t>
            </w:r>
          </w:p>
        </w:tc>
      </w:tr>
      <w:tr w:rsidR="00F67131" w14:paraId="5F7760A6" w14:textId="77777777">
        <w:trPr>
          <w:jc w:val="center"/>
          <w:cantSplit/>
        </w:trPr>
        <w:tc>
          <w:tcPr>
            <w:tcW w:w="3456" w:type="dxa"/>
            <w:tcMar>
              <w:top w:w="70" w:type="dxa"/>
              <w:left w:w="100" w:type="dxa"/>
              <w:bottom w:w="70" w:type="dxa"/>
              <w:right w:w="100" w:type="dxa"/>
            </w:tcMar>
          </w:tcPr>
          <w:p w14:paraId="73EB7D53" w14:textId="77777777" w:rsidR="00F67131" w:rsidRDefault="00000000">
            <w:pPr>
              <w:spacing w:before="40" w:after="40" w:line="240" w:lineRule="auto"/>
              <w:jc w:val="both"/>
            </w:pPr>
            <w:r>
              <w:rPr>
                <w:rFonts w:ascii="Times New Roman" w:hAnsi="Times New Roman"/>
                <w:color w:val="262626"/>
                <w:sz w:val="18"/>
              </w:rPr>
              <w:t>MB: Nợ xấu Nhóm 3–5 Khối Công ty con (HN − Riêng lẻ, tỷ)</w:t>
            </w:r>
          </w:p>
        </w:tc>
        <w:tc>
          <w:tcPr>
            <w:tcW w:w="1008" w:type="dxa"/>
            <w:tcMar>
              <w:top w:w="70" w:type="dxa"/>
              <w:left w:w="100" w:type="dxa"/>
              <w:bottom w:w="70" w:type="dxa"/>
              <w:right w:w="100" w:type="dxa"/>
            </w:tcMar>
          </w:tcPr>
          <w:p w14:paraId="2C33CF77" w14:textId="77777777" w:rsidR="00F67131" w:rsidRDefault="00000000">
            <w:pPr>
              <w:spacing w:before="40" w:after="40" w:line="240" w:lineRule="auto"/>
              <w:jc w:val="both"/>
            </w:pPr>
            <w:r>
              <w:rPr>
                <w:rFonts w:ascii="Times New Roman" w:hAnsi="Times New Roman"/>
                <w:color w:val="262626"/>
                <w:sz w:val="18"/>
              </w:rPr>
              <w:t>649</w:t>
            </w:r>
          </w:p>
        </w:tc>
        <w:tc>
          <w:tcPr>
            <w:tcW w:w="1008" w:type="dxa"/>
            <w:tcMar>
              <w:top w:w="70" w:type="dxa"/>
              <w:left w:w="100" w:type="dxa"/>
              <w:bottom w:w="70" w:type="dxa"/>
              <w:right w:w="100" w:type="dxa"/>
            </w:tcMar>
          </w:tcPr>
          <w:p w14:paraId="5AAADAE0" w14:textId="77777777" w:rsidR="00F67131" w:rsidRDefault="00000000">
            <w:pPr>
              <w:spacing w:before="40" w:after="40" w:line="240" w:lineRule="auto"/>
              <w:jc w:val="both"/>
            </w:pPr>
            <w:r>
              <w:rPr>
                <w:rFonts w:ascii="Times New Roman" w:hAnsi="Times New Roman"/>
                <w:color w:val="262626"/>
                <w:sz w:val="18"/>
              </w:rPr>
              <w:t>940</w:t>
            </w:r>
          </w:p>
        </w:tc>
        <w:tc>
          <w:tcPr>
            <w:tcW w:w="1008" w:type="dxa"/>
            <w:tcMar>
              <w:top w:w="70" w:type="dxa"/>
              <w:left w:w="100" w:type="dxa"/>
              <w:bottom w:w="70" w:type="dxa"/>
              <w:right w:w="100" w:type="dxa"/>
            </w:tcMar>
          </w:tcPr>
          <w:p w14:paraId="679BAAA0" w14:textId="77777777" w:rsidR="00F67131" w:rsidRDefault="00000000">
            <w:pPr>
              <w:spacing w:before="40" w:after="40" w:line="240" w:lineRule="auto"/>
              <w:jc w:val="both"/>
            </w:pPr>
            <w:r>
              <w:rPr>
                <w:rFonts w:ascii="Times New Roman" w:hAnsi="Times New Roman"/>
                <w:color w:val="262626"/>
                <w:sz w:val="18"/>
              </w:rPr>
              <w:t>1.406</w:t>
            </w:r>
          </w:p>
        </w:tc>
        <w:tc>
          <w:tcPr>
            <w:tcW w:w="1008" w:type="dxa"/>
            <w:tcMar>
              <w:top w:w="70" w:type="dxa"/>
              <w:left w:w="100" w:type="dxa"/>
              <w:bottom w:w="70" w:type="dxa"/>
              <w:right w:w="100" w:type="dxa"/>
            </w:tcMar>
          </w:tcPr>
          <w:p w14:paraId="59EDA180" w14:textId="77777777" w:rsidR="00F67131" w:rsidRDefault="00000000">
            <w:pPr>
              <w:spacing w:before="40" w:after="40" w:line="240" w:lineRule="auto"/>
              <w:jc w:val="both"/>
            </w:pPr>
            <w:r>
              <w:rPr>
                <w:rFonts w:ascii="Times New Roman" w:hAnsi="Times New Roman"/>
                <w:color w:val="262626"/>
                <w:sz w:val="18"/>
              </w:rPr>
              <w:t>1.683</w:t>
            </w:r>
          </w:p>
        </w:tc>
        <w:tc>
          <w:tcPr>
            <w:tcW w:w="1008" w:type="dxa"/>
            <w:tcMar>
              <w:top w:w="70" w:type="dxa"/>
              <w:left w:w="100" w:type="dxa"/>
              <w:bottom w:w="70" w:type="dxa"/>
              <w:right w:w="100" w:type="dxa"/>
            </w:tcMar>
          </w:tcPr>
          <w:p w14:paraId="0C59A27D" w14:textId="77777777" w:rsidR="00F67131" w:rsidRDefault="00000000">
            <w:pPr>
              <w:spacing w:before="40" w:after="40" w:line="240" w:lineRule="auto"/>
              <w:jc w:val="both"/>
            </w:pPr>
            <w:r>
              <w:rPr>
                <w:rFonts w:ascii="Times New Roman" w:hAnsi="Times New Roman"/>
                <w:color w:val="262626"/>
                <w:sz w:val="18"/>
              </w:rPr>
              <w:t>2.092</w:t>
            </w:r>
          </w:p>
        </w:tc>
        <w:tc>
          <w:tcPr>
            <w:tcW w:w="1008" w:type="dxa"/>
            <w:tcMar>
              <w:top w:w="70" w:type="dxa"/>
              <w:left w:w="100" w:type="dxa"/>
              <w:bottom w:w="70" w:type="dxa"/>
              <w:right w:w="100" w:type="dxa"/>
            </w:tcMar>
          </w:tcPr>
          <w:p w14:paraId="65BB59F8" w14:textId="77777777" w:rsidR="00F67131" w:rsidRDefault="00000000">
            <w:pPr>
              <w:spacing w:before="40" w:after="40" w:line="240" w:lineRule="auto"/>
              <w:jc w:val="both"/>
            </w:pPr>
            <w:r>
              <w:rPr>
                <w:rFonts w:ascii="Times New Roman" w:hAnsi="Times New Roman"/>
                <w:color w:val="262626"/>
                <w:sz w:val="18"/>
              </w:rPr>
              <w:t>2.509</w:t>
            </w:r>
          </w:p>
        </w:tc>
      </w:tr>
    </w:tbl>
    <w:p w14:paraId="01C3AD2E"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Trích xuất từ Thuyết minh cho vay theo ngành kinh tế (TM 9/10 Agribank; TM 10.4 MB), Thuyết minh chứng khoán đầu tư (TM 12/13 MB) và Báo cáo thường niên / Pillar 3 2020–2025.</w:t>
      </w:r>
    </w:p>
    <w:p w14:paraId="4AD76E44" w14:textId="77777777" w:rsidR="00010F8E" w:rsidRDefault="00000000">
      <w:pPr>
        <w:keepNext/>
        <w:spacing w:before="240" w:after="80"/>
        <w:jc w:val="center"/>
      </w:pPr>
      <w:r>
        <w:rPr>
          <w:rFonts w:ascii="Times New Roman" w:hAnsi="Times New Roman"/>
          <w:b/>
          <w:color w:val="002060"/>
          <w:sz w:val="21"/>
        </w:rPr>
        <w:lastRenderedPageBreak/>
        <w:t>Hình 4. Mức độ tập trung tín dụng BĐS &amp; Xây dựng và Hệ số an toàn vốn (CAR) giai đoạn 2020–2025</w:t>
      </w:r>
    </w:p>
    <w:p w14:paraId="45ADF528" w14:textId="77777777" w:rsidR="00010F8E" w:rsidRDefault="00000000">
      <w:pPr>
        <w:spacing w:before="80" w:after="80"/>
        <w:jc w:val="center"/>
      </w:pPr>
      <w:r>
        <w:rPr>
          <w:noProof/>
        </w:rPr>
        <w:drawing>
          <wp:inline distT="0" distB="0" distL="0" distR="0" wp14:anchorId="61BC3136" wp14:editId="0BB8CD12">
            <wp:extent cx="5669280" cy="2551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Co_cau_BDS_va_CAR.png"/>
                    <pic:cNvPicPr/>
                  </pic:nvPicPr>
                  <pic:blipFill>
                    <a:blip r:embed="rId9"/>
                    <a:stretch>
                      <a:fillRect/>
                    </a:stretch>
                  </pic:blipFill>
                  <pic:spPr>
                    <a:xfrm>
                      <a:off x="0" y="0"/>
                      <a:ext cx="5669280" cy="2551176"/>
                    </a:xfrm>
                    <a:prstGeom prst="rect">
                      <a:avLst/>
                    </a:prstGeom>
                  </pic:spPr>
                </pic:pic>
              </a:graphicData>
            </a:graphic>
          </wp:inline>
        </w:drawing>
      </w:r>
    </w:p>
    <w:p w14:paraId="3DA2D0D4" w14:textId="77777777" w:rsidR="00010F8E" w:rsidRDefault="00000000">
      <w:pPr>
        <w:spacing w:before="60"/>
        <w:jc w:val="center"/>
      </w:pPr>
      <w:r>
        <w:rPr>
          <w:rFonts w:ascii="Times New Roman" w:hAnsi="Times New Roman"/>
          <w:i/>
          <w:color w:val="505050"/>
          <w:sz w:val="19"/>
        </w:rPr>
        <w:t>Nguồn: Trích xuất và tính toán từ Thuyết minh dư nợ theo ngành kinh tế và BCTN của hai ngân hàng.</w:t>
      </w:r>
    </w:p>
    <w:p w14:paraId="2A3231EE" w14:textId="77777777" w:rsidR="00F67131" w:rsidRDefault="00000000">
      <w:pPr>
        <w:spacing w:after="80" w:line="300" w:lineRule="auto"/>
        <w:jc w:val="both"/>
      </w:pPr>
      <w:r>
        <w:rPr>
          <w:rFonts w:ascii="Times New Roman" w:hAnsi="Times New Roman"/>
          <w:color w:val="000000"/>
        </w:rPr>
        <w:t>Khoảng cách an toàn vốn và rủi ro tập trung ngành: Đồ thị tại Hình 4 phản ánh mối tương quan trực tiếp giữa mức độ tập trung tín dụng bất động sản - xây dựng và khả năng duy trì hệ số an toàn vốn (CAR). CAR hợp nhất của MB theo Thông tư 41 dao động 10,42%–11,80% trong giai đoạn 2020–2025, được hỗ trợ bởi lợi nhuận giữ lại và cổ tức bằng cổ phiếu. CAR công bố của Agribank là 10,58%, 10,50% và 10,80% trong 2020–2022, nhưng các năm này tính theo Thông tư 22/2019 (tối thiểu 9%); từ 2023, Agribank chuyển sang Thông tư 41 (tối thiểu 8%) với CAR 9,20% (2023), 11,36% (2024) và 10,22% (2025). Vì vậy chỉ so sánh trực tiếp được CAR của hai ngân hàng từ năm 2023. Mức phục hồi năm 2024 gắn với việc Nhà nước cấp bổ sung 17.100 tỷ đồng vốn điều lệ (vốn điều lệ cuối 2025: 51.639 tỷ đồng); với dư nợ tăng 11%–15%/năm, Agribank vẫn phụ thuộc nguồn vốn ngân sách để duy trì bộ đệm vốn.</w:t>
      </w:r>
    </w:p>
    <w:p w14:paraId="62B233ED" w14:textId="77777777" w:rsidR="00F67131" w:rsidRDefault="00000000">
      <w:pPr>
        <w:pStyle w:val="Heading2"/>
        <w:spacing w:after="80" w:line="300" w:lineRule="auto"/>
      </w:pPr>
      <w:bookmarkStart w:id="17" w:name="_Toc244090117"/>
      <w:r>
        <w:rPr>
          <w:rFonts w:ascii="Times New Roman" w:hAnsi="Times New Roman"/>
          <w:color w:val="0F4C81"/>
          <w:sz w:val="24"/>
        </w:rPr>
        <w:t>4.6. Kiểm tra sức chịu đựng vĩ mô (Macroeconomic Stress Testing 2026)</w:t>
      </w:r>
      <w:bookmarkEnd w:id="17"/>
    </w:p>
    <w:p w14:paraId="697EFB57" w14:textId="77777777" w:rsidR="00F67131" w:rsidRDefault="00000000">
      <w:pPr>
        <w:spacing w:after="80" w:line="300" w:lineRule="auto"/>
        <w:jc w:val="both"/>
      </w:pPr>
      <w:r>
        <w:rPr>
          <w:rFonts w:ascii="Times New Roman" w:hAnsi="Times New Roman"/>
          <w:b/>
        </w:rPr>
        <w:t xml:space="preserve">Thiết kế mô hình và hệ thống công thức giả định Stress Testing 2026: </w:t>
      </w:r>
      <w:r>
        <w:rPr>
          <w:rFonts w:ascii="Times New Roman" w:hAnsi="Times New Roman"/>
        </w:rPr>
        <w:t xml:space="preserve">Để lượng hóa khả năng chống chịu của hai ngân hàng trước các cú sốc vĩ mô tương lai theo khuyến nghị Trụ cột 2 (ICAAP – Basel II), nghiên cứu thiết lập mô hình Stress Testing năm 2026 trên sheet Stress_Testing với 3 kịch bản: (1) Kịch bản Cơ sở (GDP tăng 6,5%, lãi suất ổn định +0 bps, giá BĐS tăng 3,0%, tín dụng hệ thống tăng 14,0%); (2) Kịch bản Tiêu cực (GDP tăng 5,0%, lãi suất tăng +150 bps, giá BĐS giảm 10,0%, tín dụng hệ thống tăng 9,0%); và (3) Kịch bản Cực đoan (GDP tăng 3,5%, lãi suất tăng +300 bps, giá BĐS giảm 25,0%, tín dụng hệ thống tăng 5,0%). Toàn bộ các dòng kết quả trong Bảng 10 được liên kết 100% bằng công thức toán học từ dữ liệu gốc năm 2025 theo bốn cơ chế truyền dẫn: (i) Tăng trưởng dư nợ năm 2026: Agribank tăng lần lượt 10,0%, 5,0% và 1,0% (= tăng trưởng hệ thống trừ 4 điểm %); MB tăng 15,0%, 9,0% và 5,0%; (ii) Chuyển dịch nhóm nợ (Transition Matrix): Tỷ lệ dư nợ chuyển sang Nhóm 2 ở 3 kịch bản của Agribank là 1,5%, 2,5% và 4,0% (MB là 1,8%, 3,5% và 6,0%); tỷ lệ Nợ nhóm 2 đầu kỳ (năm 2025: Agribank 21.282 tỷ đồng; MB 10.210 tỷ đồng) chuyển </w:t>
      </w:r>
      <w:r>
        <w:rPr>
          <w:rFonts w:ascii="Times New Roman" w:hAnsi="Times New Roman"/>
        </w:rPr>
        <w:lastRenderedPageBreak/>
        <w:t>thành nợ xấu mới Nhóm 3–5 lần lượt là 15%, 25% và 40% đối với Agribank (tạo ra 3.192 tỷ, 5.321 tỷ và 8.513 tỷ đồng nợ xấu mới) và 20%, 35%, 55% đối với MB (tạo ra 2.042 tỷ, 3.574 tỷ và 5.616 tỷ đồng nợ xấu mới); (iii) Nhu cầu trích lập dự phòng bổ sung: Bằng 100% nợ xấu phát sinh mới cộng với dự phòng trích thêm cho phần tăng ròng nợ nhóm 2 và phần bù đắp sụt giảm giá trị khấu trừ tài sản bảo đảm bất động sản khi giá BĐS giảm 10%–25%; (iv) Tác động lên Lợi nhuận trước thuế (LNTT) và CAR: LNTT kịch bản tiêu cực và cực đoan giảm tương ứng theo phần chi phí dự phòng vượt kịch bản cơ sở và sự thu hẹp thu nhập lãi thuần; Tài sản có rủi ro (RWA) được ước tính theo hệ số quy đổi RWA/Dư nợ thực nghiệm năm 2025 (xấp xỉ 1,002–1,020 lần dư nợ tại Agribank và 0,923–0,932 lần dư nợ tại MB).</w:t>
      </w:r>
    </w:p>
    <w:p w14:paraId="477D1631" w14:textId="77777777" w:rsidR="00F67131" w:rsidRDefault="00000000">
      <w:pPr>
        <w:spacing w:before="120" w:after="60" w:line="300" w:lineRule="auto"/>
      </w:pPr>
      <w:r>
        <w:rPr>
          <w:rFonts w:ascii="Times New Roman" w:hAnsi="Times New Roman"/>
          <w:b/>
          <w:color w:val="1B365D"/>
          <w:sz w:val="20"/>
        </w:rPr>
        <w:t>Bảng 10. Kết quả Kiểm tra sức chịu đựng vĩ mô năm 2026 đối với Agribank và MB</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76"/>
        <w:gridCol w:w="1476"/>
        <w:gridCol w:w="1476"/>
        <w:gridCol w:w="1476"/>
        <w:gridCol w:w="1468"/>
      </w:tblGrid>
      <w:tr w:rsidR="00F67131" w14:paraId="3D4DFD1A" w14:textId="77777777">
        <w:trPr>
          <w:jc w:val="center"/>
          <w:cantSplit/>
          <w:tblHeader/>
        </w:trPr>
        <w:tc>
          <w:tcPr>
            <w:tcW w:w="3744" w:type="dxa"/>
            <w:shd w:val="clear" w:color="auto" w:fill="1B365D"/>
            <w:tcMar>
              <w:top w:w="70" w:type="dxa"/>
              <w:left w:w="100" w:type="dxa"/>
              <w:bottom w:w="70" w:type="dxa"/>
              <w:right w:w="100" w:type="dxa"/>
            </w:tcMar>
          </w:tcPr>
          <w:p w14:paraId="24C92A9F" w14:textId="77777777" w:rsidR="00F67131" w:rsidRDefault="00000000">
            <w:pPr>
              <w:spacing w:before="40" w:after="40" w:line="240" w:lineRule="auto"/>
              <w:jc w:val="both"/>
            </w:pPr>
            <w:r>
              <w:rPr>
                <w:rFonts w:ascii="Times New Roman" w:hAnsi="Times New Roman"/>
                <w:b/>
                <w:color w:val="FFFFFF"/>
                <w:sz w:val="19"/>
              </w:rPr>
              <w:t>Chỉ tiêu sau Stress Test (Năm 2026)</w:t>
            </w:r>
          </w:p>
        </w:tc>
        <w:tc>
          <w:tcPr>
            <w:tcW w:w="1584" w:type="dxa"/>
            <w:shd w:val="clear" w:color="auto" w:fill="1B365D"/>
            <w:tcMar>
              <w:top w:w="70" w:type="dxa"/>
              <w:left w:w="100" w:type="dxa"/>
              <w:bottom w:w="70" w:type="dxa"/>
              <w:right w:w="100" w:type="dxa"/>
            </w:tcMar>
          </w:tcPr>
          <w:p w14:paraId="5474E0EA" w14:textId="77777777" w:rsidR="00F67131" w:rsidRDefault="00000000">
            <w:pPr>
              <w:spacing w:before="40" w:after="40" w:line="240" w:lineRule="auto"/>
              <w:jc w:val="both"/>
            </w:pPr>
            <w:r>
              <w:rPr>
                <w:rFonts w:ascii="Times New Roman" w:hAnsi="Times New Roman"/>
                <w:b/>
                <w:color w:val="FFFFFF"/>
                <w:sz w:val="19"/>
              </w:rPr>
              <w:t>Hiện tại 2025</w:t>
            </w:r>
          </w:p>
        </w:tc>
        <w:tc>
          <w:tcPr>
            <w:tcW w:w="1584" w:type="dxa"/>
            <w:shd w:val="clear" w:color="auto" w:fill="1B365D"/>
            <w:tcMar>
              <w:top w:w="70" w:type="dxa"/>
              <w:left w:w="100" w:type="dxa"/>
              <w:bottom w:w="70" w:type="dxa"/>
              <w:right w:w="100" w:type="dxa"/>
            </w:tcMar>
          </w:tcPr>
          <w:p w14:paraId="22E551F8" w14:textId="77777777" w:rsidR="00F67131" w:rsidRDefault="00000000">
            <w:pPr>
              <w:spacing w:before="40" w:after="40" w:line="240" w:lineRule="auto"/>
              <w:jc w:val="both"/>
            </w:pPr>
            <w:r>
              <w:rPr>
                <w:rFonts w:ascii="Times New Roman" w:hAnsi="Times New Roman"/>
                <w:b/>
                <w:color w:val="FFFFFF"/>
                <w:sz w:val="19"/>
              </w:rPr>
              <w:t>Kịch bản Cơ sở</w:t>
            </w:r>
          </w:p>
        </w:tc>
        <w:tc>
          <w:tcPr>
            <w:tcW w:w="1584" w:type="dxa"/>
            <w:shd w:val="clear" w:color="auto" w:fill="1B365D"/>
            <w:tcMar>
              <w:top w:w="70" w:type="dxa"/>
              <w:left w:w="100" w:type="dxa"/>
              <w:bottom w:w="70" w:type="dxa"/>
              <w:right w:w="100" w:type="dxa"/>
            </w:tcMar>
          </w:tcPr>
          <w:p w14:paraId="52864C38" w14:textId="77777777" w:rsidR="00F67131" w:rsidRDefault="00000000">
            <w:pPr>
              <w:spacing w:before="40" w:after="40" w:line="240" w:lineRule="auto"/>
              <w:jc w:val="both"/>
            </w:pPr>
            <w:r>
              <w:rPr>
                <w:rFonts w:ascii="Times New Roman" w:hAnsi="Times New Roman"/>
                <w:b/>
                <w:color w:val="FFFFFF"/>
                <w:sz w:val="19"/>
              </w:rPr>
              <w:t>Kịch bản Tiêu cực</w:t>
            </w:r>
          </w:p>
        </w:tc>
        <w:tc>
          <w:tcPr>
            <w:tcW w:w="1584" w:type="dxa"/>
            <w:shd w:val="clear" w:color="auto" w:fill="1B365D"/>
            <w:tcMar>
              <w:top w:w="70" w:type="dxa"/>
              <w:left w:w="100" w:type="dxa"/>
              <w:bottom w:w="70" w:type="dxa"/>
              <w:right w:w="100" w:type="dxa"/>
            </w:tcMar>
          </w:tcPr>
          <w:p w14:paraId="0526D1DF" w14:textId="77777777" w:rsidR="00F67131" w:rsidRDefault="00000000">
            <w:pPr>
              <w:spacing w:before="40" w:after="40" w:line="240" w:lineRule="auto"/>
              <w:jc w:val="both"/>
            </w:pPr>
            <w:r>
              <w:rPr>
                <w:rFonts w:ascii="Times New Roman" w:hAnsi="Times New Roman"/>
                <w:b/>
                <w:color w:val="FFFFFF"/>
                <w:sz w:val="19"/>
              </w:rPr>
              <w:t>Kịch bản Cực đoan</w:t>
            </w:r>
          </w:p>
        </w:tc>
      </w:tr>
      <w:tr w:rsidR="00F67131" w14:paraId="5974EA00" w14:textId="77777777">
        <w:trPr>
          <w:jc w:val="center"/>
          <w:cantSplit/>
        </w:trPr>
        <w:tc>
          <w:tcPr>
            <w:tcW w:w="3744" w:type="dxa"/>
            <w:tcMar>
              <w:top w:w="70" w:type="dxa"/>
              <w:left w:w="100" w:type="dxa"/>
              <w:bottom w:w="70" w:type="dxa"/>
              <w:right w:w="100" w:type="dxa"/>
            </w:tcMar>
          </w:tcPr>
          <w:p w14:paraId="73F3A4E9" w14:textId="77777777" w:rsidR="00F67131" w:rsidRDefault="00000000">
            <w:pPr>
              <w:spacing w:before="40" w:after="40" w:line="240" w:lineRule="auto"/>
              <w:jc w:val="both"/>
            </w:pPr>
            <w:r>
              <w:rPr>
                <w:rFonts w:ascii="Times New Roman" w:hAnsi="Times New Roman"/>
                <w:color w:val="262626"/>
                <w:sz w:val="18"/>
              </w:rPr>
              <w:t>Agribank: NPL dự báo (%)</w:t>
            </w:r>
          </w:p>
        </w:tc>
        <w:tc>
          <w:tcPr>
            <w:tcW w:w="1584" w:type="dxa"/>
            <w:tcMar>
              <w:top w:w="70" w:type="dxa"/>
              <w:left w:w="100" w:type="dxa"/>
              <w:bottom w:w="70" w:type="dxa"/>
              <w:right w:w="100" w:type="dxa"/>
            </w:tcMar>
          </w:tcPr>
          <w:p w14:paraId="650A7002" w14:textId="77777777" w:rsidR="00F67131" w:rsidRDefault="00000000">
            <w:pPr>
              <w:spacing w:before="40" w:after="40" w:line="240" w:lineRule="auto"/>
              <w:jc w:val="both"/>
            </w:pPr>
            <w:r>
              <w:rPr>
                <w:rFonts w:ascii="Times New Roman" w:hAnsi="Times New Roman"/>
                <w:color w:val="262626"/>
                <w:sz w:val="18"/>
              </w:rPr>
              <w:t>1,30%</w:t>
            </w:r>
          </w:p>
        </w:tc>
        <w:tc>
          <w:tcPr>
            <w:tcW w:w="1584" w:type="dxa"/>
            <w:tcMar>
              <w:top w:w="70" w:type="dxa"/>
              <w:left w:w="100" w:type="dxa"/>
              <w:bottom w:w="70" w:type="dxa"/>
              <w:right w:w="100" w:type="dxa"/>
            </w:tcMar>
          </w:tcPr>
          <w:p w14:paraId="5C77F62F" w14:textId="77777777" w:rsidR="00F67131" w:rsidRDefault="00000000">
            <w:pPr>
              <w:spacing w:before="40" w:after="40" w:line="240" w:lineRule="auto"/>
              <w:jc w:val="both"/>
            </w:pPr>
            <w:r>
              <w:rPr>
                <w:rFonts w:ascii="Times New Roman" w:hAnsi="Times New Roman"/>
                <w:color w:val="262626"/>
                <w:sz w:val="18"/>
              </w:rPr>
              <w:t>1,32%</w:t>
            </w:r>
          </w:p>
        </w:tc>
        <w:tc>
          <w:tcPr>
            <w:tcW w:w="1584" w:type="dxa"/>
            <w:tcMar>
              <w:top w:w="70" w:type="dxa"/>
              <w:left w:w="100" w:type="dxa"/>
              <w:bottom w:w="70" w:type="dxa"/>
              <w:right w:w="100" w:type="dxa"/>
            </w:tcMar>
          </w:tcPr>
          <w:p w14:paraId="012C53C7" w14:textId="77777777" w:rsidR="00F67131" w:rsidRDefault="00000000">
            <w:pPr>
              <w:spacing w:before="40" w:after="40" w:line="240" w:lineRule="auto"/>
              <w:jc w:val="both"/>
            </w:pPr>
            <w:r>
              <w:rPr>
                <w:rFonts w:ascii="Times New Roman" w:hAnsi="Times New Roman"/>
                <w:color w:val="262626"/>
                <w:sz w:val="18"/>
              </w:rPr>
              <w:t>1,49%</w:t>
            </w:r>
          </w:p>
        </w:tc>
        <w:tc>
          <w:tcPr>
            <w:tcW w:w="1584" w:type="dxa"/>
            <w:tcMar>
              <w:top w:w="70" w:type="dxa"/>
              <w:left w:w="100" w:type="dxa"/>
              <w:bottom w:w="70" w:type="dxa"/>
              <w:right w:w="100" w:type="dxa"/>
            </w:tcMar>
          </w:tcPr>
          <w:p w14:paraId="1C969F95" w14:textId="77777777" w:rsidR="00F67131" w:rsidRDefault="00000000">
            <w:pPr>
              <w:spacing w:before="40" w:after="40" w:line="240" w:lineRule="auto"/>
              <w:jc w:val="both"/>
            </w:pPr>
            <w:r>
              <w:rPr>
                <w:rFonts w:ascii="Times New Roman" w:hAnsi="Times New Roman"/>
                <w:color w:val="262626"/>
                <w:sz w:val="18"/>
              </w:rPr>
              <w:t>1,71%</w:t>
            </w:r>
          </w:p>
        </w:tc>
      </w:tr>
      <w:tr w:rsidR="00F67131" w14:paraId="613E35D0" w14:textId="77777777">
        <w:trPr>
          <w:jc w:val="center"/>
          <w:cantSplit/>
        </w:trPr>
        <w:tc>
          <w:tcPr>
            <w:tcW w:w="3744" w:type="dxa"/>
            <w:tcMar>
              <w:top w:w="70" w:type="dxa"/>
              <w:left w:w="100" w:type="dxa"/>
              <w:bottom w:w="70" w:type="dxa"/>
              <w:right w:w="100" w:type="dxa"/>
            </w:tcMar>
          </w:tcPr>
          <w:p w14:paraId="7541E34B" w14:textId="77777777" w:rsidR="00F67131" w:rsidRDefault="00000000">
            <w:pPr>
              <w:spacing w:before="40" w:after="40" w:line="240" w:lineRule="auto"/>
              <w:jc w:val="both"/>
            </w:pPr>
            <w:r>
              <w:rPr>
                <w:rFonts w:ascii="Times New Roman" w:hAnsi="Times New Roman"/>
                <w:color w:val="262626"/>
                <w:sz w:val="18"/>
              </w:rPr>
              <w:t>Agribank: Chi phí dự phòng bổ sung (tỷ)</w:t>
            </w:r>
          </w:p>
        </w:tc>
        <w:tc>
          <w:tcPr>
            <w:tcW w:w="1584" w:type="dxa"/>
            <w:tcMar>
              <w:top w:w="70" w:type="dxa"/>
              <w:left w:w="100" w:type="dxa"/>
              <w:bottom w:w="70" w:type="dxa"/>
              <w:right w:w="100" w:type="dxa"/>
            </w:tcMar>
          </w:tcPr>
          <w:p w14:paraId="7BB99BF2" w14:textId="77777777" w:rsidR="00F67131" w:rsidRDefault="00000000">
            <w:pPr>
              <w:spacing w:before="40" w:after="40" w:line="240" w:lineRule="auto"/>
              <w:jc w:val="both"/>
            </w:pPr>
            <w:r>
              <w:rPr>
                <w:rFonts w:ascii="Times New Roman" w:hAnsi="Times New Roman"/>
                <w:color w:val="262626"/>
                <w:sz w:val="18"/>
              </w:rPr>
              <w:t>0</w:t>
            </w:r>
          </w:p>
        </w:tc>
        <w:tc>
          <w:tcPr>
            <w:tcW w:w="1584" w:type="dxa"/>
            <w:tcMar>
              <w:top w:w="70" w:type="dxa"/>
              <w:left w:w="100" w:type="dxa"/>
              <w:bottom w:w="70" w:type="dxa"/>
              <w:right w:w="100" w:type="dxa"/>
            </w:tcMar>
          </w:tcPr>
          <w:p w14:paraId="1AA07BBE" w14:textId="77777777" w:rsidR="00F67131" w:rsidRDefault="00000000">
            <w:pPr>
              <w:spacing w:before="40" w:after="40" w:line="240" w:lineRule="auto"/>
              <w:jc w:val="both"/>
            </w:pPr>
            <w:r>
              <w:rPr>
                <w:rFonts w:ascii="Times New Roman" w:hAnsi="Times New Roman"/>
                <w:color w:val="262626"/>
                <w:sz w:val="18"/>
              </w:rPr>
              <w:t>8.499</w:t>
            </w:r>
          </w:p>
        </w:tc>
        <w:tc>
          <w:tcPr>
            <w:tcW w:w="1584" w:type="dxa"/>
            <w:tcMar>
              <w:top w:w="70" w:type="dxa"/>
              <w:left w:w="100" w:type="dxa"/>
              <w:bottom w:w="70" w:type="dxa"/>
              <w:right w:w="100" w:type="dxa"/>
            </w:tcMar>
          </w:tcPr>
          <w:p w14:paraId="19B7DFFF" w14:textId="77777777" w:rsidR="00F67131" w:rsidRDefault="00000000">
            <w:pPr>
              <w:spacing w:before="40" w:after="40" w:line="240" w:lineRule="auto"/>
              <w:jc w:val="both"/>
            </w:pPr>
            <w:r>
              <w:rPr>
                <w:rFonts w:ascii="Times New Roman" w:hAnsi="Times New Roman"/>
                <w:color w:val="262626"/>
                <w:sz w:val="18"/>
              </w:rPr>
              <w:t>16.188</w:t>
            </w:r>
          </w:p>
        </w:tc>
        <w:tc>
          <w:tcPr>
            <w:tcW w:w="1584" w:type="dxa"/>
            <w:tcMar>
              <w:top w:w="70" w:type="dxa"/>
              <w:left w:w="100" w:type="dxa"/>
              <w:bottom w:w="70" w:type="dxa"/>
              <w:right w:w="100" w:type="dxa"/>
            </w:tcMar>
          </w:tcPr>
          <w:p w14:paraId="3E19076A" w14:textId="77777777" w:rsidR="00F67131" w:rsidRDefault="00000000">
            <w:pPr>
              <w:spacing w:before="40" w:after="40" w:line="240" w:lineRule="auto"/>
              <w:jc w:val="both"/>
            </w:pPr>
            <w:r>
              <w:rPr>
                <w:rFonts w:ascii="Times New Roman" w:hAnsi="Times New Roman"/>
                <w:color w:val="262626"/>
                <w:sz w:val="18"/>
              </w:rPr>
              <w:t>26.500</w:t>
            </w:r>
          </w:p>
        </w:tc>
      </w:tr>
      <w:tr w:rsidR="00F67131" w14:paraId="4125ABCB" w14:textId="77777777">
        <w:trPr>
          <w:jc w:val="center"/>
          <w:cantSplit/>
        </w:trPr>
        <w:tc>
          <w:tcPr>
            <w:tcW w:w="3744" w:type="dxa"/>
            <w:tcMar>
              <w:top w:w="70" w:type="dxa"/>
              <w:left w:w="100" w:type="dxa"/>
              <w:bottom w:w="70" w:type="dxa"/>
              <w:right w:w="100" w:type="dxa"/>
            </w:tcMar>
          </w:tcPr>
          <w:p w14:paraId="2AA35145" w14:textId="77777777" w:rsidR="00F67131" w:rsidRDefault="00000000">
            <w:pPr>
              <w:spacing w:before="40" w:after="40" w:line="240" w:lineRule="auto"/>
              <w:jc w:val="both"/>
            </w:pPr>
            <w:r>
              <w:rPr>
                <w:rFonts w:ascii="Times New Roman" w:hAnsi="Times New Roman"/>
                <w:color w:val="262626"/>
                <w:sz w:val="18"/>
              </w:rPr>
              <w:t>Agribank: CAR sau stress (%)</w:t>
            </w:r>
          </w:p>
        </w:tc>
        <w:tc>
          <w:tcPr>
            <w:tcW w:w="1584" w:type="dxa"/>
            <w:tcMar>
              <w:top w:w="70" w:type="dxa"/>
              <w:left w:w="100" w:type="dxa"/>
              <w:bottom w:w="70" w:type="dxa"/>
              <w:right w:w="100" w:type="dxa"/>
            </w:tcMar>
          </w:tcPr>
          <w:p w14:paraId="56717C56" w14:textId="77777777" w:rsidR="00F67131" w:rsidRDefault="00000000">
            <w:pPr>
              <w:spacing w:before="40" w:after="40" w:line="240" w:lineRule="auto"/>
              <w:jc w:val="both"/>
            </w:pPr>
            <w:r>
              <w:rPr>
                <w:rFonts w:ascii="Times New Roman" w:hAnsi="Times New Roman"/>
                <w:color w:val="262626"/>
                <w:sz w:val="18"/>
              </w:rPr>
              <w:t>10,22%</w:t>
            </w:r>
          </w:p>
        </w:tc>
        <w:tc>
          <w:tcPr>
            <w:tcW w:w="1584" w:type="dxa"/>
            <w:tcMar>
              <w:top w:w="70" w:type="dxa"/>
              <w:left w:w="100" w:type="dxa"/>
              <w:bottom w:w="70" w:type="dxa"/>
              <w:right w:w="100" w:type="dxa"/>
            </w:tcMar>
          </w:tcPr>
          <w:p w14:paraId="5ABBD8E4" w14:textId="77777777" w:rsidR="00F67131" w:rsidRDefault="00000000">
            <w:pPr>
              <w:spacing w:before="40" w:after="40" w:line="240" w:lineRule="auto"/>
              <w:jc w:val="both"/>
            </w:pPr>
            <w:r>
              <w:rPr>
                <w:rFonts w:ascii="Times New Roman" w:hAnsi="Times New Roman"/>
                <w:color w:val="262626"/>
                <w:sz w:val="18"/>
              </w:rPr>
              <w:t>9,89%</w:t>
            </w:r>
          </w:p>
        </w:tc>
        <w:tc>
          <w:tcPr>
            <w:tcW w:w="1584" w:type="dxa"/>
            <w:tcMar>
              <w:top w:w="70" w:type="dxa"/>
              <w:left w:w="100" w:type="dxa"/>
              <w:bottom w:w="70" w:type="dxa"/>
              <w:right w:w="100" w:type="dxa"/>
            </w:tcMar>
          </w:tcPr>
          <w:p w14:paraId="737C8103" w14:textId="77777777" w:rsidR="00F67131" w:rsidRDefault="00000000">
            <w:pPr>
              <w:spacing w:before="40" w:after="40" w:line="240" w:lineRule="auto"/>
              <w:jc w:val="both"/>
            </w:pPr>
            <w:r>
              <w:rPr>
                <w:rFonts w:ascii="Times New Roman" w:hAnsi="Times New Roman"/>
                <w:color w:val="262626"/>
                <w:sz w:val="18"/>
              </w:rPr>
              <w:t>9,44%</w:t>
            </w:r>
          </w:p>
        </w:tc>
        <w:tc>
          <w:tcPr>
            <w:tcW w:w="1584" w:type="dxa"/>
            <w:tcMar>
              <w:top w:w="70" w:type="dxa"/>
              <w:left w:w="100" w:type="dxa"/>
              <w:bottom w:w="70" w:type="dxa"/>
              <w:right w:w="100" w:type="dxa"/>
            </w:tcMar>
          </w:tcPr>
          <w:p w14:paraId="0A6E364C" w14:textId="77777777" w:rsidR="00F67131" w:rsidRDefault="00000000">
            <w:pPr>
              <w:spacing w:before="40" w:after="40" w:line="240" w:lineRule="auto"/>
              <w:jc w:val="both"/>
            </w:pPr>
            <w:r>
              <w:rPr>
                <w:rFonts w:ascii="Times New Roman" w:hAnsi="Times New Roman"/>
                <w:color w:val="262626"/>
                <w:sz w:val="18"/>
              </w:rPr>
              <w:t>8,67%</w:t>
            </w:r>
          </w:p>
        </w:tc>
      </w:tr>
      <w:tr w:rsidR="00F67131" w14:paraId="2A04843E" w14:textId="77777777">
        <w:trPr>
          <w:jc w:val="center"/>
          <w:cantSplit/>
        </w:trPr>
        <w:tc>
          <w:tcPr>
            <w:tcW w:w="3744" w:type="dxa"/>
            <w:tcMar>
              <w:top w:w="70" w:type="dxa"/>
              <w:left w:w="100" w:type="dxa"/>
              <w:bottom w:w="70" w:type="dxa"/>
              <w:right w:w="100" w:type="dxa"/>
            </w:tcMar>
          </w:tcPr>
          <w:p w14:paraId="5D3C6EB3" w14:textId="77777777" w:rsidR="00F67131" w:rsidRDefault="00000000">
            <w:pPr>
              <w:spacing w:before="40" w:after="40" w:line="240" w:lineRule="auto"/>
              <w:jc w:val="both"/>
            </w:pPr>
            <w:r>
              <w:rPr>
                <w:rFonts w:ascii="Times New Roman" w:hAnsi="Times New Roman"/>
                <w:color w:val="262626"/>
                <w:sz w:val="18"/>
              </w:rPr>
              <w:t>Agribank: Thặng dư CAR so với ngưỡng 8,0% (điểm %)</w:t>
            </w:r>
          </w:p>
        </w:tc>
        <w:tc>
          <w:tcPr>
            <w:tcW w:w="1584" w:type="dxa"/>
            <w:tcMar>
              <w:top w:w="70" w:type="dxa"/>
              <w:left w:w="100" w:type="dxa"/>
              <w:bottom w:w="70" w:type="dxa"/>
              <w:right w:w="100" w:type="dxa"/>
            </w:tcMar>
          </w:tcPr>
          <w:p w14:paraId="726FAEB4" w14:textId="77777777" w:rsidR="00F67131" w:rsidRDefault="00000000">
            <w:pPr>
              <w:spacing w:before="40" w:after="40" w:line="240" w:lineRule="auto"/>
              <w:jc w:val="both"/>
            </w:pPr>
            <w:r>
              <w:rPr>
                <w:rFonts w:ascii="Times New Roman" w:hAnsi="Times New Roman"/>
                <w:color w:val="262626"/>
                <w:sz w:val="18"/>
              </w:rPr>
              <w:t>+2,22</w:t>
            </w:r>
          </w:p>
        </w:tc>
        <w:tc>
          <w:tcPr>
            <w:tcW w:w="1584" w:type="dxa"/>
            <w:tcMar>
              <w:top w:w="70" w:type="dxa"/>
              <w:left w:w="100" w:type="dxa"/>
              <w:bottom w:w="70" w:type="dxa"/>
              <w:right w:w="100" w:type="dxa"/>
            </w:tcMar>
          </w:tcPr>
          <w:p w14:paraId="418E1BE3" w14:textId="77777777" w:rsidR="00F67131" w:rsidRDefault="00000000">
            <w:pPr>
              <w:spacing w:before="40" w:after="40" w:line="240" w:lineRule="auto"/>
              <w:jc w:val="both"/>
            </w:pPr>
            <w:r>
              <w:rPr>
                <w:rFonts w:ascii="Times New Roman" w:hAnsi="Times New Roman"/>
                <w:color w:val="262626"/>
                <w:sz w:val="18"/>
              </w:rPr>
              <w:t>+1,89</w:t>
            </w:r>
          </w:p>
        </w:tc>
        <w:tc>
          <w:tcPr>
            <w:tcW w:w="1584" w:type="dxa"/>
            <w:tcMar>
              <w:top w:w="70" w:type="dxa"/>
              <w:left w:w="100" w:type="dxa"/>
              <w:bottom w:w="70" w:type="dxa"/>
              <w:right w:w="100" w:type="dxa"/>
            </w:tcMar>
          </w:tcPr>
          <w:p w14:paraId="03D0ADE8" w14:textId="77777777" w:rsidR="00F67131" w:rsidRDefault="00000000">
            <w:pPr>
              <w:spacing w:before="40" w:after="40" w:line="240" w:lineRule="auto"/>
              <w:jc w:val="both"/>
            </w:pPr>
            <w:r>
              <w:rPr>
                <w:rFonts w:ascii="Times New Roman" w:hAnsi="Times New Roman"/>
                <w:color w:val="262626"/>
                <w:sz w:val="18"/>
              </w:rPr>
              <w:t>+1,44</w:t>
            </w:r>
          </w:p>
        </w:tc>
        <w:tc>
          <w:tcPr>
            <w:tcW w:w="1584" w:type="dxa"/>
            <w:tcMar>
              <w:top w:w="70" w:type="dxa"/>
              <w:left w:w="100" w:type="dxa"/>
              <w:bottom w:w="70" w:type="dxa"/>
              <w:right w:w="100" w:type="dxa"/>
            </w:tcMar>
          </w:tcPr>
          <w:p w14:paraId="77AC59F8" w14:textId="77777777" w:rsidR="00F67131" w:rsidRDefault="00000000">
            <w:pPr>
              <w:spacing w:before="40" w:after="40" w:line="240" w:lineRule="auto"/>
              <w:jc w:val="both"/>
            </w:pPr>
            <w:r>
              <w:rPr>
                <w:rFonts w:ascii="Times New Roman" w:hAnsi="Times New Roman"/>
                <w:color w:val="262626"/>
                <w:sz w:val="18"/>
              </w:rPr>
              <w:t>+0,67</w:t>
            </w:r>
          </w:p>
        </w:tc>
      </w:tr>
      <w:tr w:rsidR="00F67131" w14:paraId="23F2C383" w14:textId="77777777">
        <w:trPr>
          <w:jc w:val="center"/>
          <w:cantSplit/>
        </w:trPr>
        <w:tc>
          <w:tcPr>
            <w:tcW w:w="3744" w:type="dxa"/>
            <w:tcMar>
              <w:top w:w="70" w:type="dxa"/>
              <w:left w:w="100" w:type="dxa"/>
              <w:bottom w:w="70" w:type="dxa"/>
              <w:right w:w="100" w:type="dxa"/>
            </w:tcMar>
          </w:tcPr>
          <w:p w14:paraId="0A520FD3" w14:textId="77777777" w:rsidR="00F67131" w:rsidRDefault="00000000">
            <w:pPr>
              <w:spacing w:before="40" w:after="40" w:line="240" w:lineRule="auto"/>
              <w:jc w:val="both"/>
            </w:pPr>
            <w:r>
              <w:rPr>
                <w:rFonts w:ascii="Times New Roman" w:hAnsi="Times New Roman"/>
                <w:color w:val="262626"/>
                <w:sz w:val="18"/>
              </w:rPr>
              <w:t>MB: NPL hợp nhất dự báo (%)</w:t>
            </w:r>
          </w:p>
        </w:tc>
        <w:tc>
          <w:tcPr>
            <w:tcW w:w="1584" w:type="dxa"/>
            <w:tcMar>
              <w:top w:w="70" w:type="dxa"/>
              <w:left w:w="100" w:type="dxa"/>
              <w:bottom w:w="70" w:type="dxa"/>
              <w:right w:w="100" w:type="dxa"/>
            </w:tcMar>
          </w:tcPr>
          <w:p w14:paraId="0935C834" w14:textId="77777777" w:rsidR="00F67131" w:rsidRDefault="00000000">
            <w:pPr>
              <w:spacing w:before="40" w:after="40" w:line="240" w:lineRule="auto"/>
              <w:jc w:val="both"/>
            </w:pPr>
            <w:r>
              <w:rPr>
                <w:rFonts w:ascii="Times New Roman" w:hAnsi="Times New Roman"/>
                <w:color w:val="262626"/>
                <w:sz w:val="18"/>
              </w:rPr>
              <w:t>1,29%</w:t>
            </w:r>
          </w:p>
        </w:tc>
        <w:tc>
          <w:tcPr>
            <w:tcW w:w="1584" w:type="dxa"/>
            <w:tcMar>
              <w:top w:w="70" w:type="dxa"/>
              <w:left w:w="100" w:type="dxa"/>
              <w:bottom w:w="70" w:type="dxa"/>
              <w:right w:w="100" w:type="dxa"/>
            </w:tcMar>
          </w:tcPr>
          <w:p w14:paraId="6F4E2F5B" w14:textId="77777777" w:rsidR="00F67131" w:rsidRDefault="00000000">
            <w:pPr>
              <w:spacing w:before="40" w:after="40" w:line="240" w:lineRule="auto"/>
              <w:jc w:val="both"/>
            </w:pPr>
            <w:r>
              <w:rPr>
                <w:rFonts w:ascii="Times New Roman" w:hAnsi="Times New Roman"/>
                <w:color w:val="262626"/>
                <w:sz w:val="18"/>
              </w:rPr>
              <w:t>1,29%</w:t>
            </w:r>
          </w:p>
        </w:tc>
        <w:tc>
          <w:tcPr>
            <w:tcW w:w="1584" w:type="dxa"/>
            <w:tcMar>
              <w:top w:w="70" w:type="dxa"/>
              <w:left w:w="100" w:type="dxa"/>
              <w:bottom w:w="70" w:type="dxa"/>
              <w:right w:w="100" w:type="dxa"/>
            </w:tcMar>
          </w:tcPr>
          <w:p w14:paraId="257BA64E" w14:textId="77777777" w:rsidR="00F67131" w:rsidRDefault="00000000">
            <w:pPr>
              <w:spacing w:before="40" w:after="40" w:line="240" w:lineRule="auto"/>
              <w:jc w:val="both"/>
            </w:pPr>
            <w:r>
              <w:rPr>
                <w:rFonts w:ascii="Times New Roman" w:hAnsi="Times New Roman"/>
                <w:color w:val="262626"/>
                <w:sz w:val="18"/>
              </w:rPr>
              <w:t>1,49%</w:t>
            </w:r>
          </w:p>
        </w:tc>
        <w:tc>
          <w:tcPr>
            <w:tcW w:w="1584" w:type="dxa"/>
            <w:tcMar>
              <w:top w:w="70" w:type="dxa"/>
              <w:left w:w="100" w:type="dxa"/>
              <w:bottom w:w="70" w:type="dxa"/>
              <w:right w:w="100" w:type="dxa"/>
            </w:tcMar>
          </w:tcPr>
          <w:p w14:paraId="13A7B5B6" w14:textId="77777777" w:rsidR="00F67131" w:rsidRDefault="00000000">
            <w:pPr>
              <w:spacing w:before="40" w:after="40" w:line="240" w:lineRule="auto"/>
              <w:jc w:val="both"/>
            </w:pPr>
            <w:r>
              <w:rPr>
                <w:rFonts w:ascii="Times New Roman" w:hAnsi="Times New Roman"/>
                <w:color w:val="262626"/>
                <w:sz w:val="18"/>
              </w:rPr>
              <w:t>1,73%</w:t>
            </w:r>
          </w:p>
        </w:tc>
      </w:tr>
      <w:tr w:rsidR="00F67131" w14:paraId="2DC01379" w14:textId="77777777">
        <w:trPr>
          <w:jc w:val="center"/>
          <w:cantSplit/>
        </w:trPr>
        <w:tc>
          <w:tcPr>
            <w:tcW w:w="3744" w:type="dxa"/>
            <w:tcMar>
              <w:top w:w="70" w:type="dxa"/>
              <w:left w:w="100" w:type="dxa"/>
              <w:bottom w:w="70" w:type="dxa"/>
              <w:right w:w="100" w:type="dxa"/>
            </w:tcMar>
          </w:tcPr>
          <w:p w14:paraId="33433B80" w14:textId="77777777" w:rsidR="00F67131" w:rsidRDefault="00000000">
            <w:pPr>
              <w:spacing w:before="40" w:after="40" w:line="240" w:lineRule="auto"/>
              <w:jc w:val="both"/>
            </w:pPr>
            <w:r>
              <w:rPr>
                <w:rFonts w:ascii="Times New Roman" w:hAnsi="Times New Roman"/>
                <w:color w:val="262626"/>
                <w:sz w:val="18"/>
              </w:rPr>
              <w:t>MB: Chi phí dự phòng bổ sung (tỷ)</w:t>
            </w:r>
          </w:p>
        </w:tc>
        <w:tc>
          <w:tcPr>
            <w:tcW w:w="1584" w:type="dxa"/>
            <w:tcMar>
              <w:top w:w="70" w:type="dxa"/>
              <w:left w:w="100" w:type="dxa"/>
              <w:bottom w:w="70" w:type="dxa"/>
              <w:right w:w="100" w:type="dxa"/>
            </w:tcMar>
          </w:tcPr>
          <w:p w14:paraId="354E7F35" w14:textId="77777777" w:rsidR="00F67131" w:rsidRDefault="00000000">
            <w:pPr>
              <w:spacing w:before="40" w:after="40" w:line="240" w:lineRule="auto"/>
              <w:jc w:val="both"/>
            </w:pPr>
            <w:r>
              <w:rPr>
                <w:rFonts w:ascii="Times New Roman" w:hAnsi="Times New Roman"/>
                <w:color w:val="262626"/>
                <w:sz w:val="18"/>
              </w:rPr>
              <w:t>0</w:t>
            </w:r>
          </w:p>
        </w:tc>
        <w:tc>
          <w:tcPr>
            <w:tcW w:w="1584" w:type="dxa"/>
            <w:tcMar>
              <w:top w:w="70" w:type="dxa"/>
              <w:left w:w="100" w:type="dxa"/>
              <w:bottom w:w="70" w:type="dxa"/>
              <w:right w:w="100" w:type="dxa"/>
            </w:tcMar>
          </w:tcPr>
          <w:p w14:paraId="1F72E8B3" w14:textId="77777777" w:rsidR="00F67131" w:rsidRDefault="00000000">
            <w:pPr>
              <w:spacing w:before="40" w:after="40" w:line="240" w:lineRule="auto"/>
              <w:jc w:val="both"/>
            </w:pPr>
            <w:r>
              <w:rPr>
                <w:rFonts w:ascii="Times New Roman" w:hAnsi="Times New Roman"/>
                <w:color w:val="262626"/>
                <w:sz w:val="18"/>
              </w:rPr>
              <w:t>5.203</w:t>
            </w:r>
          </w:p>
        </w:tc>
        <w:tc>
          <w:tcPr>
            <w:tcW w:w="1584" w:type="dxa"/>
            <w:tcMar>
              <w:top w:w="70" w:type="dxa"/>
              <w:left w:w="100" w:type="dxa"/>
              <w:bottom w:w="70" w:type="dxa"/>
              <w:right w:w="100" w:type="dxa"/>
            </w:tcMar>
          </w:tcPr>
          <w:p w14:paraId="1655E9B4" w14:textId="77777777" w:rsidR="00F67131" w:rsidRDefault="00000000">
            <w:pPr>
              <w:spacing w:before="40" w:after="40" w:line="240" w:lineRule="auto"/>
              <w:jc w:val="both"/>
            </w:pPr>
            <w:r>
              <w:rPr>
                <w:rFonts w:ascii="Times New Roman" w:hAnsi="Times New Roman"/>
                <w:color w:val="262626"/>
                <w:sz w:val="18"/>
              </w:rPr>
              <w:t>12.793</w:t>
            </w:r>
          </w:p>
        </w:tc>
        <w:tc>
          <w:tcPr>
            <w:tcW w:w="1584" w:type="dxa"/>
            <w:tcMar>
              <w:top w:w="70" w:type="dxa"/>
              <w:left w:w="100" w:type="dxa"/>
              <w:bottom w:w="70" w:type="dxa"/>
              <w:right w:w="100" w:type="dxa"/>
            </w:tcMar>
          </w:tcPr>
          <w:p w14:paraId="78F36D96" w14:textId="77777777" w:rsidR="00F67131" w:rsidRDefault="00000000">
            <w:pPr>
              <w:spacing w:before="40" w:after="40" w:line="240" w:lineRule="auto"/>
              <w:jc w:val="both"/>
            </w:pPr>
            <w:r>
              <w:rPr>
                <w:rFonts w:ascii="Times New Roman" w:hAnsi="Times New Roman"/>
                <w:color w:val="262626"/>
                <w:sz w:val="18"/>
              </w:rPr>
              <w:t>22.402</w:t>
            </w:r>
          </w:p>
        </w:tc>
      </w:tr>
      <w:tr w:rsidR="00F67131" w14:paraId="4417BE0E" w14:textId="77777777">
        <w:trPr>
          <w:jc w:val="center"/>
          <w:cantSplit/>
        </w:trPr>
        <w:tc>
          <w:tcPr>
            <w:tcW w:w="3744" w:type="dxa"/>
            <w:tcMar>
              <w:top w:w="70" w:type="dxa"/>
              <w:left w:w="100" w:type="dxa"/>
              <w:bottom w:w="70" w:type="dxa"/>
              <w:right w:w="100" w:type="dxa"/>
            </w:tcMar>
          </w:tcPr>
          <w:p w14:paraId="3CB7C5B9" w14:textId="77777777" w:rsidR="00F67131" w:rsidRDefault="00000000">
            <w:pPr>
              <w:spacing w:before="40" w:after="40" w:line="240" w:lineRule="auto"/>
              <w:jc w:val="both"/>
            </w:pPr>
            <w:r>
              <w:rPr>
                <w:rFonts w:ascii="Times New Roman" w:hAnsi="Times New Roman"/>
                <w:color w:val="262626"/>
                <w:sz w:val="18"/>
              </w:rPr>
              <w:t>MB: CAR sau stress (%)</w:t>
            </w:r>
          </w:p>
        </w:tc>
        <w:tc>
          <w:tcPr>
            <w:tcW w:w="1584" w:type="dxa"/>
            <w:tcMar>
              <w:top w:w="70" w:type="dxa"/>
              <w:left w:w="100" w:type="dxa"/>
              <w:bottom w:w="70" w:type="dxa"/>
              <w:right w:w="100" w:type="dxa"/>
            </w:tcMar>
          </w:tcPr>
          <w:p w14:paraId="71292FF5" w14:textId="77777777" w:rsidR="00F67131" w:rsidRDefault="00000000">
            <w:pPr>
              <w:spacing w:before="40" w:after="40" w:line="240" w:lineRule="auto"/>
              <w:jc w:val="both"/>
            </w:pPr>
            <w:r>
              <w:rPr>
                <w:rFonts w:ascii="Times New Roman" w:hAnsi="Times New Roman"/>
                <w:color w:val="262626"/>
                <w:sz w:val="18"/>
              </w:rPr>
              <w:t>11,00%</w:t>
            </w:r>
          </w:p>
        </w:tc>
        <w:tc>
          <w:tcPr>
            <w:tcW w:w="1584" w:type="dxa"/>
            <w:tcMar>
              <w:top w:w="70" w:type="dxa"/>
              <w:left w:w="100" w:type="dxa"/>
              <w:bottom w:w="70" w:type="dxa"/>
              <w:right w:w="100" w:type="dxa"/>
            </w:tcMar>
          </w:tcPr>
          <w:p w14:paraId="5421BD78" w14:textId="77777777" w:rsidR="00F67131" w:rsidRDefault="00000000">
            <w:pPr>
              <w:spacing w:before="40" w:after="40" w:line="240" w:lineRule="auto"/>
              <w:jc w:val="both"/>
            </w:pPr>
            <w:r>
              <w:rPr>
                <w:rFonts w:ascii="Times New Roman" w:hAnsi="Times New Roman"/>
                <w:color w:val="262626"/>
                <w:sz w:val="18"/>
              </w:rPr>
              <w:t>10,78%</w:t>
            </w:r>
          </w:p>
        </w:tc>
        <w:tc>
          <w:tcPr>
            <w:tcW w:w="1584" w:type="dxa"/>
            <w:tcMar>
              <w:top w:w="70" w:type="dxa"/>
              <w:left w:w="100" w:type="dxa"/>
              <w:bottom w:w="70" w:type="dxa"/>
              <w:right w:w="100" w:type="dxa"/>
            </w:tcMar>
          </w:tcPr>
          <w:p w14:paraId="2D6E7AFD" w14:textId="77777777" w:rsidR="00F67131" w:rsidRDefault="00000000">
            <w:pPr>
              <w:spacing w:before="40" w:after="40" w:line="240" w:lineRule="auto"/>
              <w:jc w:val="both"/>
            </w:pPr>
            <w:r>
              <w:rPr>
                <w:rFonts w:ascii="Times New Roman" w:hAnsi="Times New Roman"/>
                <w:color w:val="262626"/>
                <w:sz w:val="18"/>
              </w:rPr>
              <w:t>10,33%</w:t>
            </w:r>
          </w:p>
        </w:tc>
        <w:tc>
          <w:tcPr>
            <w:tcW w:w="1584" w:type="dxa"/>
            <w:tcMar>
              <w:top w:w="70" w:type="dxa"/>
              <w:left w:w="100" w:type="dxa"/>
              <w:bottom w:w="70" w:type="dxa"/>
              <w:right w:w="100" w:type="dxa"/>
            </w:tcMar>
          </w:tcPr>
          <w:p w14:paraId="0270FFF3" w14:textId="77777777" w:rsidR="00F67131" w:rsidRDefault="00000000">
            <w:pPr>
              <w:spacing w:before="40" w:after="40" w:line="240" w:lineRule="auto"/>
              <w:jc w:val="both"/>
            </w:pPr>
            <w:r>
              <w:rPr>
                <w:rFonts w:ascii="Times New Roman" w:hAnsi="Times New Roman"/>
                <w:color w:val="262626"/>
                <w:sz w:val="18"/>
              </w:rPr>
              <w:t>9,73%</w:t>
            </w:r>
          </w:p>
        </w:tc>
      </w:tr>
      <w:tr w:rsidR="00F67131" w14:paraId="32FDEBD1" w14:textId="77777777">
        <w:trPr>
          <w:jc w:val="center"/>
          <w:cantSplit/>
        </w:trPr>
        <w:tc>
          <w:tcPr>
            <w:tcW w:w="3744" w:type="dxa"/>
            <w:tcMar>
              <w:top w:w="70" w:type="dxa"/>
              <w:left w:w="100" w:type="dxa"/>
              <w:bottom w:w="70" w:type="dxa"/>
              <w:right w:w="100" w:type="dxa"/>
            </w:tcMar>
          </w:tcPr>
          <w:p w14:paraId="5DE30271" w14:textId="77777777" w:rsidR="00F67131" w:rsidRDefault="00000000">
            <w:pPr>
              <w:spacing w:before="40" w:after="40" w:line="240" w:lineRule="auto"/>
              <w:jc w:val="both"/>
            </w:pPr>
            <w:r>
              <w:rPr>
                <w:rFonts w:ascii="Times New Roman" w:hAnsi="Times New Roman"/>
                <w:color w:val="262626"/>
                <w:sz w:val="18"/>
              </w:rPr>
              <w:t>MB: Tỷ lệ suy giảm LNTT so kịch bản cơ sở</w:t>
            </w:r>
          </w:p>
        </w:tc>
        <w:tc>
          <w:tcPr>
            <w:tcW w:w="1584" w:type="dxa"/>
            <w:tcMar>
              <w:top w:w="70" w:type="dxa"/>
              <w:left w:w="100" w:type="dxa"/>
              <w:bottom w:w="70" w:type="dxa"/>
              <w:right w:w="100" w:type="dxa"/>
            </w:tcMar>
          </w:tcPr>
          <w:p w14:paraId="68E19459" w14:textId="77777777" w:rsidR="00F67131" w:rsidRDefault="00000000">
            <w:pPr>
              <w:spacing w:before="40" w:after="40" w:line="240" w:lineRule="auto"/>
              <w:jc w:val="both"/>
            </w:pPr>
            <w:r>
              <w:rPr>
                <w:rFonts w:ascii="Times New Roman" w:hAnsi="Times New Roman"/>
                <w:color w:val="262626"/>
                <w:sz w:val="18"/>
              </w:rPr>
              <w:t>0,0%</w:t>
            </w:r>
          </w:p>
        </w:tc>
        <w:tc>
          <w:tcPr>
            <w:tcW w:w="1584" w:type="dxa"/>
            <w:tcMar>
              <w:top w:w="70" w:type="dxa"/>
              <w:left w:w="100" w:type="dxa"/>
              <w:bottom w:w="70" w:type="dxa"/>
              <w:right w:w="100" w:type="dxa"/>
            </w:tcMar>
          </w:tcPr>
          <w:p w14:paraId="3104F85E" w14:textId="77777777" w:rsidR="00F67131" w:rsidRDefault="00000000">
            <w:pPr>
              <w:spacing w:before="40" w:after="40" w:line="240" w:lineRule="auto"/>
              <w:jc w:val="both"/>
            </w:pPr>
            <w:r>
              <w:rPr>
                <w:rFonts w:ascii="Times New Roman" w:hAnsi="Times New Roman"/>
                <w:color w:val="262626"/>
                <w:sz w:val="18"/>
              </w:rPr>
              <w:t>0,0%</w:t>
            </w:r>
          </w:p>
        </w:tc>
        <w:tc>
          <w:tcPr>
            <w:tcW w:w="1584" w:type="dxa"/>
            <w:tcMar>
              <w:top w:w="70" w:type="dxa"/>
              <w:left w:w="100" w:type="dxa"/>
              <w:bottom w:w="70" w:type="dxa"/>
              <w:right w:w="100" w:type="dxa"/>
            </w:tcMar>
          </w:tcPr>
          <w:p w14:paraId="26B9066A" w14:textId="77777777" w:rsidR="00F67131" w:rsidRDefault="00000000">
            <w:pPr>
              <w:spacing w:before="40" w:after="40" w:line="240" w:lineRule="auto"/>
              <w:jc w:val="both"/>
            </w:pPr>
            <w:r>
              <w:rPr>
                <w:rFonts w:ascii="Times New Roman" w:hAnsi="Times New Roman"/>
                <w:color w:val="262626"/>
                <w:sz w:val="18"/>
              </w:rPr>
              <w:t>-38,6%</w:t>
            </w:r>
          </w:p>
        </w:tc>
        <w:tc>
          <w:tcPr>
            <w:tcW w:w="1584" w:type="dxa"/>
            <w:tcMar>
              <w:top w:w="70" w:type="dxa"/>
              <w:left w:w="100" w:type="dxa"/>
              <w:bottom w:w="70" w:type="dxa"/>
              <w:right w:w="100" w:type="dxa"/>
            </w:tcMar>
          </w:tcPr>
          <w:p w14:paraId="2337E94D" w14:textId="77777777" w:rsidR="00F67131" w:rsidRDefault="00000000">
            <w:pPr>
              <w:spacing w:before="40" w:after="40" w:line="240" w:lineRule="auto"/>
              <w:jc w:val="both"/>
            </w:pPr>
            <w:r>
              <w:rPr>
                <w:rFonts w:ascii="Times New Roman" w:hAnsi="Times New Roman"/>
                <w:color w:val="262626"/>
                <w:sz w:val="18"/>
              </w:rPr>
              <w:t>-69,3%</w:t>
            </w:r>
          </w:p>
        </w:tc>
      </w:tr>
    </w:tbl>
    <w:p w14:paraId="524C7748"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Kết quả mô hình hóa của nhóm nghiên cứu tại sheet Stress_Testing dựa trên số liệu gốc năm 2025 từ BCTC hợp nhất kiểm toán của Agribank và MB.</w:t>
      </w:r>
    </w:p>
    <w:p w14:paraId="5A88F480" w14:textId="77777777" w:rsidR="00010F8E" w:rsidRDefault="00000000">
      <w:pPr>
        <w:keepNext/>
        <w:spacing w:before="240" w:after="80"/>
        <w:jc w:val="center"/>
      </w:pPr>
      <w:r>
        <w:rPr>
          <w:rFonts w:ascii="Times New Roman" w:hAnsi="Times New Roman"/>
          <w:b/>
          <w:color w:val="002060"/>
          <w:sz w:val="21"/>
        </w:rPr>
        <w:lastRenderedPageBreak/>
        <w:t>Hình 5. Kết quả Kiểm tra sức chịu đựng vĩ mô năm 2026 (Macro Stress Testing) đối với Agribank và MB</w:t>
      </w:r>
    </w:p>
    <w:p w14:paraId="5318A931" w14:textId="77777777" w:rsidR="00010F8E" w:rsidRDefault="00000000">
      <w:pPr>
        <w:spacing w:before="80" w:after="80"/>
        <w:jc w:val="center"/>
      </w:pPr>
      <w:r>
        <w:rPr>
          <w:noProof/>
        </w:rPr>
        <w:drawing>
          <wp:inline distT="0" distB="0" distL="0" distR="0" wp14:anchorId="4B9FE6F5" wp14:editId="506C206A">
            <wp:extent cx="5669280" cy="2551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Stress_Testing_2026.png"/>
                    <pic:cNvPicPr/>
                  </pic:nvPicPr>
                  <pic:blipFill>
                    <a:blip r:embed="rId10"/>
                    <a:stretch>
                      <a:fillRect/>
                    </a:stretch>
                  </pic:blipFill>
                  <pic:spPr>
                    <a:xfrm>
                      <a:off x="0" y="0"/>
                      <a:ext cx="5669280" cy="2551176"/>
                    </a:xfrm>
                    <a:prstGeom prst="rect">
                      <a:avLst/>
                    </a:prstGeom>
                  </pic:spPr>
                </pic:pic>
              </a:graphicData>
            </a:graphic>
          </wp:inline>
        </w:drawing>
      </w:r>
    </w:p>
    <w:p w14:paraId="741F9CB5" w14:textId="77777777" w:rsidR="00010F8E" w:rsidRDefault="00000000">
      <w:pPr>
        <w:spacing w:before="60"/>
        <w:jc w:val="center"/>
      </w:pPr>
      <w:r>
        <w:rPr>
          <w:rFonts w:ascii="Times New Roman" w:hAnsi="Times New Roman"/>
          <w:i/>
          <w:color w:val="505050"/>
          <w:sz w:val="19"/>
        </w:rPr>
        <w:t>Nguồn: Kết quả mô phỏng của nhóm tác giả tại sheet Stress_Testing theo Khung khuyến nghị Basel II/III (ICAAP).</w:t>
      </w:r>
    </w:p>
    <w:p w14:paraId="7BCBB8C5" w14:textId="77777777" w:rsidR="00F67131" w:rsidRDefault="00000000">
      <w:pPr>
        <w:spacing w:after="80" w:line="300" w:lineRule="auto"/>
        <w:jc w:val="both"/>
      </w:pPr>
      <w:r>
        <w:rPr>
          <w:rFonts w:ascii="Times New Roman" w:hAnsi="Times New Roman"/>
          <w:color w:val="000000"/>
        </w:rPr>
        <w:t>Ý nghĩa kinh tế từ kết quả Stress Testing: Hình 5 thể hiện trực quan sự phân hóa rõ rệt về hai dạng tổn thương cấu trúc hoàn toàn khác biệt giữa hai định chế tài chính trước các cú sốc vĩ mô giả định: Kết quả mô phỏng bóc tách hai dạng tổn thương cấu trúc hoàn toàn khác nhau giữa hai định chế: (1) Agribank nhạy cảm trọng yếu về an toàn vốn: mặc dù tỷ lệ NPL dự báo trong kịch bản cực đoan chỉ tăng từ 1,30% lên 1,71%, nhưng do bộ đệm CAR xuất phát điểm mỏng (10,22%) và chi phí dự phòng bổ sung lên tới 26.500 tỷ đồng (làm LNTT giảm 73,8% từ 32.501 tỷ xuống 8.506 tỷ đồng), hệ số CAR của Agribank bị kéo giảm xuống 8,67% – chỉ còn cách ngưỡng an toàn tối thiểu 8,0% đúng 0,67 điểm %; (2) MB nhạy cảm trọng yếu về lợi nhuận: nhờ bộ đệm CAR ban đầu 11,00% và khả năng sinh lời trước dự phòng cao, CAR của MB trong kịch bản cực đoan vẫn duy trì ở mức 9,73% (thặng dư +1,73 điểm % so với ngưỡng 8%), nhưng chi phí dự phòng bổ sung 22.402 tỷ đồng khiến LNTT của MB sụt giảm 69,3% so với kịch bản cơ sở (từ 38.501 tỷ xuống 11.808 tỷ đồng). Các tham số chuyển nhóm và hệ số RWA trong mô hình là giả định kịch bản của nhóm nghiên cứu nhằm kiểm định độ bền tương đối, không phải dự báo chính thức của ngân hàng. Mô hình còn ba hạn chế cần lưu ý: (a) một số hệ số truyền dẫn (độ co giãn LNTT theo GDP, hệ số quy đổi chi phí dự phòng tăng thêm sang LNTT và vốn tự có) là hệ số hiệu chỉnh do nhóm tự đặt, chưa được ước lượng thống kê; (b) phần chi phí dự phòng tăng thêm vừa làm giảm LNTT (qua đó giảm lợi nhuận giữ lại) vừa được khấu trừ trực tiếp vào vốn tự có, nên mức giảm CAR ở kịch bản tiêu cực và cực đoan nhiều khả năng bị ước tính cao (theo hướng thận trọng); (c) kênh giảm giá bất động sản mới được đưa vào nhu cầu dự phòng của Agribank, chưa áp dụng cho MB. Vì vậy, kết quả Bảng 10 nên được đọc như so sánh độ nhạy tương đối giữa hai ngân hàng.</w:t>
      </w:r>
    </w:p>
    <w:p w14:paraId="517C68DB" w14:textId="77777777" w:rsidR="00F67131" w:rsidRDefault="00000000">
      <w:pPr>
        <w:pStyle w:val="Heading2"/>
        <w:spacing w:after="80" w:line="300" w:lineRule="auto"/>
      </w:pPr>
      <w:bookmarkStart w:id="18" w:name="_Toc244090118"/>
      <w:r>
        <w:rPr>
          <w:rFonts w:ascii="Times New Roman" w:hAnsi="Times New Roman"/>
          <w:color w:val="0F4C81"/>
          <w:sz w:val="24"/>
        </w:rPr>
        <w:t>4.7. Mô phỏng định lượng tác động chuyển đổi Chuẩn mực Quốc tế IFRS 9 ECL</w:t>
      </w:r>
      <w:bookmarkEnd w:id="18"/>
    </w:p>
    <w:p w14:paraId="2CCF8D2D" w14:textId="77777777" w:rsidR="00F67131" w:rsidRDefault="00000000">
      <w:pPr>
        <w:spacing w:before="120" w:after="60" w:line="300" w:lineRule="auto"/>
      </w:pPr>
      <w:r>
        <w:rPr>
          <w:rFonts w:ascii="Times New Roman" w:hAnsi="Times New Roman"/>
          <w:b/>
          <w:color w:val="1B365D"/>
          <w:sz w:val="20"/>
        </w:rPr>
        <w:t>Bảng 11. Kết quả mô phỏng tác động chuyển đổi sang Chuẩn mực Quốc tế IFRS 9 năm 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522"/>
        <w:gridCol w:w="1449"/>
        <w:gridCol w:w="1449"/>
        <w:gridCol w:w="1416"/>
        <w:gridCol w:w="1436"/>
      </w:tblGrid>
      <w:tr w:rsidR="00F67131" w14:paraId="39B86257" w14:textId="77777777">
        <w:trPr>
          <w:jc w:val="center"/>
          <w:cantSplit/>
          <w:tblHeader/>
        </w:trPr>
        <w:tc>
          <w:tcPr>
            <w:tcW w:w="4032" w:type="dxa"/>
            <w:shd w:val="clear" w:color="auto" w:fill="1B365D"/>
            <w:tcMar>
              <w:top w:w="70" w:type="dxa"/>
              <w:left w:w="100" w:type="dxa"/>
              <w:bottom w:w="70" w:type="dxa"/>
              <w:right w:w="100" w:type="dxa"/>
            </w:tcMar>
          </w:tcPr>
          <w:p w14:paraId="3167B53D" w14:textId="77777777" w:rsidR="00F67131" w:rsidRDefault="00000000">
            <w:pPr>
              <w:spacing w:before="40" w:after="40" w:line="240" w:lineRule="auto"/>
              <w:jc w:val="both"/>
            </w:pPr>
            <w:r>
              <w:rPr>
                <w:rFonts w:ascii="Times New Roman" w:hAnsi="Times New Roman"/>
                <w:color w:val="FFFFFF"/>
                <w:sz w:val="19"/>
              </w:rPr>
              <w:lastRenderedPageBreak/>
              <w:t>Khoản mục mô phỏng năm 2025 (Tỷ đồng, %)</w:t>
            </w:r>
          </w:p>
        </w:tc>
        <w:tc>
          <w:tcPr>
            <w:tcW w:w="1584" w:type="dxa"/>
            <w:shd w:val="clear" w:color="auto" w:fill="1B365D"/>
            <w:tcMar>
              <w:top w:w="70" w:type="dxa"/>
              <w:left w:w="100" w:type="dxa"/>
              <w:bottom w:w="70" w:type="dxa"/>
              <w:right w:w="100" w:type="dxa"/>
            </w:tcMar>
          </w:tcPr>
          <w:p w14:paraId="72A0C058" w14:textId="77777777" w:rsidR="00F67131" w:rsidRDefault="00000000">
            <w:pPr>
              <w:spacing w:before="40" w:after="40" w:line="240" w:lineRule="auto"/>
              <w:jc w:val="both"/>
            </w:pPr>
            <w:r>
              <w:rPr>
                <w:rFonts w:ascii="Times New Roman" w:hAnsi="Times New Roman"/>
                <w:color w:val="FFFFFF"/>
                <w:sz w:val="19"/>
              </w:rPr>
              <w:t>Agribank (VAS)</w:t>
            </w:r>
          </w:p>
        </w:tc>
        <w:tc>
          <w:tcPr>
            <w:tcW w:w="1584" w:type="dxa"/>
            <w:shd w:val="clear" w:color="auto" w:fill="1B365D"/>
            <w:tcMar>
              <w:top w:w="70" w:type="dxa"/>
              <w:left w:w="100" w:type="dxa"/>
              <w:bottom w:w="70" w:type="dxa"/>
              <w:right w:w="100" w:type="dxa"/>
            </w:tcMar>
          </w:tcPr>
          <w:p w14:paraId="1BFFF259" w14:textId="77777777" w:rsidR="00F67131" w:rsidRDefault="00000000">
            <w:pPr>
              <w:spacing w:before="40" w:after="40" w:line="240" w:lineRule="auto"/>
              <w:jc w:val="both"/>
            </w:pPr>
            <w:r>
              <w:rPr>
                <w:rFonts w:ascii="Times New Roman" w:hAnsi="Times New Roman"/>
                <w:color w:val="FFFFFF"/>
                <w:sz w:val="19"/>
              </w:rPr>
              <w:t>Agribank (IFRS 9)</w:t>
            </w:r>
          </w:p>
        </w:tc>
        <w:tc>
          <w:tcPr>
            <w:tcW w:w="1584" w:type="dxa"/>
            <w:shd w:val="clear" w:color="auto" w:fill="1B365D"/>
            <w:tcMar>
              <w:top w:w="70" w:type="dxa"/>
              <w:left w:w="100" w:type="dxa"/>
              <w:bottom w:w="70" w:type="dxa"/>
              <w:right w:w="100" w:type="dxa"/>
            </w:tcMar>
          </w:tcPr>
          <w:p w14:paraId="4500F5E8" w14:textId="77777777" w:rsidR="00F67131" w:rsidRDefault="00000000">
            <w:pPr>
              <w:spacing w:before="40" w:after="40" w:line="240" w:lineRule="auto"/>
              <w:jc w:val="both"/>
            </w:pPr>
            <w:r>
              <w:rPr>
                <w:rFonts w:ascii="Times New Roman" w:hAnsi="Times New Roman"/>
                <w:color w:val="FFFFFF"/>
                <w:sz w:val="19"/>
              </w:rPr>
              <w:t>MB (VAS)</w:t>
            </w:r>
          </w:p>
        </w:tc>
        <w:tc>
          <w:tcPr>
            <w:tcW w:w="1584" w:type="dxa"/>
            <w:shd w:val="clear" w:color="auto" w:fill="1B365D"/>
            <w:tcMar>
              <w:top w:w="70" w:type="dxa"/>
              <w:left w:w="100" w:type="dxa"/>
              <w:bottom w:w="70" w:type="dxa"/>
              <w:right w:w="100" w:type="dxa"/>
            </w:tcMar>
          </w:tcPr>
          <w:p w14:paraId="50E69A40" w14:textId="77777777" w:rsidR="00F67131" w:rsidRDefault="00000000">
            <w:pPr>
              <w:spacing w:before="40" w:after="40" w:line="240" w:lineRule="auto"/>
              <w:jc w:val="both"/>
            </w:pPr>
            <w:r>
              <w:rPr>
                <w:rFonts w:ascii="Times New Roman" w:hAnsi="Times New Roman"/>
                <w:color w:val="FFFFFF"/>
                <w:sz w:val="19"/>
              </w:rPr>
              <w:t>MB (IFRS 9)</w:t>
            </w:r>
          </w:p>
        </w:tc>
      </w:tr>
      <w:tr w:rsidR="00F67131" w14:paraId="22C73427" w14:textId="77777777">
        <w:trPr>
          <w:jc w:val="center"/>
          <w:cantSplit/>
        </w:trPr>
        <w:tc>
          <w:tcPr>
            <w:tcW w:w="4032" w:type="dxa"/>
            <w:tcMar>
              <w:top w:w="70" w:type="dxa"/>
              <w:left w:w="100" w:type="dxa"/>
              <w:bottom w:w="70" w:type="dxa"/>
              <w:right w:w="100" w:type="dxa"/>
            </w:tcMar>
          </w:tcPr>
          <w:p w14:paraId="71A17C51" w14:textId="77777777" w:rsidR="00F67131" w:rsidRDefault="00000000">
            <w:pPr>
              <w:spacing w:before="40" w:after="40" w:line="240" w:lineRule="auto"/>
              <w:jc w:val="both"/>
            </w:pPr>
            <w:r>
              <w:rPr>
                <w:rFonts w:ascii="Times New Roman" w:hAnsi="Times New Roman"/>
                <w:color w:val="262626"/>
                <w:sz w:val="18"/>
              </w:rPr>
              <w:t>Dự phòng Stage 1 (Performing – 12m ECL)</w:t>
            </w:r>
          </w:p>
        </w:tc>
        <w:tc>
          <w:tcPr>
            <w:tcW w:w="1584" w:type="dxa"/>
            <w:tcMar>
              <w:top w:w="70" w:type="dxa"/>
              <w:left w:w="100" w:type="dxa"/>
              <w:bottom w:w="70" w:type="dxa"/>
              <w:right w:w="100" w:type="dxa"/>
            </w:tcMar>
          </w:tcPr>
          <w:p w14:paraId="5B2B3206" w14:textId="77777777" w:rsidR="00F67131" w:rsidRDefault="00000000">
            <w:pPr>
              <w:spacing w:before="40" w:after="40" w:line="240" w:lineRule="auto"/>
              <w:jc w:val="both"/>
            </w:pPr>
            <w:r>
              <w:rPr>
                <w:rFonts w:ascii="Times New Roman" w:hAnsi="Times New Roman"/>
                <w:color w:val="262626"/>
                <w:sz w:val="18"/>
              </w:rPr>
              <w:t>14.602</w:t>
            </w:r>
          </w:p>
        </w:tc>
        <w:tc>
          <w:tcPr>
            <w:tcW w:w="1584" w:type="dxa"/>
            <w:tcMar>
              <w:top w:w="70" w:type="dxa"/>
              <w:left w:w="100" w:type="dxa"/>
              <w:bottom w:w="70" w:type="dxa"/>
              <w:right w:w="100" w:type="dxa"/>
            </w:tcMar>
          </w:tcPr>
          <w:p w14:paraId="232B0119" w14:textId="77777777" w:rsidR="00F67131" w:rsidRDefault="00000000">
            <w:pPr>
              <w:spacing w:before="40" w:after="40" w:line="240" w:lineRule="auto"/>
              <w:jc w:val="both"/>
            </w:pPr>
            <w:r>
              <w:rPr>
                <w:rFonts w:ascii="Times New Roman" w:hAnsi="Times New Roman"/>
                <w:color w:val="262626"/>
                <w:sz w:val="18"/>
              </w:rPr>
              <w:t>7.699</w:t>
            </w:r>
          </w:p>
        </w:tc>
        <w:tc>
          <w:tcPr>
            <w:tcW w:w="1584" w:type="dxa"/>
            <w:tcMar>
              <w:top w:w="70" w:type="dxa"/>
              <w:left w:w="100" w:type="dxa"/>
              <w:bottom w:w="70" w:type="dxa"/>
              <w:right w:w="100" w:type="dxa"/>
            </w:tcMar>
          </w:tcPr>
          <w:p w14:paraId="43D5EBA8" w14:textId="77777777" w:rsidR="00F67131" w:rsidRDefault="00000000">
            <w:pPr>
              <w:spacing w:before="40" w:after="40" w:line="240" w:lineRule="auto"/>
              <w:jc w:val="both"/>
            </w:pPr>
            <w:r>
              <w:rPr>
                <w:rFonts w:ascii="Times New Roman" w:hAnsi="Times New Roman"/>
                <w:color w:val="262626"/>
                <w:sz w:val="18"/>
              </w:rPr>
              <w:t>8.098</w:t>
            </w:r>
          </w:p>
        </w:tc>
        <w:tc>
          <w:tcPr>
            <w:tcW w:w="1584" w:type="dxa"/>
            <w:tcMar>
              <w:top w:w="70" w:type="dxa"/>
              <w:left w:w="100" w:type="dxa"/>
              <w:bottom w:w="70" w:type="dxa"/>
              <w:right w:w="100" w:type="dxa"/>
            </w:tcMar>
          </w:tcPr>
          <w:p w14:paraId="00BE6221" w14:textId="77777777" w:rsidR="00F67131" w:rsidRDefault="00000000">
            <w:pPr>
              <w:spacing w:before="40" w:after="40" w:line="240" w:lineRule="auto"/>
              <w:jc w:val="both"/>
            </w:pPr>
            <w:r>
              <w:rPr>
                <w:rFonts w:ascii="Times New Roman" w:hAnsi="Times New Roman"/>
                <w:color w:val="262626"/>
                <w:sz w:val="18"/>
              </w:rPr>
              <w:t>6.724</w:t>
            </w:r>
          </w:p>
        </w:tc>
      </w:tr>
      <w:tr w:rsidR="00F67131" w14:paraId="60398E95" w14:textId="77777777">
        <w:trPr>
          <w:jc w:val="center"/>
          <w:cantSplit/>
        </w:trPr>
        <w:tc>
          <w:tcPr>
            <w:tcW w:w="4032" w:type="dxa"/>
            <w:tcMar>
              <w:top w:w="70" w:type="dxa"/>
              <w:left w:w="100" w:type="dxa"/>
              <w:bottom w:w="70" w:type="dxa"/>
              <w:right w:w="100" w:type="dxa"/>
            </w:tcMar>
          </w:tcPr>
          <w:p w14:paraId="4F287D6E" w14:textId="77777777" w:rsidR="00F67131" w:rsidRDefault="00000000">
            <w:pPr>
              <w:spacing w:before="40" w:after="40" w:line="240" w:lineRule="auto"/>
              <w:jc w:val="both"/>
            </w:pPr>
            <w:r>
              <w:rPr>
                <w:rFonts w:ascii="Times New Roman" w:hAnsi="Times New Roman"/>
                <w:color w:val="262626"/>
                <w:sz w:val="18"/>
              </w:rPr>
              <w:t>Dự phòng Stage 2 (Underperforming – SICR)</w:t>
            </w:r>
          </w:p>
        </w:tc>
        <w:tc>
          <w:tcPr>
            <w:tcW w:w="1584" w:type="dxa"/>
            <w:tcMar>
              <w:top w:w="70" w:type="dxa"/>
              <w:left w:w="100" w:type="dxa"/>
              <w:bottom w:w="70" w:type="dxa"/>
              <w:right w:w="100" w:type="dxa"/>
            </w:tcMar>
          </w:tcPr>
          <w:p w14:paraId="5F60D251" w14:textId="77777777" w:rsidR="00F67131" w:rsidRDefault="00000000">
            <w:pPr>
              <w:spacing w:before="40" w:after="40" w:line="240" w:lineRule="auto"/>
              <w:jc w:val="both"/>
            </w:pPr>
            <w:r>
              <w:rPr>
                <w:rFonts w:ascii="Times New Roman" w:hAnsi="Times New Roman"/>
                <w:color w:val="262626"/>
                <w:sz w:val="18"/>
              </w:rPr>
              <w:t>1.064</w:t>
            </w:r>
          </w:p>
        </w:tc>
        <w:tc>
          <w:tcPr>
            <w:tcW w:w="1584" w:type="dxa"/>
            <w:tcMar>
              <w:top w:w="70" w:type="dxa"/>
              <w:left w:w="100" w:type="dxa"/>
              <w:bottom w:w="70" w:type="dxa"/>
              <w:right w:w="100" w:type="dxa"/>
            </w:tcMar>
          </w:tcPr>
          <w:p w14:paraId="20715E6B" w14:textId="77777777" w:rsidR="00F67131" w:rsidRDefault="00000000">
            <w:pPr>
              <w:spacing w:before="40" w:after="40" w:line="240" w:lineRule="auto"/>
              <w:jc w:val="both"/>
            </w:pPr>
            <w:r>
              <w:rPr>
                <w:rFonts w:ascii="Times New Roman" w:hAnsi="Times New Roman"/>
                <w:color w:val="262626"/>
                <w:sz w:val="18"/>
              </w:rPr>
              <w:t>11.658</w:t>
            </w:r>
          </w:p>
        </w:tc>
        <w:tc>
          <w:tcPr>
            <w:tcW w:w="1584" w:type="dxa"/>
            <w:tcMar>
              <w:top w:w="70" w:type="dxa"/>
              <w:left w:w="100" w:type="dxa"/>
              <w:bottom w:w="70" w:type="dxa"/>
              <w:right w:w="100" w:type="dxa"/>
            </w:tcMar>
          </w:tcPr>
          <w:p w14:paraId="3840056A" w14:textId="77777777" w:rsidR="00F67131" w:rsidRDefault="00000000">
            <w:pPr>
              <w:spacing w:before="40" w:after="40" w:line="240" w:lineRule="auto"/>
              <w:jc w:val="both"/>
            </w:pPr>
            <w:r>
              <w:rPr>
                <w:rFonts w:ascii="Times New Roman" w:hAnsi="Times New Roman"/>
                <w:color w:val="262626"/>
                <w:sz w:val="18"/>
              </w:rPr>
              <w:t>511</w:t>
            </w:r>
          </w:p>
        </w:tc>
        <w:tc>
          <w:tcPr>
            <w:tcW w:w="1584" w:type="dxa"/>
            <w:tcMar>
              <w:top w:w="70" w:type="dxa"/>
              <w:left w:w="100" w:type="dxa"/>
              <w:bottom w:w="70" w:type="dxa"/>
              <w:right w:w="100" w:type="dxa"/>
            </w:tcMar>
          </w:tcPr>
          <w:p w14:paraId="0B1C857C" w14:textId="77777777" w:rsidR="00F67131" w:rsidRDefault="00000000">
            <w:pPr>
              <w:spacing w:before="40" w:after="40" w:line="240" w:lineRule="auto"/>
              <w:jc w:val="both"/>
            </w:pPr>
            <w:r>
              <w:rPr>
                <w:rFonts w:ascii="Times New Roman" w:hAnsi="Times New Roman"/>
                <w:color w:val="262626"/>
                <w:sz w:val="18"/>
              </w:rPr>
              <w:t>11.315</w:t>
            </w:r>
          </w:p>
        </w:tc>
      </w:tr>
      <w:tr w:rsidR="00F67131" w14:paraId="36F84FC8" w14:textId="77777777">
        <w:trPr>
          <w:jc w:val="center"/>
          <w:cantSplit/>
        </w:trPr>
        <w:tc>
          <w:tcPr>
            <w:tcW w:w="4032" w:type="dxa"/>
            <w:tcMar>
              <w:top w:w="70" w:type="dxa"/>
              <w:left w:w="100" w:type="dxa"/>
              <w:bottom w:w="70" w:type="dxa"/>
              <w:right w:w="100" w:type="dxa"/>
            </w:tcMar>
          </w:tcPr>
          <w:p w14:paraId="1B1FCE3C" w14:textId="77777777" w:rsidR="00F67131" w:rsidRDefault="00000000">
            <w:pPr>
              <w:spacing w:before="40" w:after="40" w:line="240" w:lineRule="auto"/>
              <w:jc w:val="both"/>
            </w:pPr>
            <w:r>
              <w:rPr>
                <w:rFonts w:ascii="Times New Roman" w:hAnsi="Times New Roman"/>
                <w:color w:val="262626"/>
                <w:sz w:val="18"/>
              </w:rPr>
              <w:t>Dự phòng Stage 3 (Credit-impaired Nhóm 3–5)</w:t>
            </w:r>
          </w:p>
        </w:tc>
        <w:tc>
          <w:tcPr>
            <w:tcW w:w="1584" w:type="dxa"/>
            <w:tcMar>
              <w:top w:w="70" w:type="dxa"/>
              <w:left w:w="100" w:type="dxa"/>
              <w:bottom w:w="70" w:type="dxa"/>
              <w:right w:w="100" w:type="dxa"/>
            </w:tcMar>
          </w:tcPr>
          <w:p w14:paraId="2E37A10D" w14:textId="77777777" w:rsidR="00F67131" w:rsidRDefault="00000000">
            <w:pPr>
              <w:spacing w:before="40" w:after="40" w:line="240" w:lineRule="auto"/>
              <w:jc w:val="both"/>
            </w:pPr>
            <w:r>
              <w:rPr>
                <w:rFonts w:ascii="Times New Roman" w:hAnsi="Times New Roman"/>
                <w:color w:val="262626"/>
                <w:sz w:val="18"/>
              </w:rPr>
              <w:t>21.799</w:t>
            </w:r>
          </w:p>
        </w:tc>
        <w:tc>
          <w:tcPr>
            <w:tcW w:w="1584" w:type="dxa"/>
            <w:tcMar>
              <w:top w:w="70" w:type="dxa"/>
              <w:left w:w="100" w:type="dxa"/>
              <w:bottom w:w="70" w:type="dxa"/>
              <w:right w:w="100" w:type="dxa"/>
            </w:tcMar>
          </w:tcPr>
          <w:p w14:paraId="272A2D9E" w14:textId="77777777" w:rsidR="00F67131" w:rsidRDefault="00000000">
            <w:pPr>
              <w:spacing w:before="40" w:after="40" w:line="240" w:lineRule="auto"/>
              <w:jc w:val="both"/>
            </w:pPr>
            <w:r>
              <w:rPr>
                <w:rFonts w:ascii="Times New Roman" w:hAnsi="Times New Roman"/>
                <w:color w:val="262626"/>
                <w:sz w:val="18"/>
              </w:rPr>
              <w:t>21.769</w:t>
            </w:r>
          </w:p>
        </w:tc>
        <w:tc>
          <w:tcPr>
            <w:tcW w:w="1584" w:type="dxa"/>
            <w:tcMar>
              <w:top w:w="70" w:type="dxa"/>
              <w:left w:w="100" w:type="dxa"/>
              <w:bottom w:w="70" w:type="dxa"/>
              <w:right w:w="100" w:type="dxa"/>
            </w:tcMar>
          </w:tcPr>
          <w:p w14:paraId="1824BB3A" w14:textId="77777777" w:rsidR="00F67131" w:rsidRDefault="00000000">
            <w:pPr>
              <w:spacing w:before="40" w:after="40" w:line="240" w:lineRule="auto"/>
              <w:jc w:val="both"/>
            </w:pPr>
            <w:r>
              <w:rPr>
                <w:rFonts w:ascii="Times New Roman" w:hAnsi="Times New Roman"/>
                <w:color w:val="262626"/>
                <w:sz w:val="18"/>
              </w:rPr>
              <w:t>4.542</w:t>
            </w:r>
          </w:p>
        </w:tc>
        <w:tc>
          <w:tcPr>
            <w:tcW w:w="1584" w:type="dxa"/>
            <w:tcMar>
              <w:top w:w="70" w:type="dxa"/>
              <w:left w:w="100" w:type="dxa"/>
              <w:bottom w:w="70" w:type="dxa"/>
              <w:right w:w="100" w:type="dxa"/>
            </w:tcMar>
          </w:tcPr>
          <w:p w14:paraId="542F55B8" w14:textId="77777777" w:rsidR="00F67131" w:rsidRDefault="00000000">
            <w:pPr>
              <w:spacing w:before="40" w:after="40" w:line="240" w:lineRule="auto"/>
              <w:jc w:val="both"/>
            </w:pPr>
            <w:r>
              <w:rPr>
                <w:rFonts w:ascii="Times New Roman" w:hAnsi="Times New Roman"/>
                <w:color w:val="262626"/>
                <w:sz w:val="18"/>
              </w:rPr>
              <w:t>9.118</w:t>
            </w:r>
          </w:p>
        </w:tc>
      </w:tr>
      <w:tr w:rsidR="00F67131" w14:paraId="12AD22DE" w14:textId="77777777">
        <w:trPr>
          <w:jc w:val="center"/>
          <w:cantSplit/>
        </w:trPr>
        <w:tc>
          <w:tcPr>
            <w:tcW w:w="4032" w:type="dxa"/>
            <w:tcMar>
              <w:top w:w="70" w:type="dxa"/>
              <w:left w:w="100" w:type="dxa"/>
              <w:bottom w:w="70" w:type="dxa"/>
              <w:right w:w="100" w:type="dxa"/>
            </w:tcMar>
          </w:tcPr>
          <w:p w14:paraId="6F19809F" w14:textId="77777777" w:rsidR="00F67131" w:rsidRDefault="00000000">
            <w:pPr>
              <w:spacing w:before="40" w:after="40" w:line="240" w:lineRule="auto"/>
              <w:jc w:val="both"/>
            </w:pPr>
            <w:r>
              <w:rPr>
                <w:rFonts w:ascii="Times New Roman" w:hAnsi="Times New Roman"/>
                <w:color w:val="262626"/>
                <w:sz w:val="18"/>
              </w:rPr>
              <w:t>TỔNG DỰ PHÒNG YÊU CẦU (TM 9/10 vs IFRS 9)</w:t>
            </w:r>
          </w:p>
        </w:tc>
        <w:tc>
          <w:tcPr>
            <w:tcW w:w="1584" w:type="dxa"/>
            <w:tcMar>
              <w:top w:w="70" w:type="dxa"/>
              <w:left w:w="100" w:type="dxa"/>
              <w:bottom w:w="70" w:type="dxa"/>
              <w:right w:w="100" w:type="dxa"/>
            </w:tcMar>
          </w:tcPr>
          <w:p w14:paraId="40685337" w14:textId="77777777" w:rsidR="00F67131" w:rsidRDefault="00000000">
            <w:pPr>
              <w:spacing w:before="40" w:after="40" w:line="240" w:lineRule="auto"/>
              <w:jc w:val="both"/>
            </w:pPr>
            <w:r>
              <w:rPr>
                <w:rFonts w:ascii="Times New Roman" w:hAnsi="Times New Roman"/>
                <w:color w:val="262626"/>
                <w:sz w:val="18"/>
              </w:rPr>
              <w:t>37.465</w:t>
            </w:r>
          </w:p>
        </w:tc>
        <w:tc>
          <w:tcPr>
            <w:tcW w:w="1584" w:type="dxa"/>
            <w:tcMar>
              <w:top w:w="70" w:type="dxa"/>
              <w:left w:w="100" w:type="dxa"/>
              <w:bottom w:w="70" w:type="dxa"/>
              <w:right w:w="100" w:type="dxa"/>
            </w:tcMar>
          </w:tcPr>
          <w:p w14:paraId="7D4D3DC4" w14:textId="77777777" w:rsidR="00F67131" w:rsidRDefault="00000000">
            <w:pPr>
              <w:spacing w:before="40" w:after="40" w:line="240" w:lineRule="auto"/>
              <w:jc w:val="both"/>
            </w:pPr>
            <w:r>
              <w:rPr>
                <w:rFonts w:ascii="Times New Roman" w:hAnsi="Times New Roman"/>
                <w:color w:val="262626"/>
                <w:sz w:val="18"/>
              </w:rPr>
              <w:t>41.125</w:t>
            </w:r>
          </w:p>
        </w:tc>
        <w:tc>
          <w:tcPr>
            <w:tcW w:w="1584" w:type="dxa"/>
            <w:tcMar>
              <w:top w:w="70" w:type="dxa"/>
              <w:left w:w="100" w:type="dxa"/>
              <w:bottom w:w="70" w:type="dxa"/>
              <w:right w:w="100" w:type="dxa"/>
            </w:tcMar>
          </w:tcPr>
          <w:p w14:paraId="174791C6" w14:textId="77777777" w:rsidR="00F67131" w:rsidRDefault="00000000">
            <w:pPr>
              <w:spacing w:before="40" w:after="40" w:line="240" w:lineRule="auto"/>
              <w:jc w:val="both"/>
            </w:pPr>
            <w:r>
              <w:rPr>
                <w:rFonts w:ascii="Times New Roman" w:hAnsi="Times New Roman"/>
                <w:color w:val="262626"/>
                <w:sz w:val="18"/>
              </w:rPr>
              <w:t>13.151</w:t>
            </w:r>
          </w:p>
        </w:tc>
        <w:tc>
          <w:tcPr>
            <w:tcW w:w="1584" w:type="dxa"/>
            <w:tcMar>
              <w:top w:w="70" w:type="dxa"/>
              <w:left w:w="100" w:type="dxa"/>
              <w:bottom w:w="70" w:type="dxa"/>
              <w:right w:w="100" w:type="dxa"/>
            </w:tcMar>
          </w:tcPr>
          <w:p w14:paraId="2FB01F4A" w14:textId="77777777" w:rsidR="00F67131" w:rsidRDefault="00000000">
            <w:pPr>
              <w:spacing w:before="40" w:after="40" w:line="240" w:lineRule="auto"/>
              <w:jc w:val="both"/>
            </w:pPr>
            <w:r>
              <w:rPr>
                <w:rFonts w:ascii="Times New Roman" w:hAnsi="Times New Roman"/>
                <w:color w:val="262626"/>
                <w:sz w:val="18"/>
              </w:rPr>
              <w:t>27.157</w:t>
            </w:r>
          </w:p>
        </w:tc>
      </w:tr>
      <w:tr w:rsidR="00F67131" w14:paraId="56A9424D" w14:textId="77777777">
        <w:trPr>
          <w:jc w:val="center"/>
          <w:cantSplit/>
        </w:trPr>
        <w:tc>
          <w:tcPr>
            <w:tcW w:w="4032" w:type="dxa"/>
            <w:tcMar>
              <w:top w:w="70" w:type="dxa"/>
              <w:left w:w="100" w:type="dxa"/>
              <w:bottom w:w="70" w:type="dxa"/>
              <w:right w:w="100" w:type="dxa"/>
            </w:tcMar>
          </w:tcPr>
          <w:p w14:paraId="171F4EFB" w14:textId="77777777" w:rsidR="00F67131" w:rsidRDefault="00000000">
            <w:pPr>
              <w:spacing w:before="40" w:after="40" w:line="240" w:lineRule="auto"/>
              <w:jc w:val="both"/>
            </w:pPr>
            <w:r>
              <w:rPr>
                <w:rFonts w:ascii="Times New Roman" w:hAnsi="Times New Roman"/>
                <w:color w:val="262626"/>
                <w:sz w:val="18"/>
              </w:rPr>
              <w:t>Khoảng cách dự phòng trích thiếu (Provisioning Gap)</w:t>
            </w:r>
          </w:p>
        </w:tc>
        <w:tc>
          <w:tcPr>
            <w:tcW w:w="1584" w:type="dxa"/>
            <w:tcMar>
              <w:top w:w="70" w:type="dxa"/>
              <w:left w:w="100" w:type="dxa"/>
              <w:bottom w:w="70" w:type="dxa"/>
              <w:right w:w="100" w:type="dxa"/>
            </w:tcMar>
          </w:tcPr>
          <w:p w14:paraId="2725ACBB"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6B604897" w14:textId="77777777" w:rsidR="00F67131" w:rsidRDefault="00000000">
            <w:pPr>
              <w:spacing w:before="40" w:after="40" w:line="240" w:lineRule="auto"/>
              <w:jc w:val="both"/>
            </w:pPr>
            <w:r>
              <w:rPr>
                <w:rFonts w:ascii="Times New Roman" w:hAnsi="Times New Roman"/>
                <w:color w:val="262626"/>
                <w:sz w:val="18"/>
              </w:rPr>
              <w:t>+3.660</w:t>
            </w:r>
          </w:p>
        </w:tc>
        <w:tc>
          <w:tcPr>
            <w:tcW w:w="1584" w:type="dxa"/>
            <w:tcMar>
              <w:top w:w="70" w:type="dxa"/>
              <w:left w:w="100" w:type="dxa"/>
              <w:bottom w:w="70" w:type="dxa"/>
              <w:right w:w="100" w:type="dxa"/>
            </w:tcMar>
          </w:tcPr>
          <w:p w14:paraId="67CDADB5"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588DE579" w14:textId="77777777" w:rsidR="00F67131" w:rsidRDefault="00000000">
            <w:pPr>
              <w:spacing w:before="40" w:after="40" w:line="240" w:lineRule="auto"/>
              <w:jc w:val="both"/>
            </w:pPr>
            <w:r>
              <w:rPr>
                <w:rFonts w:ascii="Times New Roman" w:hAnsi="Times New Roman"/>
                <w:color w:val="262626"/>
                <w:sz w:val="18"/>
              </w:rPr>
              <w:t>+14.006</w:t>
            </w:r>
          </w:p>
        </w:tc>
      </w:tr>
      <w:tr w:rsidR="00F67131" w14:paraId="68FD9492" w14:textId="77777777">
        <w:trPr>
          <w:jc w:val="center"/>
          <w:cantSplit/>
        </w:trPr>
        <w:tc>
          <w:tcPr>
            <w:tcW w:w="4032" w:type="dxa"/>
            <w:tcMar>
              <w:top w:w="70" w:type="dxa"/>
              <w:left w:w="100" w:type="dxa"/>
              <w:bottom w:w="70" w:type="dxa"/>
              <w:right w:w="100" w:type="dxa"/>
            </w:tcMar>
          </w:tcPr>
          <w:p w14:paraId="36615AAA" w14:textId="77777777" w:rsidR="00F67131" w:rsidRDefault="00000000">
            <w:pPr>
              <w:spacing w:before="40" w:after="40" w:line="240" w:lineRule="auto"/>
              <w:jc w:val="both"/>
            </w:pPr>
            <w:r>
              <w:rPr>
                <w:rFonts w:ascii="Times New Roman" w:hAnsi="Times New Roman"/>
                <w:color w:val="262626"/>
                <w:sz w:val="18"/>
              </w:rPr>
              <w:t>Tỷ lệ thiếu hụt so với dự phòng hiện hành (%)</w:t>
            </w:r>
          </w:p>
        </w:tc>
        <w:tc>
          <w:tcPr>
            <w:tcW w:w="1584" w:type="dxa"/>
            <w:tcMar>
              <w:top w:w="70" w:type="dxa"/>
              <w:left w:w="100" w:type="dxa"/>
              <w:bottom w:w="70" w:type="dxa"/>
              <w:right w:w="100" w:type="dxa"/>
            </w:tcMar>
          </w:tcPr>
          <w:p w14:paraId="4FE00BAA"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612C65C7" w14:textId="77777777" w:rsidR="00F67131" w:rsidRDefault="00000000">
            <w:pPr>
              <w:spacing w:before="40" w:after="40" w:line="240" w:lineRule="auto"/>
              <w:jc w:val="both"/>
            </w:pPr>
            <w:r>
              <w:rPr>
                <w:rFonts w:ascii="Times New Roman" w:hAnsi="Times New Roman"/>
                <w:color w:val="262626"/>
                <w:sz w:val="18"/>
              </w:rPr>
              <w:t>+9,8%</w:t>
            </w:r>
          </w:p>
        </w:tc>
        <w:tc>
          <w:tcPr>
            <w:tcW w:w="1584" w:type="dxa"/>
            <w:tcMar>
              <w:top w:w="70" w:type="dxa"/>
              <w:left w:w="100" w:type="dxa"/>
              <w:bottom w:w="70" w:type="dxa"/>
              <w:right w:w="100" w:type="dxa"/>
            </w:tcMar>
          </w:tcPr>
          <w:p w14:paraId="7F496825"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3E2D4003" w14:textId="77777777" w:rsidR="00F67131" w:rsidRDefault="00000000">
            <w:pPr>
              <w:spacing w:before="40" w:after="40" w:line="240" w:lineRule="auto"/>
              <w:jc w:val="both"/>
            </w:pPr>
            <w:r>
              <w:rPr>
                <w:rFonts w:ascii="Times New Roman" w:hAnsi="Times New Roman"/>
                <w:color w:val="262626"/>
                <w:sz w:val="18"/>
              </w:rPr>
              <w:t>+106,5%</w:t>
            </w:r>
          </w:p>
        </w:tc>
      </w:tr>
      <w:tr w:rsidR="00F67131" w14:paraId="5901BB3E" w14:textId="77777777">
        <w:trPr>
          <w:jc w:val="center"/>
          <w:cantSplit/>
        </w:trPr>
        <w:tc>
          <w:tcPr>
            <w:tcW w:w="4032" w:type="dxa"/>
            <w:tcMar>
              <w:top w:w="70" w:type="dxa"/>
              <w:left w:w="100" w:type="dxa"/>
              <w:bottom w:w="70" w:type="dxa"/>
              <w:right w:w="100" w:type="dxa"/>
            </w:tcMar>
          </w:tcPr>
          <w:p w14:paraId="63398AF1" w14:textId="77777777" w:rsidR="00F67131" w:rsidRDefault="00000000">
            <w:pPr>
              <w:spacing w:before="40" w:after="40" w:line="240" w:lineRule="auto"/>
              <w:jc w:val="both"/>
            </w:pPr>
            <w:r>
              <w:rPr>
                <w:rFonts w:ascii="Times New Roman" w:hAnsi="Times New Roman"/>
                <w:color w:val="262626"/>
                <w:sz w:val="18"/>
              </w:rPr>
              <w:t>Tác động khấu trừ vào Vốn CSH (sau thuế 20%)</w:t>
            </w:r>
          </w:p>
        </w:tc>
        <w:tc>
          <w:tcPr>
            <w:tcW w:w="1584" w:type="dxa"/>
            <w:tcMar>
              <w:top w:w="70" w:type="dxa"/>
              <w:left w:w="100" w:type="dxa"/>
              <w:bottom w:w="70" w:type="dxa"/>
              <w:right w:w="100" w:type="dxa"/>
            </w:tcMar>
          </w:tcPr>
          <w:p w14:paraId="31941A97"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19CCE0EF" w14:textId="77777777" w:rsidR="00F67131" w:rsidRDefault="00000000">
            <w:pPr>
              <w:spacing w:before="40" w:after="40" w:line="240" w:lineRule="auto"/>
              <w:jc w:val="both"/>
            </w:pPr>
            <w:r>
              <w:rPr>
                <w:rFonts w:ascii="Times New Roman" w:hAnsi="Times New Roman"/>
                <w:color w:val="262626"/>
                <w:sz w:val="18"/>
              </w:rPr>
              <w:t>-2.928 (-2,2%)</w:t>
            </w:r>
          </w:p>
        </w:tc>
        <w:tc>
          <w:tcPr>
            <w:tcW w:w="1584" w:type="dxa"/>
            <w:tcMar>
              <w:top w:w="70" w:type="dxa"/>
              <w:left w:w="100" w:type="dxa"/>
              <w:bottom w:w="70" w:type="dxa"/>
              <w:right w:w="100" w:type="dxa"/>
            </w:tcMar>
          </w:tcPr>
          <w:p w14:paraId="63DDEEA3"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5418DDCC" w14:textId="77777777" w:rsidR="00F67131" w:rsidRDefault="00000000">
            <w:pPr>
              <w:spacing w:before="40" w:after="40" w:line="240" w:lineRule="auto"/>
              <w:jc w:val="both"/>
            </w:pPr>
            <w:r>
              <w:rPr>
                <w:rFonts w:ascii="Times New Roman" w:hAnsi="Times New Roman"/>
                <w:color w:val="262626"/>
                <w:sz w:val="18"/>
              </w:rPr>
              <w:t>-11.205 (-7,9%)</w:t>
            </w:r>
          </w:p>
        </w:tc>
      </w:tr>
      <w:tr w:rsidR="00F67131" w14:paraId="491130F3" w14:textId="77777777">
        <w:trPr>
          <w:jc w:val="center"/>
          <w:cantSplit/>
        </w:trPr>
        <w:tc>
          <w:tcPr>
            <w:tcW w:w="4032" w:type="dxa"/>
            <w:tcMar>
              <w:top w:w="70" w:type="dxa"/>
              <w:left w:w="100" w:type="dxa"/>
              <w:bottom w:w="70" w:type="dxa"/>
              <w:right w:w="100" w:type="dxa"/>
            </w:tcMar>
          </w:tcPr>
          <w:p w14:paraId="32791516" w14:textId="77777777" w:rsidR="00F67131" w:rsidRDefault="00000000">
            <w:pPr>
              <w:spacing w:before="40" w:after="40" w:line="240" w:lineRule="auto"/>
              <w:jc w:val="both"/>
            </w:pPr>
            <w:r>
              <w:rPr>
                <w:rFonts w:ascii="Times New Roman" w:hAnsi="Times New Roman"/>
                <w:color w:val="262626"/>
                <w:sz w:val="18"/>
              </w:rPr>
              <w:t>Tỷ lệ CAR sau chuyển đổi IFRS 9 (%)</w:t>
            </w:r>
          </w:p>
        </w:tc>
        <w:tc>
          <w:tcPr>
            <w:tcW w:w="1584" w:type="dxa"/>
            <w:tcMar>
              <w:top w:w="70" w:type="dxa"/>
              <w:left w:w="100" w:type="dxa"/>
              <w:bottom w:w="70" w:type="dxa"/>
              <w:right w:w="100" w:type="dxa"/>
            </w:tcMar>
          </w:tcPr>
          <w:p w14:paraId="6A2AC57B" w14:textId="77777777" w:rsidR="00F67131" w:rsidRDefault="00000000">
            <w:pPr>
              <w:spacing w:before="40" w:after="40" w:line="240" w:lineRule="auto"/>
              <w:jc w:val="both"/>
            </w:pPr>
            <w:r>
              <w:rPr>
                <w:rFonts w:ascii="Times New Roman" w:hAnsi="Times New Roman"/>
                <w:color w:val="262626"/>
                <w:sz w:val="18"/>
              </w:rPr>
              <w:t>10,22%</w:t>
            </w:r>
          </w:p>
        </w:tc>
        <w:tc>
          <w:tcPr>
            <w:tcW w:w="1584" w:type="dxa"/>
            <w:tcMar>
              <w:top w:w="70" w:type="dxa"/>
              <w:left w:w="100" w:type="dxa"/>
              <w:bottom w:w="70" w:type="dxa"/>
              <w:right w:w="100" w:type="dxa"/>
            </w:tcMar>
          </w:tcPr>
          <w:p w14:paraId="05E6ED62" w14:textId="77777777" w:rsidR="00F67131" w:rsidRDefault="00000000">
            <w:pPr>
              <w:spacing w:before="40" w:after="40" w:line="240" w:lineRule="auto"/>
              <w:jc w:val="both"/>
            </w:pPr>
            <w:r>
              <w:rPr>
                <w:rFonts w:ascii="Times New Roman" w:hAnsi="Times New Roman"/>
                <w:color w:val="262626"/>
                <w:sz w:val="18"/>
              </w:rPr>
              <w:t>10,07% (-15 bps)</w:t>
            </w:r>
          </w:p>
        </w:tc>
        <w:tc>
          <w:tcPr>
            <w:tcW w:w="1584" w:type="dxa"/>
            <w:tcMar>
              <w:top w:w="70" w:type="dxa"/>
              <w:left w:w="100" w:type="dxa"/>
              <w:bottom w:w="70" w:type="dxa"/>
              <w:right w:w="100" w:type="dxa"/>
            </w:tcMar>
          </w:tcPr>
          <w:p w14:paraId="072D7915" w14:textId="77777777" w:rsidR="00F67131" w:rsidRDefault="00000000">
            <w:pPr>
              <w:spacing w:before="40" w:after="40" w:line="240" w:lineRule="auto"/>
              <w:jc w:val="both"/>
            </w:pPr>
            <w:r>
              <w:rPr>
                <w:rFonts w:ascii="Times New Roman" w:hAnsi="Times New Roman"/>
                <w:color w:val="262626"/>
                <w:sz w:val="18"/>
              </w:rPr>
              <w:t>11,00%</w:t>
            </w:r>
          </w:p>
        </w:tc>
        <w:tc>
          <w:tcPr>
            <w:tcW w:w="1584" w:type="dxa"/>
            <w:tcMar>
              <w:top w:w="70" w:type="dxa"/>
              <w:left w:w="100" w:type="dxa"/>
              <w:bottom w:w="70" w:type="dxa"/>
              <w:right w:w="100" w:type="dxa"/>
            </w:tcMar>
          </w:tcPr>
          <w:p w14:paraId="768AE21C" w14:textId="77777777" w:rsidR="00F67131" w:rsidRDefault="00000000">
            <w:pPr>
              <w:spacing w:before="40" w:after="40" w:line="240" w:lineRule="auto"/>
              <w:jc w:val="both"/>
            </w:pPr>
            <w:r>
              <w:rPr>
                <w:rFonts w:ascii="Times New Roman" w:hAnsi="Times New Roman"/>
                <w:color w:val="262626"/>
                <w:sz w:val="18"/>
              </w:rPr>
              <w:t>9,97% (-103 bps)</w:t>
            </w:r>
          </w:p>
        </w:tc>
      </w:tr>
    </w:tbl>
    <w:p w14:paraId="338FBFF5"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Kết quả mô phỏng định lượng của nhóm nghiên cứu tại sheet IFRS9_Simulation dựa trên số liệu phân nhóm nợ, dự phòng và tài sản bảo đảm cuối năm 2025 của Agribank và MB.</w:t>
      </w:r>
    </w:p>
    <w:p w14:paraId="2CC3E023" w14:textId="77777777" w:rsidR="00F67131" w:rsidRDefault="00000000">
      <w:pPr>
        <w:spacing w:after="80" w:line="300" w:lineRule="auto"/>
        <w:jc w:val="both"/>
      </w:pPr>
      <w:r>
        <w:rPr>
          <w:rFonts w:ascii="Times New Roman" w:hAnsi="Times New Roman"/>
        </w:rPr>
        <w:t xml:space="preserve">Kết quả mô phỏng IFRS 9 và Kiểm định độ nhạy tham số (Sensitivity Analysis): Khi loại bỏ hoàn toàn các ước tính nợ cơ cấu không có thuyết minh kiểm toán năm 2025 và tính toán thuần túy theo công thức chuẩn ECL = EAD × PD × LGD trên số liệu BCTC hợp nhất 2025 (sheet IFRS9_Simulation), tổng dự phòng ECL theo IFRS 9 của MB lên tới 27.157 tỷ đồng, cao hơn 14.006 tỷ đồng (+106,5%) so với mức dự phòng 13.151 tỷ đồng hiện có trên BCTC hợp nhất 2025; sau khi trừ thuế TNDN 20%, vốn chủ sở hữu của MB giảm 11.205 tỷ đồng (-7,9%) và hệ số CAR giảm 103 điểm cơ bản (từ 11,00% xuống 9,97%). Ngược lại, tại Agribank, tổng dự phòng ECL theo IFRS 9 là 41.125 tỷ đồng (Stage 1: 7.699 tỷ; Stage 2 với EAD = 21.282 tỷ nợ nhóm 2 + 5% nợ nhóm 1 chuyển nhóm = 117.756 tỷ đồng, ECL = 11.658 tỷ; Stage 3: 21.769 tỷ), chỉ cao hơn 3.660 tỷ đồng (+9,8%) so với quỹ dự phòng 37.465 tỷ đồng hiện có (gồm 22.863 tỷ dự phòng cụ thể và 14.602 tỷ dự phòng chung); vốn chủ sở hữu của Agribank chỉ giảm 2.928 tỷ đồng (-2,2%) và CAR chỉ giảm nhẹ 15 điểm cơ bản (từ 10,22% xuống 10,07%). Nguyên nhân cốt lõi của sự phân kỳ này nằm ở hai yếu tố: (i) Agribank đã duy trì bộ đệm dự phòng cụ thể và dự phòng chung rất lớn theo VAS (LLCR đạt 146,3%), trong khi MB để LLCR hợp nhất giảm xuống 93,7% (dự phòng cụ thể chỉ có 5.052 tỷ đồng trên 14.027 tỷ đồng nợ xấu); và (ii) MB chịu cú sốc trích lập Lifetime ECL tại Stage 2 (11.315 tỷ đồng so với 511 tỷ đồng theo VAS) do ngoài 10.210 tỷ nợ nhóm 2 và 6% dư nợ nhóm 1 có dấu hiệu gia tăng rủi ro (SICR), MB còn phải tính cả rủi ro của 30% danh mục trái phiếu doanh nghiệp TCKT (7.023 tỷ đồng). Hai lưu ý về phương pháp: (a) ECL của phần TPDN đưa vào Stage 2 khoảng 983 tỷ đồng, trong khi mức dự phòng VAS 13.151 tỷ đồng dùng để so sánh chỉ gồm dự phòng cho vay khách hàng, nên khoảng cách 14.006 tỷ đồng bao gồm cả phần này; (b) CAR sau IFRS 9 được ước tính bằng cách khấu trừ tác động sau thuế vào vốn và chia cho dư nợ cho vay (thay cho RWA), nên mức giảm theo điểm cơ bản chỉ mang tính minh họa. </w:t>
      </w:r>
      <w:r>
        <w:rPr>
          <w:rFonts w:ascii="Times New Roman" w:hAnsi="Times New Roman"/>
        </w:rPr>
        <w:lastRenderedPageBreak/>
        <w:t>Trong mô hình cơ sở, LGD của Agribank được đặt ở mức 35% (Stage 1) và 45% (Stage 2) nhờ 90,2% tài sản bảo đảm là bất động sản, nhưng lên tới 85% ở Stage 3 do nợ nhóm 5 chiếm 79,0% nợ xấu và thời gian xử lý phát mại tài sản kéo dài nhiều năm làm suy giảm giá trị hiện tại ròng (NPV) của dòng tiền thu hồi; LGD của MB tương ứng là 45%, 50% và 65%. Để kiểm chứng tính vững (robustness) của kết luận trước sự thay đổi của các tham số giả định, nghiên cứu thực hiện Phân tích độ nhạy (Sensitivity Analysis) với 6 kịch bản biến thiên tỷ lệ chuyển nhóm SICR (3%, 6%, 9%) và hệ số tổn thất LGD (±10 điểm % ở mọi giai đoạn) được tổng hợp tại Bảng 12 dưới đây:</w:t>
      </w:r>
    </w:p>
    <w:p w14:paraId="717A7927" w14:textId="77777777" w:rsidR="00F67131" w:rsidRDefault="00000000">
      <w:pPr>
        <w:spacing w:before="200" w:after="80" w:line="300" w:lineRule="auto"/>
      </w:pPr>
      <w:r>
        <w:rPr>
          <w:rFonts w:ascii="Times New Roman" w:hAnsi="Times New Roman"/>
          <w:b/>
          <w:color w:val="002060"/>
        </w:rPr>
        <w:t>Bảng 12. Kết quả kiểm định độ nhạy mô phỏng IFRS 9 ECL của Agribank và MB theo 6 kịch bản tham số (Cuối năm 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1769"/>
        <w:gridCol w:w="1813"/>
        <w:gridCol w:w="1829"/>
        <w:gridCol w:w="1810"/>
        <w:gridCol w:w="2131"/>
      </w:tblGrid>
      <w:tr w:rsidR="00F67131" w14:paraId="2310F956" w14:textId="77777777">
        <w:trPr>
          <w:jc w:val="center"/>
          <w:cantSplit/>
          <w:tblHeader/>
        </w:trPr>
        <w:tc>
          <w:tcPr>
            <w:tcW w:w="2016" w:type="dxa"/>
            <w:shd w:val="clear" w:color="auto" w:fill="1F497D"/>
            <w:tcMar>
              <w:top w:w="120" w:type="dxa"/>
              <w:left w:w="140" w:type="dxa"/>
              <w:bottom w:w="120" w:type="dxa"/>
              <w:right w:w="140" w:type="dxa"/>
            </w:tcMar>
          </w:tcPr>
          <w:p w14:paraId="0286B03A" w14:textId="77777777" w:rsidR="00F67131" w:rsidRDefault="00000000">
            <w:pPr>
              <w:spacing w:before="40" w:after="40" w:line="252" w:lineRule="auto"/>
              <w:jc w:val="center"/>
            </w:pPr>
            <w:r>
              <w:rPr>
                <w:rFonts w:ascii="Times New Roman" w:hAnsi="Times New Roman"/>
                <w:b/>
                <w:color w:val="FFFFFF"/>
                <w:sz w:val="19"/>
              </w:rPr>
              <w:t>Kịch bản kiểm định độ nhạy</w:t>
            </w:r>
          </w:p>
        </w:tc>
        <w:tc>
          <w:tcPr>
            <w:tcW w:w="2016" w:type="dxa"/>
            <w:shd w:val="clear" w:color="auto" w:fill="1F497D"/>
            <w:tcMar>
              <w:top w:w="120" w:type="dxa"/>
              <w:left w:w="140" w:type="dxa"/>
              <w:bottom w:w="120" w:type="dxa"/>
              <w:right w:w="140" w:type="dxa"/>
            </w:tcMar>
          </w:tcPr>
          <w:p w14:paraId="042359A5" w14:textId="77777777" w:rsidR="00F67131" w:rsidRDefault="00000000">
            <w:pPr>
              <w:spacing w:before="40" w:after="40" w:line="252" w:lineRule="auto"/>
              <w:jc w:val="center"/>
            </w:pPr>
            <w:r>
              <w:rPr>
                <w:rFonts w:ascii="Times New Roman" w:hAnsi="Times New Roman"/>
                <w:b/>
                <w:color w:val="FFFFFF"/>
                <w:sz w:val="19"/>
              </w:rPr>
              <w:t>Giả định tham số (SICR &amp; LGD)</w:t>
            </w:r>
          </w:p>
        </w:tc>
        <w:tc>
          <w:tcPr>
            <w:tcW w:w="2016" w:type="dxa"/>
            <w:shd w:val="clear" w:color="auto" w:fill="1F497D"/>
            <w:tcMar>
              <w:top w:w="120" w:type="dxa"/>
              <w:left w:w="140" w:type="dxa"/>
              <w:bottom w:w="120" w:type="dxa"/>
              <w:right w:w="140" w:type="dxa"/>
            </w:tcMar>
          </w:tcPr>
          <w:p w14:paraId="5B32C7BD" w14:textId="77777777" w:rsidR="00F67131" w:rsidRDefault="00000000">
            <w:pPr>
              <w:spacing w:before="40" w:after="40" w:line="252" w:lineRule="auto"/>
              <w:jc w:val="center"/>
            </w:pPr>
            <w:r>
              <w:rPr>
                <w:rFonts w:ascii="Times New Roman" w:hAnsi="Times New Roman"/>
                <w:b/>
                <w:color w:val="FFFFFF"/>
                <w:sz w:val="19"/>
              </w:rPr>
              <w:t>Agribank: Gap Dự phòng &amp; CAR sau IFRS 9</w:t>
            </w:r>
          </w:p>
        </w:tc>
        <w:tc>
          <w:tcPr>
            <w:tcW w:w="2016" w:type="dxa"/>
            <w:shd w:val="clear" w:color="auto" w:fill="1F497D"/>
            <w:tcMar>
              <w:top w:w="120" w:type="dxa"/>
              <w:left w:w="140" w:type="dxa"/>
              <w:bottom w:w="120" w:type="dxa"/>
              <w:right w:w="140" w:type="dxa"/>
            </w:tcMar>
          </w:tcPr>
          <w:p w14:paraId="4625825B" w14:textId="77777777" w:rsidR="00F67131" w:rsidRDefault="00000000">
            <w:pPr>
              <w:spacing w:before="40" w:after="40" w:line="252" w:lineRule="auto"/>
              <w:jc w:val="center"/>
            </w:pPr>
            <w:r>
              <w:rPr>
                <w:rFonts w:ascii="Times New Roman" w:hAnsi="Times New Roman"/>
                <w:b/>
                <w:color w:val="FFFFFF"/>
                <w:sz w:val="19"/>
              </w:rPr>
              <w:t>MB: Gap Dự phòng &amp; CAR sau IFRS 9</w:t>
            </w:r>
          </w:p>
        </w:tc>
        <w:tc>
          <w:tcPr>
            <w:tcW w:w="2448" w:type="dxa"/>
            <w:shd w:val="clear" w:color="auto" w:fill="1F497D"/>
            <w:tcMar>
              <w:top w:w="120" w:type="dxa"/>
              <w:left w:w="140" w:type="dxa"/>
              <w:bottom w:w="120" w:type="dxa"/>
              <w:right w:w="140" w:type="dxa"/>
            </w:tcMar>
          </w:tcPr>
          <w:p w14:paraId="2806AC69" w14:textId="77777777" w:rsidR="00F67131" w:rsidRDefault="00000000">
            <w:pPr>
              <w:spacing w:before="40" w:after="40" w:line="252" w:lineRule="auto"/>
              <w:jc w:val="center"/>
            </w:pPr>
            <w:r>
              <w:rPr>
                <w:rFonts w:ascii="Times New Roman" w:hAnsi="Times New Roman"/>
                <w:b/>
                <w:color w:val="FFFFFF"/>
                <w:sz w:val="19"/>
              </w:rPr>
              <w:t>Đánh giá tác động định lượng &amp; kiểm toán</w:t>
            </w:r>
          </w:p>
        </w:tc>
      </w:tr>
      <w:tr w:rsidR="00F67131" w14:paraId="715B971C" w14:textId="77777777">
        <w:trPr>
          <w:jc w:val="center"/>
          <w:cantSplit/>
        </w:trPr>
        <w:tc>
          <w:tcPr>
            <w:tcW w:w="2016" w:type="dxa"/>
            <w:shd w:val="clear" w:color="auto" w:fill="F2F5F9"/>
            <w:tcMar>
              <w:top w:w="100" w:type="dxa"/>
              <w:left w:w="130" w:type="dxa"/>
              <w:bottom w:w="100" w:type="dxa"/>
              <w:right w:w="130" w:type="dxa"/>
            </w:tcMar>
          </w:tcPr>
          <w:p w14:paraId="5D3A0CC4" w14:textId="77777777" w:rsidR="00F67131" w:rsidRDefault="00000000">
            <w:pPr>
              <w:spacing w:before="40" w:after="40" w:line="252" w:lineRule="auto"/>
            </w:pPr>
            <w:r>
              <w:rPr>
                <w:rFonts w:ascii="Times New Roman" w:hAnsi="Times New Roman"/>
                <w:b/>
                <w:color w:val="000000"/>
                <w:sz w:val="18"/>
              </w:rPr>
              <w:t>Kịch bản 1: Cơ sở (Base)</w:t>
            </w:r>
          </w:p>
        </w:tc>
        <w:tc>
          <w:tcPr>
            <w:tcW w:w="2016" w:type="dxa"/>
            <w:shd w:val="clear" w:color="auto" w:fill="F2F5F9"/>
            <w:tcMar>
              <w:top w:w="100" w:type="dxa"/>
              <w:left w:w="130" w:type="dxa"/>
              <w:bottom w:w="100" w:type="dxa"/>
              <w:right w:w="130" w:type="dxa"/>
            </w:tcMar>
          </w:tcPr>
          <w:p w14:paraId="1708A1B5" w14:textId="77777777" w:rsidR="00F67131" w:rsidRDefault="00000000">
            <w:pPr>
              <w:spacing w:before="40" w:after="40" w:line="252" w:lineRule="auto"/>
            </w:pPr>
            <w:r>
              <w:rPr>
                <w:rFonts w:ascii="Times New Roman" w:hAnsi="Times New Roman"/>
                <w:color w:val="000000"/>
                <w:sz w:val="18"/>
              </w:rPr>
              <w:t>SICR: Agri 5%, MB 6%</w:t>
            </w:r>
            <w:r>
              <w:br/>
            </w:r>
            <w:r>
              <w:rPr>
                <w:rFonts w:ascii="Times New Roman" w:hAnsi="Times New Roman"/>
                <w:color w:val="000000"/>
                <w:sz w:val="18"/>
              </w:rPr>
              <w:t>LGD chuẩn:</w:t>
            </w:r>
            <w:r>
              <w:br/>
            </w:r>
            <w:r>
              <w:rPr>
                <w:rFonts w:ascii="Times New Roman" w:hAnsi="Times New Roman"/>
                <w:color w:val="000000"/>
                <w:sz w:val="18"/>
              </w:rPr>
              <w:t>Agri 35/45/85%</w:t>
            </w:r>
            <w:r>
              <w:br/>
            </w:r>
            <w:r>
              <w:rPr>
                <w:rFonts w:ascii="Times New Roman" w:hAnsi="Times New Roman"/>
                <w:color w:val="000000"/>
                <w:sz w:val="18"/>
              </w:rPr>
              <w:t>MB 45/50/65%</w:t>
            </w:r>
          </w:p>
        </w:tc>
        <w:tc>
          <w:tcPr>
            <w:tcW w:w="2016" w:type="dxa"/>
            <w:shd w:val="clear" w:color="auto" w:fill="F2F5F9"/>
            <w:tcMar>
              <w:top w:w="100" w:type="dxa"/>
              <w:left w:w="130" w:type="dxa"/>
              <w:bottom w:w="100" w:type="dxa"/>
              <w:right w:w="130" w:type="dxa"/>
            </w:tcMar>
          </w:tcPr>
          <w:p w14:paraId="413062D0" w14:textId="77777777" w:rsidR="00F67131" w:rsidRDefault="00000000">
            <w:pPr>
              <w:spacing w:before="40" w:after="40" w:line="252" w:lineRule="auto"/>
              <w:jc w:val="right"/>
            </w:pPr>
            <w:r>
              <w:rPr>
                <w:rFonts w:ascii="Times New Roman" w:hAnsi="Times New Roman"/>
                <w:color w:val="000000"/>
                <w:sz w:val="18"/>
              </w:rPr>
              <w:t>Thiếu +3.660 tỷ (+9,8%)</w:t>
            </w:r>
            <w:r>
              <w:br/>
            </w:r>
            <w:r>
              <w:rPr>
                <w:rFonts w:ascii="Times New Roman" w:hAnsi="Times New Roman"/>
                <w:color w:val="000000"/>
                <w:sz w:val="18"/>
              </w:rPr>
              <w:t>CAR: 10,07% (−15 bps)</w:t>
            </w:r>
          </w:p>
        </w:tc>
        <w:tc>
          <w:tcPr>
            <w:tcW w:w="2016" w:type="dxa"/>
            <w:shd w:val="clear" w:color="auto" w:fill="F2F5F9"/>
            <w:tcMar>
              <w:top w:w="100" w:type="dxa"/>
              <w:left w:w="130" w:type="dxa"/>
              <w:bottom w:w="100" w:type="dxa"/>
              <w:right w:w="130" w:type="dxa"/>
            </w:tcMar>
          </w:tcPr>
          <w:p w14:paraId="784B9908" w14:textId="77777777" w:rsidR="00F67131" w:rsidRDefault="00000000">
            <w:pPr>
              <w:spacing w:before="40" w:after="40" w:line="252" w:lineRule="auto"/>
              <w:jc w:val="right"/>
            </w:pPr>
            <w:r>
              <w:rPr>
                <w:rFonts w:ascii="Times New Roman" w:hAnsi="Times New Roman"/>
                <w:color w:val="000000"/>
                <w:sz w:val="18"/>
              </w:rPr>
              <w:t>Thiếu +14.006 tỷ (+106,5%)</w:t>
            </w:r>
            <w:r>
              <w:br/>
            </w:r>
            <w:r>
              <w:rPr>
                <w:rFonts w:ascii="Times New Roman" w:hAnsi="Times New Roman"/>
                <w:color w:val="000000"/>
                <w:sz w:val="18"/>
              </w:rPr>
              <w:t>CAR: 9,97% (−103 bps)</w:t>
            </w:r>
          </w:p>
        </w:tc>
        <w:tc>
          <w:tcPr>
            <w:tcW w:w="2448" w:type="dxa"/>
            <w:shd w:val="clear" w:color="auto" w:fill="F2F5F9"/>
            <w:tcMar>
              <w:top w:w="100" w:type="dxa"/>
              <w:left w:w="130" w:type="dxa"/>
              <w:bottom w:w="100" w:type="dxa"/>
              <w:right w:w="130" w:type="dxa"/>
            </w:tcMar>
          </w:tcPr>
          <w:p w14:paraId="073AAF16" w14:textId="77777777" w:rsidR="00F67131" w:rsidRDefault="00000000">
            <w:pPr>
              <w:spacing w:before="40" w:after="40" w:line="252" w:lineRule="auto"/>
            </w:pPr>
            <w:r>
              <w:rPr>
                <w:rFonts w:ascii="Times New Roman" w:hAnsi="Times New Roman"/>
                <w:color w:val="000000"/>
                <w:sz w:val="18"/>
              </w:rPr>
              <w:t>MB thiếu hụt lớn gấp 3,8 lần Agribank do áp lực trích lập Lifetime ECL Stage 2 và TPDN.</w:t>
            </w:r>
          </w:p>
        </w:tc>
      </w:tr>
      <w:tr w:rsidR="00F67131" w14:paraId="2C245F8B" w14:textId="77777777">
        <w:trPr>
          <w:jc w:val="center"/>
          <w:cantSplit/>
        </w:trPr>
        <w:tc>
          <w:tcPr>
            <w:tcW w:w="2016" w:type="dxa"/>
            <w:shd w:val="clear" w:color="auto" w:fill="FFFFFF"/>
            <w:tcMar>
              <w:top w:w="100" w:type="dxa"/>
              <w:left w:w="130" w:type="dxa"/>
              <w:bottom w:w="100" w:type="dxa"/>
              <w:right w:w="130" w:type="dxa"/>
            </w:tcMar>
          </w:tcPr>
          <w:p w14:paraId="61C10F3F" w14:textId="77777777" w:rsidR="00F67131" w:rsidRDefault="00000000">
            <w:pPr>
              <w:spacing w:before="40" w:after="40" w:line="252" w:lineRule="auto"/>
            </w:pPr>
            <w:r>
              <w:rPr>
                <w:rFonts w:ascii="Times New Roman" w:hAnsi="Times New Roman"/>
                <w:b/>
                <w:color w:val="000000"/>
                <w:sz w:val="18"/>
              </w:rPr>
              <w:t>Kịch bản 2: SICR thấp (3%)</w:t>
            </w:r>
          </w:p>
        </w:tc>
        <w:tc>
          <w:tcPr>
            <w:tcW w:w="2016" w:type="dxa"/>
            <w:shd w:val="clear" w:color="auto" w:fill="FFFFFF"/>
            <w:tcMar>
              <w:top w:w="100" w:type="dxa"/>
              <w:left w:w="130" w:type="dxa"/>
              <w:bottom w:w="100" w:type="dxa"/>
              <w:right w:w="130" w:type="dxa"/>
            </w:tcMar>
          </w:tcPr>
          <w:p w14:paraId="4672CA50" w14:textId="77777777" w:rsidR="00F67131" w:rsidRDefault="00000000">
            <w:pPr>
              <w:spacing w:before="40" w:after="40" w:line="252" w:lineRule="auto"/>
            </w:pPr>
            <w:r>
              <w:rPr>
                <w:rFonts w:ascii="Times New Roman" w:hAnsi="Times New Roman"/>
                <w:color w:val="000000"/>
                <w:sz w:val="18"/>
              </w:rPr>
              <w:t>SICR = 3,0% cả hai NH</w:t>
            </w:r>
            <w:r>
              <w:br/>
            </w:r>
            <w:r>
              <w:rPr>
                <w:rFonts w:ascii="Times New Roman" w:hAnsi="Times New Roman"/>
                <w:color w:val="000000"/>
                <w:sz w:val="18"/>
              </w:rPr>
              <w:t>LGD giữ nguyên cơ sở</w:t>
            </w:r>
          </w:p>
        </w:tc>
        <w:tc>
          <w:tcPr>
            <w:tcW w:w="2016" w:type="dxa"/>
            <w:shd w:val="clear" w:color="auto" w:fill="FFFFFF"/>
            <w:tcMar>
              <w:top w:w="100" w:type="dxa"/>
              <w:left w:w="130" w:type="dxa"/>
              <w:bottom w:w="100" w:type="dxa"/>
              <w:right w:w="130" w:type="dxa"/>
            </w:tcMar>
          </w:tcPr>
          <w:p w14:paraId="3CC84484" w14:textId="77777777" w:rsidR="00F67131" w:rsidRDefault="00000000">
            <w:pPr>
              <w:spacing w:before="40" w:after="40" w:line="252" w:lineRule="auto"/>
              <w:jc w:val="right"/>
            </w:pPr>
            <w:r>
              <w:rPr>
                <w:rFonts w:ascii="Times New Roman" w:hAnsi="Times New Roman"/>
                <w:color w:val="000000"/>
                <w:sz w:val="18"/>
              </w:rPr>
              <w:t>Thiếu +2 tỷ (+0,0%)</w:t>
            </w:r>
            <w:r>
              <w:br/>
            </w:r>
            <w:r>
              <w:rPr>
                <w:rFonts w:ascii="Times New Roman" w:hAnsi="Times New Roman"/>
                <w:color w:val="000000"/>
                <w:sz w:val="18"/>
              </w:rPr>
              <w:t>CAR: 10,22% (0 bps)</w:t>
            </w:r>
          </w:p>
        </w:tc>
        <w:tc>
          <w:tcPr>
            <w:tcW w:w="2016" w:type="dxa"/>
            <w:shd w:val="clear" w:color="auto" w:fill="FFFFFF"/>
            <w:tcMar>
              <w:top w:w="100" w:type="dxa"/>
              <w:left w:w="130" w:type="dxa"/>
              <w:bottom w:w="100" w:type="dxa"/>
              <w:right w:w="130" w:type="dxa"/>
            </w:tcMar>
          </w:tcPr>
          <w:p w14:paraId="69F9538B" w14:textId="77777777" w:rsidR="00F67131" w:rsidRDefault="00000000">
            <w:pPr>
              <w:spacing w:before="40" w:after="40" w:line="252" w:lineRule="auto"/>
              <w:jc w:val="right"/>
            </w:pPr>
            <w:r>
              <w:rPr>
                <w:rFonts w:ascii="Times New Roman" w:hAnsi="Times New Roman"/>
                <w:color w:val="000000"/>
                <w:sz w:val="18"/>
              </w:rPr>
              <w:t>Thiếu +9.770 tỷ (+74,3%)</w:t>
            </w:r>
            <w:r>
              <w:br/>
            </w:r>
            <w:r>
              <w:rPr>
                <w:rFonts w:ascii="Times New Roman" w:hAnsi="Times New Roman"/>
                <w:color w:val="000000"/>
                <w:sz w:val="18"/>
              </w:rPr>
              <w:t>CAR: 10,28% (−72 bps)</w:t>
            </w:r>
          </w:p>
        </w:tc>
        <w:tc>
          <w:tcPr>
            <w:tcW w:w="2448" w:type="dxa"/>
            <w:shd w:val="clear" w:color="auto" w:fill="FFFFFF"/>
            <w:tcMar>
              <w:top w:w="100" w:type="dxa"/>
              <w:left w:w="130" w:type="dxa"/>
              <w:bottom w:w="100" w:type="dxa"/>
              <w:right w:w="130" w:type="dxa"/>
            </w:tcMar>
          </w:tcPr>
          <w:p w14:paraId="1D06E24D" w14:textId="77777777" w:rsidR="00F67131" w:rsidRDefault="00000000">
            <w:pPr>
              <w:spacing w:before="40" w:after="40" w:line="252" w:lineRule="auto"/>
            </w:pPr>
            <w:r>
              <w:rPr>
                <w:rFonts w:ascii="Times New Roman" w:hAnsi="Times New Roman"/>
                <w:color w:val="000000"/>
                <w:sz w:val="18"/>
              </w:rPr>
              <w:t>Agribank đủ dự phòng nhờ bộ đệm VAS; MB vẫn thiếu gần 10.000 tỷ dù danh mục nhóm 1 tốt.</w:t>
            </w:r>
          </w:p>
        </w:tc>
      </w:tr>
      <w:tr w:rsidR="00F67131" w14:paraId="01EFF308" w14:textId="77777777">
        <w:trPr>
          <w:jc w:val="center"/>
          <w:cantSplit/>
        </w:trPr>
        <w:tc>
          <w:tcPr>
            <w:tcW w:w="2016" w:type="dxa"/>
            <w:shd w:val="clear" w:color="auto" w:fill="F2F5F9"/>
            <w:tcMar>
              <w:top w:w="100" w:type="dxa"/>
              <w:left w:w="130" w:type="dxa"/>
              <w:bottom w:w="100" w:type="dxa"/>
              <w:right w:w="130" w:type="dxa"/>
            </w:tcMar>
          </w:tcPr>
          <w:p w14:paraId="0A721A7C" w14:textId="77777777" w:rsidR="00F67131" w:rsidRDefault="00000000">
            <w:pPr>
              <w:spacing w:before="40" w:after="40" w:line="252" w:lineRule="auto"/>
            </w:pPr>
            <w:r>
              <w:rPr>
                <w:rFonts w:ascii="Times New Roman" w:hAnsi="Times New Roman"/>
                <w:b/>
                <w:color w:val="000000"/>
                <w:sz w:val="18"/>
              </w:rPr>
              <w:t>Kịch bản 3: SICR trung bình (6%)</w:t>
            </w:r>
          </w:p>
        </w:tc>
        <w:tc>
          <w:tcPr>
            <w:tcW w:w="2016" w:type="dxa"/>
            <w:shd w:val="clear" w:color="auto" w:fill="F2F5F9"/>
            <w:tcMar>
              <w:top w:w="100" w:type="dxa"/>
              <w:left w:w="130" w:type="dxa"/>
              <w:bottom w:w="100" w:type="dxa"/>
              <w:right w:w="130" w:type="dxa"/>
            </w:tcMar>
          </w:tcPr>
          <w:p w14:paraId="566EC95B" w14:textId="77777777" w:rsidR="00F67131" w:rsidRDefault="00000000">
            <w:pPr>
              <w:spacing w:before="40" w:after="40" w:line="252" w:lineRule="auto"/>
            </w:pPr>
            <w:r>
              <w:rPr>
                <w:rFonts w:ascii="Times New Roman" w:hAnsi="Times New Roman"/>
                <w:color w:val="000000"/>
                <w:sz w:val="18"/>
              </w:rPr>
              <w:t>SICR = 6,0% cả hai NH</w:t>
            </w:r>
            <w:r>
              <w:br/>
            </w:r>
            <w:r>
              <w:rPr>
                <w:rFonts w:ascii="Times New Roman" w:hAnsi="Times New Roman"/>
                <w:color w:val="000000"/>
                <w:sz w:val="18"/>
              </w:rPr>
              <w:t>LGD giữ nguyên cơ sở</w:t>
            </w:r>
          </w:p>
        </w:tc>
        <w:tc>
          <w:tcPr>
            <w:tcW w:w="2016" w:type="dxa"/>
            <w:shd w:val="clear" w:color="auto" w:fill="F2F5F9"/>
            <w:tcMar>
              <w:top w:w="100" w:type="dxa"/>
              <w:left w:w="130" w:type="dxa"/>
              <w:bottom w:w="100" w:type="dxa"/>
              <w:right w:w="130" w:type="dxa"/>
            </w:tcMar>
          </w:tcPr>
          <w:p w14:paraId="732F9EBE" w14:textId="77777777" w:rsidR="00F67131" w:rsidRDefault="00000000">
            <w:pPr>
              <w:spacing w:before="40" w:after="40" w:line="252" w:lineRule="auto"/>
              <w:jc w:val="right"/>
            </w:pPr>
            <w:r>
              <w:rPr>
                <w:rFonts w:ascii="Times New Roman" w:hAnsi="Times New Roman"/>
                <w:color w:val="000000"/>
                <w:sz w:val="18"/>
              </w:rPr>
              <w:t>Thiếu +5.489 tỷ (+14,7%)</w:t>
            </w:r>
            <w:r>
              <w:br/>
            </w:r>
            <w:r>
              <w:rPr>
                <w:rFonts w:ascii="Times New Roman" w:hAnsi="Times New Roman"/>
                <w:color w:val="000000"/>
                <w:sz w:val="18"/>
              </w:rPr>
              <w:t>CAR: 10,00% (−22 bps)</w:t>
            </w:r>
          </w:p>
        </w:tc>
        <w:tc>
          <w:tcPr>
            <w:tcW w:w="2016" w:type="dxa"/>
            <w:shd w:val="clear" w:color="auto" w:fill="F2F5F9"/>
            <w:tcMar>
              <w:top w:w="100" w:type="dxa"/>
              <w:left w:w="130" w:type="dxa"/>
              <w:bottom w:w="100" w:type="dxa"/>
              <w:right w:w="130" w:type="dxa"/>
            </w:tcMar>
          </w:tcPr>
          <w:p w14:paraId="04E9D471" w14:textId="77777777" w:rsidR="00F67131" w:rsidRDefault="00000000">
            <w:pPr>
              <w:spacing w:before="40" w:after="40" w:line="252" w:lineRule="auto"/>
              <w:jc w:val="right"/>
            </w:pPr>
            <w:r>
              <w:rPr>
                <w:rFonts w:ascii="Times New Roman" w:hAnsi="Times New Roman"/>
                <w:color w:val="000000"/>
                <w:sz w:val="18"/>
              </w:rPr>
              <w:t>Thiếu +14.006 tỷ (+106,5%)</w:t>
            </w:r>
            <w:r>
              <w:br/>
            </w:r>
            <w:r>
              <w:rPr>
                <w:rFonts w:ascii="Times New Roman" w:hAnsi="Times New Roman"/>
                <w:color w:val="000000"/>
                <w:sz w:val="18"/>
              </w:rPr>
              <w:t>CAR: 9,97% (−103 bps)</w:t>
            </w:r>
          </w:p>
        </w:tc>
        <w:tc>
          <w:tcPr>
            <w:tcW w:w="2448" w:type="dxa"/>
            <w:shd w:val="clear" w:color="auto" w:fill="F2F5F9"/>
            <w:tcMar>
              <w:top w:w="100" w:type="dxa"/>
              <w:left w:w="130" w:type="dxa"/>
              <w:bottom w:w="100" w:type="dxa"/>
              <w:right w:w="130" w:type="dxa"/>
            </w:tcMar>
          </w:tcPr>
          <w:p w14:paraId="19879871" w14:textId="77777777" w:rsidR="00F67131" w:rsidRDefault="00000000">
            <w:pPr>
              <w:spacing w:before="40" w:after="40" w:line="252" w:lineRule="auto"/>
            </w:pPr>
            <w:r>
              <w:rPr>
                <w:rFonts w:ascii="Times New Roman" w:hAnsi="Times New Roman"/>
                <w:color w:val="000000"/>
                <w:sz w:val="18"/>
              </w:rPr>
              <w:t>Cùng SICR 6%: Agribank giảm 22 bps (CAR 10,00%); MB giữ kết quả cơ sở, giảm 103 bps xuống 9,97%.</w:t>
            </w:r>
          </w:p>
        </w:tc>
      </w:tr>
      <w:tr w:rsidR="00F67131" w14:paraId="77886A6D" w14:textId="77777777">
        <w:trPr>
          <w:jc w:val="center"/>
          <w:cantSplit/>
        </w:trPr>
        <w:tc>
          <w:tcPr>
            <w:tcW w:w="2016" w:type="dxa"/>
            <w:shd w:val="clear" w:color="auto" w:fill="FFFFFF"/>
            <w:tcMar>
              <w:top w:w="100" w:type="dxa"/>
              <w:left w:w="130" w:type="dxa"/>
              <w:bottom w:w="100" w:type="dxa"/>
              <w:right w:w="130" w:type="dxa"/>
            </w:tcMar>
          </w:tcPr>
          <w:p w14:paraId="6D4B346C" w14:textId="77777777" w:rsidR="00F67131" w:rsidRDefault="00000000">
            <w:pPr>
              <w:spacing w:before="40" w:after="40" w:line="252" w:lineRule="auto"/>
            </w:pPr>
            <w:r>
              <w:rPr>
                <w:rFonts w:ascii="Times New Roman" w:hAnsi="Times New Roman"/>
                <w:b/>
                <w:color w:val="000000"/>
                <w:sz w:val="18"/>
              </w:rPr>
              <w:t>Kịch bản 4: SICR cao (9%)</w:t>
            </w:r>
          </w:p>
        </w:tc>
        <w:tc>
          <w:tcPr>
            <w:tcW w:w="2016" w:type="dxa"/>
            <w:shd w:val="clear" w:color="auto" w:fill="FFFFFF"/>
            <w:tcMar>
              <w:top w:w="100" w:type="dxa"/>
              <w:left w:w="130" w:type="dxa"/>
              <w:bottom w:w="100" w:type="dxa"/>
              <w:right w:w="130" w:type="dxa"/>
            </w:tcMar>
          </w:tcPr>
          <w:p w14:paraId="79270E1E" w14:textId="77777777" w:rsidR="00F67131" w:rsidRDefault="00000000">
            <w:pPr>
              <w:spacing w:before="40" w:after="40" w:line="252" w:lineRule="auto"/>
            </w:pPr>
            <w:r>
              <w:rPr>
                <w:rFonts w:ascii="Times New Roman" w:hAnsi="Times New Roman"/>
                <w:color w:val="000000"/>
                <w:sz w:val="18"/>
              </w:rPr>
              <w:t>SICR = 9,0% cả hai NH</w:t>
            </w:r>
            <w:r>
              <w:br/>
            </w:r>
            <w:r>
              <w:rPr>
                <w:rFonts w:ascii="Times New Roman" w:hAnsi="Times New Roman"/>
                <w:color w:val="000000"/>
                <w:sz w:val="18"/>
              </w:rPr>
              <w:t>LGD giữ nguyên cơ sở</w:t>
            </w:r>
          </w:p>
        </w:tc>
        <w:tc>
          <w:tcPr>
            <w:tcW w:w="2016" w:type="dxa"/>
            <w:shd w:val="clear" w:color="auto" w:fill="FFFFFF"/>
            <w:tcMar>
              <w:top w:w="100" w:type="dxa"/>
              <w:left w:w="130" w:type="dxa"/>
              <w:bottom w:w="100" w:type="dxa"/>
              <w:right w:w="130" w:type="dxa"/>
            </w:tcMar>
          </w:tcPr>
          <w:p w14:paraId="6A55819E" w14:textId="77777777" w:rsidR="00F67131" w:rsidRDefault="00000000">
            <w:pPr>
              <w:spacing w:before="40" w:after="40" w:line="252" w:lineRule="auto"/>
              <w:jc w:val="right"/>
            </w:pPr>
            <w:r>
              <w:rPr>
                <w:rFonts w:ascii="Times New Roman" w:hAnsi="Times New Roman"/>
                <w:color w:val="000000"/>
                <w:sz w:val="18"/>
              </w:rPr>
              <w:t>Thiếu +10.977 tỷ (+29,3%)</w:t>
            </w:r>
            <w:r>
              <w:br/>
            </w:r>
            <w:r>
              <w:rPr>
                <w:rFonts w:ascii="Times New Roman" w:hAnsi="Times New Roman"/>
                <w:color w:val="000000"/>
                <w:sz w:val="18"/>
              </w:rPr>
              <w:t>CAR: 9,78% (−44 bps)</w:t>
            </w:r>
          </w:p>
        </w:tc>
        <w:tc>
          <w:tcPr>
            <w:tcW w:w="2016" w:type="dxa"/>
            <w:shd w:val="clear" w:color="auto" w:fill="FFFFFF"/>
            <w:tcMar>
              <w:top w:w="100" w:type="dxa"/>
              <w:left w:w="130" w:type="dxa"/>
              <w:bottom w:w="100" w:type="dxa"/>
              <w:right w:w="130" w:type="dxa"/>
            </w:tcMar>
          </w:tcPr>
          <w:p w14:paraId="6D5A79D0" w14:textId="77777777" w:rsidR="00F67131" w:rsidRDefault="00000000">
            <w:pPr>
              <w:spacing w:before="40" w:after="40" w:line="252" w:lineRule="auto"/>
              <w:jc w:val="right"/>
            </w:pPr>
            <w:r>
              <w:rPr>
                <w:rFonts w:ascii="Times New Roman" w:hAnsi="Times New Roman"/>
                <w:color w:val="000000"/>
                <w:sz w:val="18"/>
              </w:rPr>
              <w:t>Thiếu +18.243 tỷ (+138,7%)</w:t>
            </w:r>
            <w:r>
              <w:br/>
            </w:r>
            <w:r>
              <w:rPr>
                <w:rFonts w:ascii="Times New Roman" w:hAnsi="Times New Roman"/>
                <w:color w:val="000000"/>
                <w:sz w:val="18"/>
              </w:rPr>
              <w:t>CAR: 9,65% (−135 bps)</w:t>
            </w:r>
          </w:p>
        </w:tc>
        <w:tc>
          <w:tcPr>
            <w:tcW w:w="2448" w:type="dxa"/>
            <w:shd w:val="clear" w:color="auto" w:fill="FFFFFF"/>
            <w:tcMar>
              <w:top w:w="100" w:type="dxa"/>
              <w:left w:w="130" w:type="dxa"/>
              <w:bottom w:w="100" w:type="dxa"/>
              <w:right w:w="130" w:type="dxa"/>
            </w:tcMar>
          </w:tcPr>
          <w:p w14:paraId="43002496" w14:textId="77777777" w:rsidR="00F67131" w:rsidRDefault="00000000">
            <w:pPr>
              <w:spacing w:before="40" w:after="40" w:line="252" w:lineRule="auto"/>
            </w:pPr>
            <w:r>
              <w:rPr>
                <w:rFonts w:ascii="Times New Roman" w:hAnsi="Times New Roman"/>
                <w:color w:val="000000"/>
                <w:sz w:val="18"/>
              </w:rPr>
              <w:t>Suy giảm diện rộng: VCSH của MB giảm khoảng 10,3% (sau thuế); CAR hai ngân hàng còn 9,65%–9,78%, vẫn trên mức tối thiểu 8%.</w:t>
            </w:r>
          </w:p>
        </w:tc>
      </w:tr>
      <w:tr w:rsidR="00F67131" w14:paraId="7D26CF63" w14:textId="77777777">
        <w:trPr>
          <w:jc w:val="center"/>
          <w:cantSplit/>
        </w:trPr>
        <w:tc>
          <w:tcPr>
            <w:tcW w:w="2016" w:type="dxa"/>
            <w:shd w:val="clear" w:color="auto" w:fill="F2F5F9"/>
            <w:tcMar>
              <w:top w:w="100" w:type="dxa"/>
              <w:left w:w="130" w:type="dxa"/>
              <w:bottom w:w="100" w:type="dxa"/>
              <w:right w:w="130" w:type="dxa"/>
            </w:tcMar>
          </w:tcPr>
          <w:p w14:paraId="4767D2EE" w14:textId="77777777" w:rsidR="00F67131" w:rsidRDefault="00000000">
            <w:pPr>
              <w:spacing w:before="40" w:after="40" w:line="252" w:lineRule="auto"/>
            </w:pPr>
            <w:r>
              <w:rPr>
                <w:rFonts w:ascii="Times New Roman" w:hAnsi="Times New Roman"/>
                <w:b/>
                <w:color w:val="000000"/>
                <w:sz w:val="18"/>
              </w:rPr>
              <w:t>Kịch bản 5: LGD giảm (−10%)</w:t>
            </w:r>
          </w:p>
        </w:tc>
        <w:tc>
          <w:tcPr>
            <w:tcW w:w="2016" w:type="dxa"/>
            <w:shd w:val="clear" w:color="auto" w:fill="F2F5F9"/>
            <w:tcMar>
              <w:top w:w="100" w:type="dxa"/>
              <w:left w:w="130" w:type="dxa"/>
              <w:bottom w:w="100" w:type="dxa"/>
              <w:right w:w="130" w:type="dxa"/>
            </w:tcMar>
          </w:tcPr>
          <w:p w14:paraId="7513CDB3" w14:textId="77777777" w:rsidR="00F67131" w:rsidRDefault="00000000">
            <w:pPr>
              <w:spacing w:before="40" w:after="40" w:line="252" w:lineRule="auto"/>
            </w:pPr>
            <w:r>
              <w:rPr>
                <w:rFonts w:ascii="Times New Roman" w:hAnsi="Times New Roman"/>
                <w:color w:val="000000"/>
                <w:sz w:val="18"/>
              </w:rPr>
              <w:t>SICR chuẩn cơ sở</w:t>
            </w:r>
            <w:r>
              <w:br/>
            </w:r>
            <w:r>
              <w:rPr>
                <w:rFonts w:ascii="Times New Roman" w:hAnsi="Times New Roman"/>
                <w:color w:val="000000"/>
                <w:sz w:val="18"/>
              </w:rPr>
              <w:t>LGD giảm 10 điểm % ở mọi Stage</w:t>
            </w:r>
          </w:p>
        </w:tc>
        <w:tc>
          <w:tcPr>
            <w:tcW w:w="2016" w:type="dxa"/>
            <w:shd w:val="clear" w:color="auto" w:fill="F2F5F9"/>
            <w:tcMar>
              <w:top w:w="100" w:type="dxa"/>
              <w:left w:w="130" w:type="dxa"/>
              <w:bottom w:w="100" w:type="dxa"/>
              <w:right w:w="130" w:type="dxa"/>
            </w:tcMar>
          </w:tcPr>
          <w:p w14:paraId="13C732AF" w14:textId="77777777" w:rsidR="00F67131" w:rsidRDefault="00000000">
            <w:pPr>
              <w:spacing w:before="40" w:after="40" w:line="252" w:lineRule="auto"/>
              <w:jc w:val="right"/>
            </w:pPr>
            <w:r>
              <w:rPr>
                <w:rFonts w:ascii="Times New Roman" w:hAnsi="Times New Roman"/>
                <w:color w:val="000000"/>
                <w:sz w:val="18"/>
              </w:rPr>
              <w:t>Thặng dư −3.691 tỷ (−9,9%)</w:t>
            </w:r>
            <w:r>
              <w:br/>
            </w:r>
            <w:r>
              <w:rPr>
                <w:rFonts w:ascii="Times New Roman" w:hAnsi="Times New Roman"/>
                <w:color w:val="000000"/>
                <w:sz w:val="18"/>
              </w:rPr>
              <w:t>CAR: 10,22% (0 bps)</w:t>
            </w:r>
          </w:p>
        </w:tc>
        <w:tc>
          <w:tcPr>
            <w:tcW w:w="2016" w:type="dxa"/>
            <w:shd w:val="clear" w:color="auto" w:fill="F2F5F9"/>
            <w:tcMar>
              <w:top w:w="100" w:type="dxa"/>
              <w:left w:w="130" w:type="dxa"/>
              <w:bottom w:w="100" w:type="dxa"/>
              <w:right w:w="130" w:type="dxa"/>
            </w:tcMar>
          </w:tcPr>
          <w:p w14:paraId="5BF0115B" w14:textId="77777777" w:rsidR="00F67131" w:rsidRDefault="00000000">
            <w:pPr>
              <w:spacing w:before="40" w:after="40" w:line="252" w:lineRule="auto"/>
              <w:jc w:val="right"/>
            </w:pPr>
            <w:r>
              <w:rPr>
                <w:rFonts w:ascii="Times New Roman" w:hAnsi="Times New Roman"/>
                <w:color w:val="000000"/>
                <w:sz w:val="18"/>
              </w:rPr>
              <w:t>Thiếu +8.846 tỷ (+67,3%)</w:t>
            </w:r>
            <w:r>
              <w:br/>
            </w:r>
            <w:r>
              <w:rPr>
                <w:rFonts w:ascii="Times New Roman" w:hAnsi="Times New Roman"/>
                <w:color w:val="000000"/>
                <w:sz w:val="18"/>
              </w:rPr>
              <w:t>CAR: 10,35% (−65 bps)</w:t>
            </w:r>
          </w:p>
        </w:tc>
        <w:tc>
          <w:tcPr>
            <w:tcW w:w="2448" w:type="dxa"/>
            <w:shd w:val="clear" w:color="auto" w:fill="F2F5F9"/>
            <w:tcMar>
              <w:top w:w="100" w:type="dxa"/>
              <w:left w:w="130" w:type="dxa"/>
              <w:bottom w:w="100" w:type="dxa"/>
              <w:right w:w="130" w:type="dxa"/>
            </w:tcMar>
          </w:tcPr>
          <w:p w14:paraId="23D6A93A" w14:textId="77777777" w:rsidR="00F67131" w:rsidRDefault="00000000">
            <w:pPr>
              <w:spacing w:before="40" w:after="40" w:line="252" w:lineRule="auto"/>
            </w:pPr>
            <w:r>
              <w:rPr>
                <w:rFonts w:ascii="Times New Roman" w:hAnsi="Times New Roman"/>
                <w:color w:val="000000"/>
                <w:sz w:val="18"/>
              </w:rPr>
              <w:t>Thanh khoản BĐS thuận lợi: Agribank thừa 3.691 tỷ dự phòng; MB vẫn thiếu hơn 8.800 tỷ.</w:t>
            </w:r>
          </w:p>
        </w:tc>
      </w:tr>
      <w:tr w:rsidR="00F67131" w14:paraId="0AF9D6C0" w14:textId="77777777">
        <w:trPr>
          <w:jc w:val="center"/>
          <w:cantSplit/>
        </w:trPr>
        <w:tc>
          <w:tcPr>
            <w:tcW w:w="2016" w:type="dxa"/>
            <w:shd w:val="clear" w:color="auto" w:fill="FFFFFF"/>
            <w:tcMar>
              <w:top w:w="100" w:type="dxa"/>
              <w:left w:w="130" w:type="dxa"/>
              <w:bottom w:w="100" w:type="dxa"/>
              <w:right w:w="130" w:type="dxa"/>
            </w:tcMar>
          </w:tcPr>
          <w:p w14:paraId="54EF0771" w14:textId="77777777" w:rsidR="00F67131" w:rsidRDefault="00000000">
            <w:pPr>
              <w:spacing w:before="40" w:after="40" w:line="252" w:lineRule="auto"/>
            </w:pPr>
            <w:r>
              <w:rPr>
                <w:rFonts w:ascii="Times New Roman" w:hAnsi="Times New Roman"/>
                <w:b/>
                <w:color w:val="000000"/>
                <w:sz w:val="18"/>
              </w:rPr>
              <w:t>Kịch bản 6: LGD tăng (+10%)</w:t>
            </w:r>
          </w:p>
        </w:tc>
        <w:tc>
          <w:tcPr>
            <w:tcW w:w="2016" w:type="dxa"/>
            <w:shd w:val="clear" w:color="auto" w:fill="FFFFFF"/>
            <w:tcMar>
              <w:top w:w="100" w:type="dxa"/>
              <w:left w:w="130" w:type="dxa"/>
              <w:bottom w:w="100" w:type="dxa"/>
              <w:right w:w="130" w:type="dxa"/>
            </w:tcMar>
          </w:tcPr>
          <w:p w14:paraId="70FD6B44" w14:textId="77777777" w:rsidR="00F67131" w:rsidRDefault="00000000">
            <w:pPr>
              <w:spacing w:before="40" w:after="40" w:line="252" w:lineRule="auto"/>
            </w:pPr>
            <w:r>
              <w:rPr>
                <w:rFonts w:ascii="Times New Roman" w:hAnsi="Times New Roman"/>
                <w:color w:val="000000"/>
                <w:sz w:val="18"/>
              </w:rPr>
              <w:t>SICR chuẩn cơ sở</w:t>
            </w:r>
            <w:r>
              <w:br/>
            </w:r>
            <w:r>
              <w:rPr>
                <w:rFonts w:ascii="Times New Roman" w:hAnsi="Times New Roman"/>
                <w:color w:val="000000"/>
                <w:sz w:val="18"/>
              </w:rPr>
              <w:t>LGD tăng 10 điểm % ở mọi Stage</w:t>
            </w:r>
          </w:p>
        </w:tc>
        <w:tc>
          <w:tcPr>
            <w:tcW w:w="2016" w:type="dxa"/>
            <w:shd w:val="clear" w:color="auto" w:fill="FFFFFF"/>
            <w:tcMar>
              <w:top w:w="100" w:type="dxa"/>
              <w:left w:w="130" w:type="dxa"/>
              <w:bottom w:w="100" w:type="dxa"/>
              <w:right w:w="130" w:type="dxa"/>
            </w:tcMar>
          </w:tcPr>
          <w:p w14:paraId="4508FB26" w14:textId="77777777" w:rsidR="00F67131" w:rsidRDefault="00000000">
            <w:pPr>
              <w:spacing w:before="40" w:after="40" w:line="252" w:lineRule="auto"/>
              <w:jc w:val="right"/>
            </w:pPr>
            <w:r>
              <w:rPr>
                <w:rFonts w:ascii="Times New Roman" w:hAnsi="Times New Roman"/>
                <w:color w:val="000000"/>
                <w:sz w:val="18"/>
              </w:rPr>
              <w:t>Thiếu +11.011 tỷ (+29,4%)</w:t>
            </w:r>
            <w:r>
              <w:br/>
            </w:r>
            <w:r>
              <w:rPr>
                <w:rFonts w:ascii="Times New Roman" w:hAnsi="Times New Roman"/>
                <w:color w:val="000000"/>
                <w:sz w:val="18"/>
              </w:rPr>
              <w:t>CAR: 9,77% (−45 bps)</w:t>
            </w:r>
          </w:p>
        </w:tc>
        <w:tc>
          <w:tcPr>
            <w:tcW w:w="2016" w:type="dxa"/>
            <w:shd w:val="clear" w:color="auto" w:fill="FFFFFF"/>
            <w:tcMar>
              <w:top w:w="100" w:type="dxa"/>
              <w:left w:w="130" w:type="dxa"/>
              <w:bottom w:w="100" w:type="dxa"/>
              <w:right w:w="130" w:type="dxa"/>
            </w:tcMar>
          </w:tcPr>
          <w:p w14:paraId="0497CCEE" w14:textId="77777777" w:rsidR="00F67131" w:rsidRDefault="00000000">
            <w:pPr>
              <w:spacing w:before="40" w:after="40" w:line="252" w:lineRule="auto"/>
              <w:jc w:val="right"/>
            </w:pPr>
            <w:r>
              <w:rPr>
                <w:rFonts w:ascii="Times New Roman" w:hAnsi="Times New Roman"/>
                <w:color w:val="000000"/>
                <w:sz w:val="18"/>
              </w:rPr>
              <w:t>Thiếu +19.166 tỷ (+145,7%)</w:t>
            </w:r>
            <w:r>
              <w:br/>
            </w:r>
            <w:r>
              <w:rPr>
                <w:rFonts w:ascii="Times New Roman" w:hAnsi="Times New Roman"/>
                <w:color w:val="000000"/>
                <w:sz w:val="18"/>
              </w:rPr>
              <w:t>CAR: 9,59% (−141 bps)</w:t>
            </w:r>
          </w:p>
        </w:tc>
        <w:tc>
          <w:tcPr>
            <w:tcW w:w="2448" w:type="dxa"/>
            <w:shd w:val="clear" w:color="auto" w:fill="FFFFFF"/>
            <w:tcMar>
              <w:top w:w="100" w:type="dxa"/>
              <w:left w:w="130" w:type="dxa"/>
              <w:bottom w:w="100" w:type="dxa"/>
              <w:right w:w="130" w:type="dxa"/>
            </w:tcMar>
          </w:tcPr>
          <w:p w14:paraId="4E9D7E0F" w14:textId="77777777" w:rsidR="00F67131" w:rsidRDefault="00000000">
            <w:pPr>
              <w:spacing w:before="40" w:after="40" w:line="252" w:lineRule="auto"/>
            </w:pPr>
            <w:r>
              <w:rPr>
                <w:rFonts w:ascii="Times New Roman" w:hAnsi="Times New Roman"/>
                <w:color w:val="000000"/>
                <w:sz w:val="18"/>
              </w:rPr>
              <w:t>Thị trường BĐS đóng băng: MB thiếu gần gấp 1,5 lần dự phòng hiện có; Agribank vẫn duy trì CAR 9,77%.</w:t>
            </w:r>
          </w:p>
        </w:tc>
      </w:tr>
    </w:tbl>
    <w:p w14:paraId="2DB03A4D" w14:textId="77777777" w:rsidR="00F67131" w:rsidRDefault="00000000">
      <w:pPr>
        <w:spacing w:before="60" w:after="120" w:line="300" w:lineRule="auto"/>
        <w:jc w:val="both"/>
      </w:pPr>
      <w:r>
        <w:rPr>
          <w:rFonts w:ascii="Times New Roman" w:hAnsi="Times New Roman"/>
          <w:i/>
          <w:sz w:val="19"/>
        </w:rPr>
        <w:t>Nguồn: Tính toán của nhóm nghiên cứu tại Bảng 4 sheet IFRS9_Simulation trên BCTC hợp nhất kiểm toán 2025 của Agribank và MB.</w:t>
      </w:r>
    </w:p>
    <w:p w14:paraId="5CB95870" w14:textId="77777777" w:rsidR="00F67131" w:rsidRDefault="00000000">
      <w:pPr>
        <w:spacing w:before="120" w:line="300" w:lineRule="auto"/>
        <w:jc w:val="both"/>
      </w:pPr>
      <w:r>
        <w:rPr>
          <w:rFonts w:ascii="Times New Roman" w:hAnsi="Times New Roman"/>
          <w:color w:val="000000"/>
        </w:rPr>
        <w:lastRenderedPageBreak/>
        <w:t>Ý nghĩa từ phân tích độ nhạy: Trong cả 6 kịch bản độ nhạy, khoảng cách thiếu hụt dự phòng IFRS 9 của MB luôn lớn hơn đáng kể so với Agribank (dao động từ +8.846 tỷ đến +19.166 tỷ đồng so với mức từ -3.691 tỷ đến +11.011 tỷ đồng của Agribank). Như vậy, kết luận về áp lực trích lập bổ sung tại Stage 2 và Stage 3 của MB ổn định trong phạm vi tham số được kiểm định (SICR 3%–9%, LGD ±10 điểm %); tuy nhiên kết quả vẫn phụ thuộc vào các giả định PD/LGD do nhóm đặt và cần được kiểm chứng thêm khi có dữ liệu PD/LGD nội bộ của ngân hàng.</w:t>
      </w:r>
      <w:r>
        <w:rPr>
          <w:rFonts w:ascii="Times New Roman" w:hAnsi="Times New Roman"/>
          <w:color w:val="000000"/>
        </w:rPr>
        <w:br/>
        <w:t>(Đồ thị so sánh tổng thể khoảng cách dự phòng và phân rã tổn thất tín dụng kỳ vọng ECL theo 3 Stage được trực quan hóa tại Hình 6 dưới đây).</w:t>
      </w:r>
    </w:p>
    <w:p w14:paraId="4D82B0EE" w14:textId="77777777" w:rsidR="00010F8E" w:rsidRDefault="00000000">
      <w:pPr>
        <w:keepNext/>
        <w:spacing w:before="240" w:after="80"/>
        <w:jc w:val="center"/>
      </w:pPr>
      <w:r>
        <w:rPr>
          <w:rFonts w:ascii="Times New Roman" w:hAnsi="Times New Roman"/>
          <w:b/>
          <w:color w:val="002060"/>
          <w:sz w:val="21"/>
        </w:rPr>
        <w:t>Hình 6. Mô phỏng tác động chuyển đổi Chuẩn mực IFRS 9 năm 2025: Khoảng cách dự phòng và phân bổ theo 3 Stage</w:t>
      </w:r>
    </w:p>
    <w:p w14:paraId="29CA780C" w14:textId="77777777" w:rsidR="00010F8E" w:rsidRDefault="00000000">
      <w:pPr>
        <w:spacing w:before="80" w:after="80"/>
        <w:jc w:val="center"/>
      </w:pPr>
      <w:r>
        <w:rPr>
          <w:noProof/>
        </w:rPr>
        <w:drawing>
          <wp:inline distT="0" distB="0" distL="0" distR="0" wp14:anchorId="5F24736C" wp14:editId="146CEC2D">
            <wp:extent cx="5669280" cy="2551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IFRS9_ECL_Gap.png"/>
                    <pic:cNvPicPr/>
                  </pic:nvPicPr>
                  <pic:blipFill>
                    <a:blip r:embed="rId11"/>
                    <a:stretch>
                      <a:fillRect/>
                    </a:stretch>
                  </pic:blipFill>
                  <pic:spPr>
                    <a:xfrm>
                      <a:off x="0" y="0"/>
                      <a:ext cx="5669280" cy="2551176"/>
                    </a:xfrm>
                    <a:prstGeom prst="rect">
                      <a:avLst/>
                    </a:prstGeom>
                  </pic:spPr>
                </pic:pic>
              </a:graphicData>
            </a:graphic>
          </wp:inline>
        </w:drawing>
      </w:r>
    </w:p>
    <w:p w14:paraId="576C392D" w14:textId="77777777" w:rsidR="00010F8E" w:rsidRDefault="00000000">
      <w:pPr>
        <w:spacing w:before="60"/>
        <w:jc w:val="center"/>
      </w:pPr>
      <w:r>
        <w:rPr>
          <w:rFonts w:ascii="Times New Roman" w:hAnsi="Times New Roman"/>
          <w:i/>
          <w:color w:val="505050"/>
          <w:sz w:val="19"/>
        </w:rPr>
        <w:t>Nguồn: Kết quả mô hình hóa định lượng của nhóm tác giả tại sheet IFRS9_Simulation trên BCTC kiểm toán 2025.</w:t>
      </w:r>
    </w:p>
    <w:p w14:paraId="6DDA64DD" w14:textId="77777777" w:rsidR="00F67131" w:rsidRDefault="00000000">
      <w:pPr>
        <w:pStyle w:val="Heading1"/>
        <w:keepNext/>
        <w:pageBreakBefore/>
        <w:spacing w:before="280" w:after="120" w:line="300" w:lineRule="auto"/>
      </w:pPr>
      <w:bookmarkStart w:id="19" w:name="_Toc244090119"/>
      <w:r>
        <w:rPr>
          <w:rFonts w:ascii="Times New Roman" w:hAnsi="Times New Roman"/>
          <w:b/>
          <w:i w:val="0"/>
          <w:color w:val="002060"/>
          <w:sz w:val="27"/>
        </w:rPr>
        <w:t>CHƯƠNG 5. PHÂN TÍCH TÌNH HUỐNG THỰC TIỄN GIAI ĐOẠN 2020–2025 (DIỄN BIẾN – NGUYÊN NHÂN – HẬU QUẢ – BIỆN PHÁP KHẮC PHỤC)</w:t>
      </w:r>
      <w:bookmarkEnd w:id="19"/>
    </w:p>
    <w:p w14:paraId="6E5C533D" w14:textId="77777777" w:rsidR="00F67131" w:rsidRDefault="00000000">
      <w:pPr>
        <w:pStyle w:val="Heading2"/>
        <w:spacing w:after="80" w:line="300" w:lineRule="auto"/>
      </w:pPr>
      <w:bookmarkStart w:id="20" w:name="_Toc244090120"/>
      <w:r>
        <w:rPr>
          <w:rFonts w:ascii="Times New Roman" w:hAnsi="Times New Roman"/>
          <w:color w:val="0F4C81"/>
          <w:sz w:val="24"/>
        </w:rPr>
        <w:t>5.1. Agribank – Cú sốc thiên tai Yagi 2024, điểm nghẽn thanh khoản TSBĐ nợ nhóm 5 và bài học từ vụ Lifepro</w:t>
      </w:r>
      <w:bookmarkEnd w:id="20"/>
    </w:p>
    <w:p w14:paraId="66F24D29" w14:textId="77777777" w:rsidR="00F67131" w:rsidRDefault="00000000">
      <w:pPr>
        <w:spacing w:after="80" w:line="300" w:lineRule="auto"/>
        <w:jc w:val="both"/>
      </w:pPr>
      <w:r>
        <w:rPr>
          <w:rFonts w:ascii="Times New Roman" w:hAnsi="Times New Roman"/>
        </w:rPr>
        <w:t xml:space="preserve">1. Diễn biến và Dữ liệu thực chứng (2020–2025): Trong giai đoạn 2020–2025, thực tiễn rủi ro tín dụng tại Agribank nổi lên hai vấn đề đặc thù gắn liền với định vị ngân hàng phục vụ 'Tam nông' và thể chế NHTM Nhà nước: (i) Cú sốc rủi ro tín dụng nông nghiệp diện rộng do thiên tai bão số 3 (Yagi) tháng 9/2024 tàn phá nặng nề 26 tỉnh, thành phố phía Bắc, làm đứt gãy hoàn toàn dòng tiền của hàng chục nghìn hộ nuôi trồng thủy sản, trồng trọt và doanh nghiệp nông nghiệp vay vốn tại Agribank; và (ii) Tình trạng tồn đọng nợ nhóm 5 (nợ có khả năng mất vốn) ở mức rất cao xuyên suốt 6 năm: theo Thuyết minh 9 BCTC hợp nhất kiểm toán 2020–2025, nợ nhóm 5 của Agribank luôn chiếm từ 67,0% đến 79,0% tổng nợ xấu nội bảng (năm 2020: 16.357 / 21.527 tỷ đồng = 76,0%; năm 2023: 19.248 / </w:t>
      </w:r>
      <w:r>
        <w:rPr>
          <w:rFonts w:ascii="Times New Roman" w:hAnsi="Times New Roman"/>
        </w:rPr>
        <w:lastRenderedPageBreak/>
        <w:t>28.721 tỷ đồng = 67,0%; năm 2025: 20.220 / 25.610 tỷ đồng = 79,0%), bên cạnh 278.372 tỷ đồng nợ đã xử lý rủi ro đang theo dõi ngoại bảng (Thuyết minh 37 BCTC hợp nhất 2025, trang 58) và các tồn đọng lịch sử tại Công ty Cho thuê Tài chính II (ALC II – mất khả năng thanh toán từ 2018, được Kiểm toán Nhà nước và kiểm toán độc lập nhấn mạnh tại Thuyết minh 39 BCTC hợp nhất 2025, trang 69) hay vụ án Lifepro tại Chi nhánh Nam Hà Nội (vụ việc phát sinh trước giai đoạn nghiên cứu, xét xử năm 2015–2016; thiệt hại gần 2.500 tỷ đồng do giải ngân vượt thẩm quyền và nhận TSBĐ khống).</w:t>
      </w:r>
    </w:p>
    <w:p w14:paraId="7886FD6D" w14:textId="77777777" w:rsidR="00F67131" w:rsidRDefault="00000000">
      <w:pPr>
        <w:spacing w:after="80" w:line="300" w:lineRule="auto"/>
        <w:jc w:val="both"/>
      </w:pPr>
      <w:r>
        <w:rPr>
          <w:rFonts w:ascii="Times New Roman" w:hAnsi="Times New Roman"/>
          <w:b/>
        </w:rPr>
        <w:t>2. Nguyên nhân, Hậu quả và Biện pháp khắc phục Agribank đã triển khai:</w:t>
      </w:r>
      <w:r>
        <w:rPr>
          <w:rFonts w:ascii="Times New Roman" w:hAnsi="Times New Roman"/>
          <w:b/>
        </w:rPr>
        <w:br/>
      </w:r>
      <w:r>
        <w:rPr>
          <w:rFonts w:ascii="Times New Roman" w:hAnsi="Times New Roman"/>
        </w:rPr>
        <w:t xml:space="preserve">  • Nguyên nhân (Khách quan &amp; Chủ quan theo khung COSO 2013): Về khách quan, danh mục tín dụng của Agribank có tới 61,7%–70,0% dư nợ tập trung vào nông nghiệp – nông thôn (Thuyết minh 9 BCTC hợp nhất 2025 ghi nhận dư nợ ngành Nông, lâm, thủy sản đạt 506.223 tỷ đồng và cho vay cá nhân, hộ gia đình đạt 1.477.696 tỷ đồng), chịu rủi ro thiên tai, dịch bệnh và biến động giá nông sản mang tính hệ thống. Hơn nữa, 88,3%–91,7% tài sản bảo đảm của Agribank là bất động sản (năm 2025: 3.371.568 / 3.739.943 tỷ đồng), phần lớn là đất nông nghiệp, đất ở nông thôn có tính thanh khoản thứ cấp rất thấp; khi Nghị quyết 42/2017/QH14 hết hiệu lực vào ngày 31/12/2023, ngân hàng mất quyền thu giữ TSBĐ và phải chờ thủ tục khởi kiện – thi hành án kéo dài nhiều năm. Về chủ quan (theo 5 thành tố COSO 2013 trong các vụ việc như Lifepro và ALC II), cơ chế phân cấp hạn mức tín dụng rộng cho hơn 2.200 chi nhánh/PGD trong khi hệ thống công nghệ giám sát tập trung chưa đồng bộ đã từng tạo kẽ hở cho sự lạm quyền của người đứng đầu chi nhánh (Môi trường kiểm soát), thẩm định dựa dẫm vào tài sản thế chấp thay vì dòng tiền (Đánh giá rủi ro), vô hiệu hóa nguyên tắc phê duyệt kép (Hoạt động kiểm soát), độ trễ báo cáo rủi ro (Thông tin &amp; Truyền thông) và kiểm toán nội bộ </w:t>
      </w:r>
      <w:proofErr w:type="spellStart"/>
      <w:r>
        <w:rPr>
          <w:rFonts w:ascii="Times New Roman" w:hAnsi="Times New Roman"/>
        </w:rPr>
        <w:t>hậu</w:t>
      </w:r>
      <w:proofErr w:type="spellEnd"/>
      <w:r>
        <w:rPr>
          <w:rFonts w:ascii="Times New Roman" w:hAnsi="Times New Roman"/>
        </w:rPr>
        <w:t xml:space="preserve"> </w:t>
      </w:r>
      <w:proofErr w:type="spellStart"/>
      <w:r>
        <w:rPr>
          <w:rFonts w:ascii="Times New Roman" w:hAnsi="Times New Roman"/>
        </w:rPr>
        <w:t>kiểm</w:t>
      </w:r>
      <w:proofErr w:type="spellEnd"/>
      <w:r>
        <w:rPr>
          <w:rFonts w:ascii="Times New Roman" w:hAnsi="Times New Roman"/>
        </w:rPr>
        <w:t xml:space="preserve"> </w:t>
      </w:r>
      <w:proofErr w:type="spellStart"/>
      <w:r>
        <w:rPr>
          <w:rFonts w:ascii="Times New Roman" w:hAnsi="Times New Roman"/>
        </w:rPr>
        <w:t>thụ</w:t>
      </w:r>
      <w:proofErr w:type="spellEnd"/>
      <w:r>
        <w:rPr>
          <w:rFonts w:ascii="Times New Roman" w:hAnsi="Times New Roman"/>
        </w:rPr>
        <w:t xml:space="preserve"> động (</w:t>
      </w:r>
      <w:proofErr w:type="spellStart"/>
      <w:r>
        <w:rPr>
          <w:rFonts w:ascii="Times New Roman" w:hAnsi="Times New Roman"/>
        </w:rPr>
        <w:t>Giám</w:t>
      </w:r>
      <w:proofErr w:type="spellEnd"/>
      <w:r>
        <w:rPr>
          <w:rFonts w:ascii="Times New Roman" w:hAnsi="Times New Roman"/>
        </w:rPr>
        <w:t xml:space="preserve"> </w:t>
      </w:r>
      <w:proofErr w:type="spellStart"/>
      <w:r>
        <w:rPr>
          <w:rFonts w:ascii="Times New Roman" w:hAnsi="Times New Roman"/>
        </w:rPr>
        <w:t>sát</w:t>
      </w:r>
      <w:proofErr w:type="spellEnd"/>
      <w:r>
        <w:rPr>
          <w:rFonts w:ascii="Times New Roman" w:hAnsi="Times New Roman"/>
        </w:rPr>
        <w:t>).</w:t>
      </w:r>
      <w:r w:rsidR="000770B1">
        <w:rPr>
          <w:rFonts w:ascii="Times New Roman" w:hAnsi="Times New Roman"/>
        </w:rPr>
        <w:tab/>
      </w:r>
      <w:r>
        <w:rPr>
          <w:rFonts w:ascii="Times New Roman" w:hAnsi="Times New Roman"/>
        </w:rPr>
        <w:br/>
        <w:t xml:space="preserve">  • Hậu quả định lượng: Làm đóng băng vốn trong các khoản nợ nhóm 5 kéo dài (20.220 tỷ đồng cuối năm 2025), buộc Agribank phải chi tới 145.765 tỷ đồng chi phí dự phòng rủi ro tín dụng lũy kế 6 năm (2020–2025) – chiếm từ 42,8% đến 59,1% lợi nhuận thuần trước dự phòng (PPOP) hằng năm – và sử dụng tổng cộng 127.831 tỷ đồng quỹ dự phòng để xóa nợ nội bảng, làm suy giảm khả năng tự tích lũy vốn tự có và khiến RORAC proxy chỉ đạt 10,8%–16,7%.</w:t>
      </w:r>
      <w:r w:rsidR="000770B1">
        <w:rPr>
          <w:rFonts w:ascii="Times New Roman" w:hAnsi="Times New Roman"/>
        </w:rPr>
        <w:tab/>
      </w:r>
      <w:r>
        <w:rPr>
          <w:rFonts w:ascii="Times New Roman" w:hAnsi="Times New Roman"/>
        </w:rPr>
        <w:br/>
        <w:t xml:space="preserve">  • Biện pháp khắc phục Agribank đã triển khai: (1) Đối với cú sốc bão Yagi và Covid-19: Kịp thời cơ cấu lại thời hạn trả nợ, giữ nguyên nhóm nợ theo Thông tư 02/2023/TT-NHNN (37.876 tỷ đồng năm 2023, trích đủ 100% dự phòng bổ sung cuối năm 2024) và Thông tư 53/2024/TT-NHNN kết hợp Quyết định 1510/QĐ-TTg (giữ nguyên nhóm nợ; trích dự phòng cụ thể bổ sung tối thiểu 35% đến 31/12/2024 và 70% đến 31/12/2025), kết hợp giảm lãi suất cho vay hỗ trợ phục hồi sản xuất nông nghiệp; (2) Về xử lý và thu hồi nợ xấu: Đẩy mạnh trích lập dự phòng (năm 2025 trích 31.808 tỷ đồng, đưa LLCR hợp nhất lên 146,3%) và sử dụng 32.621 tỷ đồng dự phòng để xử lý rủi ro; đồng thời thành lập Ban chỉ đạo xử lý nợ xấu từ Hội sở xuống từng chi nhánh, phối hợp cơ quan thi hành án (từ 15/10/2025 có thêm cơ sở pháp lý tại Điều 198a Luật số 96/2025/QH15); thu hồi nợ đã xử lý rủi ro đạt 12.123 tỷ đồng trên BCTC năm 2025 (16.305 tỷ đồng tính cả thu từ xử lý tài sản theo BCTN 2025); (3) Về tái cấu trúc quản trị nội bộ: Siết chặt hạn mức phán quyết tín dụng của Giám đốc chi nhánh, chuẩn hóa định giá TSBĐ độc lập và bổ sung 17.100 tỷ đồng vốn điều lệ từ ngân sách Nhà nước (nâng vốn điều lệ lên 51.639 tỷ đồng cuối năm 2025).</w:t>
      </w:r>
    </w:p>
    <w:p w14:paraId="6DB52F23" w14:textId="77777777" w:rsidR="00F67131" w:rsidRDefault="00000000">
      <w:pPr>
        <w:pStyle w:val="Heading2"/>
        <w:spacing w:after="80" w:line="300" w:lineRule="auto"/>
      </w:pPr>
      <w:bookmarkStart w:id="21" w:name="_Toc244090121"/>
      <w:r>
        <w:rPr>
          <w:rFonts w:ascii="Times New Roman" w:hAnsi="Times New Roman"/>
          <w:color w:val="0F4C81"/>
          <w:sz w:val="24"/>
        </w:rPr>
        <w:lastRenderedPageBreak/>
        <w:t>5.2. MB – Rủi ro tín dụng tiêu dùng tại MCredit và rủi ro đạo đức cấp chi nhánh (Vụ Gia Lai 2022–2023)</w:t>
      </w:r>
      <w:bookmarkEnd w:id="21"/>
    </w:p>
    <w:p w14:paraId="5ADE4B52" w14:textId="77777777" w:rsidR="00F67131" w:rsidRDefault="00000000">
      <w:pPr>
        <w:spacing w:after="80" w:line="300" w:lineRule="auto"/>
        <w:jc w:val="both"/>
      </w:pPr>
      <w:r>
        <w:rPr>
          <w:rFonts w:ascii="Times New Roman" w:hAnsi="Times New Roman"/>
          <w:b/>
        </w:rPr>
        <w:t xml:space="preserve">1. Diễn biến và Dữ liệu thực chứng (2020–2025): </w:t>
      </w:r>
      <w:r>
        <w:rPr>
          <w:rFonts w:ascii="Times New Roman" w:hAnsi="Times New Roman"/>
        </w:rPr>
        <w:t>Tại MB, chiến lược mở rộng sang phân khúc bán lẻ và tài chính tiêu dùng biên lợi nhuận cao trong giai đoạn 2020–2025 đã bộc lộ hai mặt rủi ro thực tiễn: (i) Ở cấp độ danh mục tập đoàn, khi bóc tách chênh lệch giữa BCTC Hợp nhất và BCTC Riêng lẻ ngân hàng mẹ (Thuyết minh 10.1 và 10.4), dư nợ cho vay tiêu dùng của khối công ty con (chủ yếu là Công ty Tài chính TNHH MB Shinsei – MCredit, cùng MBCambodia từ 2023) đã tăng gấp 2,9 lần từ 10.173 tỷ đồng (2020) lên 29.622 tỷ đồng (2025). Tuy nhiên, nợ xấu nhóm 3–5 của khối công ty con tăng vọt từ 649 tỷ đồng (2020) lên 1.406 tỷ (2022), 1.683 tỷ (2023), 2.092 tỷ (2024) và 2.509 tỷ đồng (2025) – tương ứng tỷ lệ NPL công ty con lên tới 6,2%–8,5% (cao gấp khoảng 5,6–9,1 lần NPL riêng lẻ của ngân hàng mẹ; năm 2025: 8,5% so với 1,12%), làm suy giảm lợi nhuận MCredit năm 2023–2024 trước khi phục hồi năm 2025; (ii) Ở cấp độ tác nghiệp chi nhánh, giai đoạn 2022–2023 phát sinh vụ việc cán bộ tín dụng tại MB Chi nhánh Gia Lai lợi dụng kẽ hở trong quy trình giải ngân bán lẻ và đảo nợ để lập khống hồ sơ vay vốn, giả mạo chữ ký khách hàng để chiếm đoạt tiền (theo thông tin báo chí, quy mô hàng chục tỷ đồng).</w:t>
      </w:r>
    </w:p>
    <w:p w14:paraId="1CFC8180" w14:textId="77777777" w:rsidR="00F67131" w:rsidRDefault="00000000">
      <w:pPr>
        <w:spacing w:after="80" w:line="300" w:lineRule="auto"/>
        <w:jc w:val="both"/>
      </w:pPr>
      <w:r>
        <w:rPr>
          <w:rFonts w:ascii="Times New Roman" w:hAnsi="Times New Roman"/>
          <w:b/>
        </w:rPr>
        <w:t>2. Nguyên nhân, Hậu quả và Biện pháp khắc phục MB đã triển khai:</w:t>
      </w:r>
      <w:r>
        <w:rPr>
          <w:rFonts w:ascii="Times New Roman" w:hAnsi="Times New Roman"/>
          <w:b/>
        </w:rPr>
        <w:br/>
      </w:r>
      <w:r>
        <w:rPr>
          <w:rFonts w:ascii="Times New Roman" w:hAnsi="Times New Roman"/>
        </w:rPr>
        <w:t xml:space="preserve">  • Nguyên nhân (Theo Mô hình Tam giác Gian lận của Cressey, 1953 và Khẩu vị rủi ro tín chấp): (1) Áp lực (Pressure): Chỉ tiêu KPI tăng trưởng dư nợ bán lẻ và biên lãi thuần (NIM) rất cao giao xuống từng RM và công ty con tạo áp lực giải ngân nhanh; tại MCredit, tệp khách hàng chủ đạo là người lao động thu nhập trung bình – thấp vay tín chấp (không có TSBĐ), nên khi kinh tế suy giảm và lạm phát tăng năm 2022–2024, khả năng trả nợ lập tức suy sụp; (2) Cơ hội (Opportunity): Tại các phòng giao dịch địa phương xa Hội sở (như vụ Gia Lai), quy trình xác thực thực địa, quản lý hồ sơ giải ngân và kiểm tra chéo sau cho vay từng bị buông lỏng; (3) Hợp lý hóa hành vi (Rationalization): Cán bộ tín dụng tự biện minh rằng việc hỗ trợ khách hàng đảo nợ tạm thời sẽ được khắc phục khi giải ngân khoản vay mới.</w:t>
      </w:r>
      <w:r w:rsidR="000770B1">
        <w:rPr>
          <w:rFonts w:ascii="Times New Roman" w:hAnsi="Times New Roman"/>
        </w:rPr>
        <w:tab/>
      </w:r>
      <w:r>
        <w:rPr>
          <w:rFonts w:ascii="Times New Roman" w:hAnsi="Times New Roman"/>
        </w:rPr>
        <w:br/>
        <w:t xml:space="preserve">  • Hậu quả định lượng: Riêng khối công ty con (chủ yếu MCredit) đã tạo ra 2.509 tỷ đồng nợ xấu nội bảng cuối năm 2025 (chiếm 17,9% tổng nợ xấu hợp nhất của MB dù chỉ chiếm 2,7% tổng dư nợ), kéo tỷ lệ NPL hợp nhất của MB cao hơn NPL riêng lẻ từ 0,17 đến 0,26 điểm % mỗi năm (năm 2025: 1,29% so với 1,12%), đồng thời buộc khối công ty con phải sử dụng tới 4.362 tỷ đồng dự phòng để xóa nợ riêng trong năm 2025 (12.185 tỷ hợp nhất trừ 7.824 </w:t>
      </w:r>
      <w:proofErr w:type="spellStart"/>
      <w:r>
        <w:rPr>
          <w:rFonts w:ascii="Times New Roman" w:hAnsi="Times New Roman"/>
        </w:rPr>
        <w:t>tỷ</w:t>
      </w:r>
      <w:proofErr w:type="spellEnd"/>
      <w:r>
        <w:rPr>
          <w:rFonts w:ascii="Times New Roman" w:hAnsi="Times New Roman"/>
        </w:rPr>
        <w:t xml:space="preserve"> riêng </w:t>
      </w:r>
      <w:proofErr w:type="spellStart"/>
      <w:r>
        <w:rPr>
          <w:rFonts w:ascii="Times New Roman" w:hAnsi="Times New Roman"/>
        </w:rPr>
        <w:t>lẻ</w:t>
      </w:r>
      <w:proofErr w:type="spellEnd"/>
      <w:r>
        <w:rPr>
          <w:rFonts w:ascii="Times New Roman" w:hAnsi="Times New Roman"/>
        </w:rPr>
        <w:t>).</w:t>
      </w:r>
      <w:r w:rsidR="000770B1">
        <w:rPr>
          <w:rFonts w:ascii="Times New Roman" w:hAnsi="Times New Roman"/>
        </w:rPr>
        <w:tab/>
      </w:r>
      <w:r>
        <w:rPr>
          <w:rFonts w:ascii="Times New Roman" w:hAnsi="Times New Roman"/>
        </w:rPr>
        <w:br/>
        <w:t xml:space="preserve">  • Biện pháp khắc phục MB đã triển khai: (1) Tái cấu trúc khẩu vị rủi ro và mô hình chấm điểm tại MCredit: Siết chặt tiêu chuẩn phê duyệt khoản vay tiền mặt (cash loan), tích hợp xác thực sinh trắc học eKYC kết nối cơ sở dữ liệu dân cư quốc gia (Đề án 06 – Bộ Công an) để triệt tiêu gian lận hồ sơ giả mạo; (2) Quyết liệt xử lý nợ xấu bằng dự phòng: Trong năm 2025, khối công ty con sử dụng 4.362 tỷ đồng dự phòng để xóa các khoản nợ tiêu dùng mất khả năng thu hồi, giúp MCredit làm sạch bảng cân đối và phục hồi lợi nhuận; (3) Kiện toàn 3 tuyến phòng vệ tại ngân hàng mẹ: Tách bạch hoàn toàn bộ phận quan hệ khách hàng (RM) tại chi nhánh với Trung tâm Thẩm định và Phê duyệt tín dụng tập trung (Hub/Hội sở), đồng thời áp dụng Kiểm toán nội bộ dựa trên dữ liệu lớn (Audit Analytics) để phát hiện sớm các giao dịch giải ngân bất thường.</w:t>
      </w:r>
    </w:p>
    <w:p w14:paraId="1E00D6E1" w14:textId="77777777" w:rsidR="00F67131" w:rsidRDefault="00000000">
      <w:pPr>
        <w:pStyle w:val="Heading2"/>
        <w:spacing w:after="80" w:line="300" w:lineRule="auto"/>
      </w:pPr>
      <w:bookmarkStart w:id="22" w:name="_Toc244090122"/>
      <w:r>
        <w:rPr>
          <w:rFonts w:ascii="Times New Roman" w:hAnsi="Times New Roman"/>
          <w:color w:val="0F4C81"/>
          <w:sz w:val="24"/>
        </w:rPr>
        <w:lastRenderedPageBreak/>
        <w:t>5.3. MB – Cú sốc chất lượng tài sản năm 2023: Khủng hoảng thanh khoản TPDN, BĐS và hiệu ứng CIC</w:t>
      </w:r>
      <w:bookmarkEnd w:id="22"/>
    </w:p>
    <w:p w14:paraId="2140453D" w14:textId="77777777" w:rsidR="00F67131" w:rsidRDefault="00000000">
      <w:pPr>
        <w:spacing w:after="80" w:line="300" w:lineRule="auto"/>
        <w:jc w:val="both"/>
      </w:pPr>
      <w:r>
        <w:rPr>
          <w:rFonts w:ascii="Times New Roman" w:hAnsi="Times New Roman"/>
          <w:b/>
        </w:rPr>
        <w:t>Phân tích toàn diện (Diễn biến – Nguyên nhân – Hậu quả – Biện pháp khắc phục):</w:t>
      </w:r>
      <w:r>
        <w:rPr>
          <w:rFonts w:ascii="Times New Roman" w:hAnsi="Times New Roman"/>
          <w:b/>
        </w:rPr>
        <w:br/>
      </w:r>
      <w:r>
        <w:rPr>
          <w:rFonts w:ascii="Times New Roman" w:hAnsi="Times New Roman"/>
        </w:rPr>
        <w:t xml:space="preserve">  • 1. Diễn biến và Số liệu kiểm toán: Năm 2023 đánh dấu cú sốc chất lượng tài sản lớn nhất của MB trong giai đoạn 2020–2025: theo Thuyết minh 10.1 BCTC hợp nhất 2023, nợ xấu nội bảng hợp nhất của MB tăng vọt 94,9% từ 5.031 tỷ đồng (cuối 2022) lên 9.805 tỷ đồng (cuối 2023), đẩy tỷ lệ NPL hợp nhất từ 1,09% lên 1,60%; đồng thời nợ nhóm 2 tăng 78,2% từ 7.809 tỷ lên 13.918 tỷ đồng (chiếm 2,28% dư nợ), đưa Tỷ lệ nợ có vấn đề (Nhóm 2–5) lên </w:t>
      </w:r>
      <w:proofErr w:type="spellStart"/>
      <w:r>
        <w:rPr>
          <w:rFonts w:ascii="Times New Roman" w:hAnsi="Times New Roman"/>
        </w:rPr>
        <w:t>đỉnh</w:t>
      </w:r>
      <w:proofErr w:type="spellEnd"/>
      <w:r>
        <w:rPr>
          <w:rFonts w:ascii="Times New Roman" w:hAnsi="Times New Roman"/>
        </w:rPr>
        <w:t xml:space="preserve"> 3,88%.</w:t>
      </w:r>
      <w:r w:rsidR="000770B1">
        <w:rPr>
          <w:rFonts w:ascii="Times New Roman" w:hAnsi="Times New Roman"/>
        </w:rPr>
        <w:tab/>
      </w:r>
      <w:r>
        <w:rPr>
          <w:rFonts w:ascii="Times New Roman" w:hAnsi="Times New Roman"/>
        </w:rPr>
        <w:br/>
        <w:t xml:space="preserve">  • 2. Nguyên nhân: Xuất phát từ sự cộng hưởng của ba yếu tố: (i) Rủi ro tập trung vào chu kỳ Bất động sản – Xây dựng và Trái phiếu doanh nghiệp (TPDN): Đến cuối năm 2022, bên cạnh dư nợ cho vay BĐS &amp; Xây dựng chiếm 10,4% dư nợ, MB còn nắm giữ 46.870 tỷ đồng trái phiếu do các tổ chức kinh tế (TCKT) phát hành (theo Thuyết minh 12 BCTC hợp nhất 2022, chưa kể chứng khoán nợ do các TCTD phát hành). Khi thị trường TPDN đóng băng sau các sự kiện Tân Hoàng Minh (4/2022) và Vạn Thịnh Phát (10/2022) cùng mặt bằng lãi suất tăng cao, dòng tiền của các chủ đầu tư BĐS và năng lượng tái tạo bị tắc nghẽn; (ii) Hiệu ứng phân loại nợ liên đới qua CIC theo Điều 8 Thông tư 11/2021/TT-NHNN: Nhiều khách hàng doanh nghiệp dù vẫn trả nợ đúng hạn tại MB nhưng phát sinh nợ quá hạn tại ngân hàng khác nên buộc phải chuyển nhóm nợ đồng loạt tại MB; và (iii) Bộ đệm dự phòng không tăng tương ứng với nợ xấu: năm 2023, dù nợ xấu tăng 94,9%, chi phí dự phòng rủi ro tín dụng trên Báo cáo KQKD hợp nhất của MB giảm 24,4% (từ 8.048 tỷ xuống 6.087 tỷ đồng), làm </w:t>
      </w:r>
      <w:proofErr w:type="spellStart"/>
      <w:r>
        <w:rPr>
          <w:rFonts w:ascii="Times New Roman" w:hAnsi="Times New Roman"/>
        </w:rPr>
        <w:t>khả</w:t>
      </w:r>
      <w:proofErr w:type="spellEnd"/>
      <w:r>
        <w:rPr>
          <w:rFonts w:ascii="Times New Roman" w:hAnsi="Times New Roman"/>
        </w:rPr>
        <w:t xml:space="preserve"> năng </w:t>
      </w:r>
      <w:proofErr w:type="spellStart"/>
      <w:r>
        <w:rPr>
          <w:rFonts w:ascii="Times New Roman" w:hAnsi="Times New Roman"/>
        </w:rPr>
        <w:t>hấp</w:t>
      </w:r>
      <w:proofErr w:type="spellEnd"/>
      <w:r>
        <w:rPr>
          <w:rFonts w:ascii="Times New Roman" w:hAnsi="Times New Roman"/>
        </w:rPr>
        <w:t xml:space="preserve"> </w:t>
      </w:r>
      <w:proofErr w:type="spellStart"/>
      <w:r>
        <w:rPr>
          <w:rFonts w:ascii="Times New Roman" w:hAnsi="Times New Roman"/>
        </w:rPr>
        <w:t>thụ</w:t>
      </w:r>
      <w:proofErr w:type="spellEnd"/>
      <w:r>
        <w:rPr>
          <w:rFonts w:ascii="Times New Roman" w:hAnsi="Times New Roman"/>
        </w:rPr>
        <w:t xml:space="preserve"> </w:t>
      </w:r>
      <w:proofErr w:type="spellStart"/>
      <w:r>
        <w:rPr>
          <w:rFonts w:ascii="Times New Roman" w:hAnsi="Times New Roman"/>
        </w:rPr>
        <w:t>tổn</w:t>
      </w:r>
      <w:proofErr w:type="spellEnd"/>
      <w:r>
        <w:rPr>
          <w:rFonts w:ascii="Times New Roman" w:hAnsi="Times New Roman"/>
        </w:rPr>
        <w:t xml:space="preserve"> </w:t>
      </w:r>
      <w:proofErr w:type="spellStart"/>
      <w:r>
        <w:rPr>
          <w:rFonts w:ascii="Times New Roman" w:hAnsi="Times New Roman"/>
        </w:rPr>
        <w:t>thất</w:t>
      </w:r>
      <w:proofErr w:type="spellEnd"/>
      <w:r>
        <w:rPr>
          <w:rFonts w:ascii="Times New Roman" w:hAnsi="Times New Roman"/>
        </w:rPr>
        <w:t xml:space="preserve"> </w:t>
      </w:r>
      <w:proofErr w:type="spellStart"/>
      <w:r>
        <w:rPr>
          <w:rFonts w:ascii="Times New Roman" w:hAnsi="Times New Roman"/>
        </w:rPr>
        <w:t>mỏng</w:t>
      </w:r>
      <w:proofErr w:type="spellEnd"/>
      <w:r>
        <w:rPr>
          <w:rFonts w:ascii="Times New Roman" w:hAnsi="Times New Roman"/>
        </w:rPr>
        <w:t xml:space="preserve"> đi.</w:t>
      </w:r>
      <w:r w:rsidR="000770B1">
        <w:rPr>
          <w:rFonts w:ascii="Times New Roman" w:hAnsi="Times New Roman"/>
        </w:rPr>
        <w:tab/>
      </w:r>
      <w:r>
        <w:rPr>
          <w:rFonts w:ascii="Times New Roman" w:hAnsi="Times New Roman"/>
        </w:rPr>
        <w:br/>
        <w:t xml:space="preserve">  • 3. Hậu quả định lượng: Làm bào mòn nhanh chóng bộ đệm dự phòng mà MB đã tích lũy trong giai đoạn 2020–2022: tỷ lệ bao phủ nợ xấu (LLCR) hợp nhất của MB sụt giảm hơn một nửa từ 238,0% (cuối 2022) xuống 117,0% (cuối 2023) và rơi xuống dưới ngưỡng 100% trong hai năm tiếp theo (92,2% năm 2024 và 93,7% năm 2025).</w:t>
      </w:r>
      <w:r w:rsidR="000770B1">
        <w:rPr>
          <w:rFonts w:ascii="Times New Roman" w:hAnsi="Times New Roman"/>
        </w:rPr>
        <w:tab/>
      </w:r>
      <w:r>
        <w:rPr>
          <w:rFonts w:ascii="Times New Roman" w:hAnsi="Times New Roman"/>
        </w:rPr>
        <w:br/>
        <w:t xml:space="preserve">  • 4. Biện pháp khắc phục MB đã triển khai: (1) Chủ động thu hẹp mạnh danh mục TPDN: MB đã quyết liệt cơ cấu lại danh mục chứng khoán đầu tư, cắt giảm 50,1% số dư TPDN do TCKT phát hành từ mức đỉnh 46.870 tỷ đồng (cuối 2022) xuống 38.448 tỷ đồng (2023), 33.443 tỷ đồng (2024) và chỉ còn 23.410 tỷ đồng vào cuối năm 2025 (tương đương chỉ còn 2,1% tổng dư nợ tín dụng theo Thuyết minh 12/13 BCTC hợp nhất 2025); (2) Chuyển dịch cấu trúc tài trợ BĐS: Tập trung tài trợ theo chuỗi cung ứng khép kín (nhà thầu – chủ đầu tư – người mua nhà cuối cùng có nhu cầu ở thực), kiểm soát dòng tiền qua tài khoản chuyên thu tại MB và tăng tỷ lệ tài sản bảo đảm là bất động sản từ 38,8% (2022) lên 50,5% tổng giá trị TSBĐ năm 2025 (1.025.681 / 2.030.363 tỷ đồng).</w:t>
      </w:r>
    </w:p>
    <w:p w14:paraId="39AD0449" w14:textId="77777777" w:rsidR="00F67131" w:rsidRDefault="00000000">
      <w:pPr>
        <w:pStyle w:val="Heading2"/>
        <w:spacing w:after="80" w:line="300" w:lineRule="auto"/>
      </w:pPr>
      <w:bookmarkStart w:id="23" w:name="_Toc244090123"/>
      <w:r>
        <w:rPr>
          <w:rFonts w:ascii="Times New Roman" w:hAnsi="Times New Roman"/>
          <w:color w:val="0F4C81"/>
          <w:sz w:val="24"/>
        </w:rPr>
        <w:t>5.4. MB – Biến động nợ xấu Quý III–IV/2025, xử lý rủi ro bằng dự phòng và quy chế không hợp nhất MBV</w:t>
      </w:r>
      <w:bookmarkEnd w:id="23"/>
    </w:p>
    <w:p w14:paraId="3D8A372A" w14:textId="77777777" w:rsidR="00F67131" w:rsidRDefault="00000000">
      <w:pPr>
        <w:spacing w:after="80" w:line="300" w:lineRule="auto"/>
        <w:jc w:val="both"/>
      </w:pPr>
      <w:r>
        <w:rPr>
          <w:rFonts w:ascii="Times New Roman" w:hAnsi="Times New Roman"/>
          <w:b/>
        </w:rPr>
        <w:t>Phân tích toàn diện (Diễn biến – Nguyên nhân – Hậu quả – Biện pháp khắc phục):</w:t>
      </w:r>
      <w:r>
        <w:rPr>
          <w:rFonts w:ascii="Times New Roman" w:hAnsi="Times New Roman"/>
          <w:b/>
        </w:rPr>
        <w:br/>
      </w:r>
      <w:r>
        <w:rPr>
          <w:rFonts w:ascii="Times New Roman" w:hAnsi="Times New Roman"/>
        </w:rPr>
        <w:t xml:space="preserve">  • 1. Diễn biến và Số liệu kiểm toán: Theo số liệu BCTC Quý III/2025 được công bố, tổng nợ xấu nội bảng hợp nhất của MB tại thời điểm 30/9/2025 vọt lên mức đỉnh lịch sử 17.423 tỷ đồng, đẩy tỷ lệ NPL lên khoảng 1,87%. Tuy nhiên, chỉ trong vòng một quý (Quý IV/2025), báo cáo tài chính hợp nhất kiểm toán năm 2025 ghi nhận nợ xấu cuối năm giảm 3.396 tỷ đồng về mức 14.027 tỷ đồng, và tỷ lệ </w:t>
      </w:r>
      <w:r>
        <w:rPr>
          <w:rFonts w:ascii="Times New Roman" w:hAnsi="Times New Roman"/>
        </w:rPr>
        <w:lastRenderedPageBreak/>
        <w:t>NPL hợp nhất giảm mạnh 0,58 điểm % về mức 1,29% (NPL riêng lẻ ngân hàng mẹ giảm về 1,12%).</w:t>
      </w:r>
      <w:r>
        <w:rPr>
          <w:rFonts w:ascii="Times New Roman" w:hAnsi="Times New Roman"/>
        </w:rPr>
        <w:br/>
        <w:t xml:space="preserve">  • 2. Nguyên nhân: Biến động mạnh của nợ xấu trong năm 2025 bắt nguồn từ hai cơ chế: (i) Áp lực nhảy nhóm nợ tự nhiên sau khi Thông tư 02/2023/TT-NHNN hết hiệu lực từ ngày 01/01/2025 khiến các khoản nợ cơ cấu không phục hồi kịp dòng tiền trong 9 tháng đầu năm phải chuyển sang nhóm nợ xấu theo quy định tại Thông tư 31/2024/TT-NHNN; và (ii) Tác động cuối năm của việc xử lý nợ bằng dự phòng kết hợp với tăng trưởng dư nợ (hiệu ứng mẫu số). Đặc biệt, như đã nêu tại Mục 4.1 theo Thuyết minh 3.4 BCTC hợp nhất 2025 (trang 148 PDF), căn cứ Điểm c Khoản 1 Điều 185 Luật Các TCTD 2024, MB không hợp nhất BCTC của Ngân hàng TNHH MTV Việt Nam Hiện Đại (MBV / OceanBank), nên biến động nợ xấu và dư nợ Quý III–IV/2025 hoàn toàn phản ánh hoạt động của MB và 7 công ty con hợp nhất.</w:t>
      </w:r>
      <w:r w:rsidR="000770B1">
        <w:rPr>
          <w:rFonts w:ascii="Times New Roman" w:hAnsi="Times New Roman"/>
        </w:rPr>
        <w:tab/>
      </w:r>
      <w:r>
        <w:rPr>
          <w:rFonts w:ascii="Times New Roman" w:hAnsi="Times New Roman"/>
        </w:rPr>
        <w:br/>
        <w:t xml:space="preserve">  • 3. Hậu quả định lượng: Mặc dù tỷ lệ NPL bề mặt giảm về 1,29% cuối năm 2025, nhưng xét trên toàn năm 2025, nợ xấu nội bảng tuyệt đối của MB vẫn tăng thêm +1.442 tỷ đồng (+11,5% so với mức 12.585 tỷ đồng cuối năm 2024), và tỷ lệ bao phủ nợ xấu (LLCR) hợp nhất chỉ đạt 93,7% (13.151 tỷ dự phòng / 14.027 tỷ nợ xấu) – thấp hơn đáng kể so với </w:t>
      </w:r>
      <w:proofErr w:type="spellStart"/>
      <w:r>
        <w:rPr>
          <w:rFonts w:ascii="Times New Roman" w:hAnsi="Times New Roman"/>
        </w:rPr>
        <w:t>mức</w:t>
      </w:r>
      <w:proofErr w:type="spellEnd"/>
      <w:r>
        <w:rPr>
          <w:rFonts w:ascii="Times New Roman" w:hAnsi="Times New Roman"/>
        </w:rPr>
        <w:t xml:space="preserve"> 146,3% </w:t>
      </w:r>
      <w:proofErr w:type="spellStart"/>
      <w:r>
        <w:rPr>
          <w:rFonts w:ascii="Times New Roman" w:hAnsi="Times New Roman"/>
        </w:rPr>
        <w:t>của</w:t>
      </w:r>
      <w:proofErr w:type="spellEnd"/>
      <w:r>
        <w:rPr>
          <w:rFonts w:ascii="Times New Roman" w:hAnsi="Times New Roman"/>
        </w:rPr>
        <w:t xml:space="preserve"> Agribank.</w:t>
      </w:r>
      <w:r w:rsidR="000770B1">
        <w:rPr>
          <w:rFonts w:ascii="Times New Roman" w:hAnsi="Times New Roman"/>
        </w:rPr>
        <w:tab/>
      </w:r>
      <w:r>
        <w:rPr>
          <w:rFonts w:ascii="Times New Roman" w:hAnsi="Times New Roman"/>
        </w:rPr>
        <w:br/>
        <w:t xml:space="preserve">  • 4. Biện pháp khắc phục MB đã triển khai: (1) Tăng mạnh trích lập và sử dụng dự phòng để làm sạch bảng cân đối: Trong năm 2025, MB đã tăng chi phí dự phòng rủi ro tín dụng hợp nhất thêm 43,5% lên mức kỷ lục 13.744 tỷ đồng (tương đương 28,6% lợi nhuận trước dự phòng PPOP), đồng thời sử dụng 12.185 tỷ đồng dự phòng để xóa nợ nội bảng (Thuyết minh 10 BCTC hợp nhất 2025); (2) Mở rộng tín dụng trong hạn mức tăng trưởng được NHNN nới khi tham gia nhận chuyển giao bắt buộc MBV: dư nợ tăng 307.361 tỷ đồng (+39,6%), nợ nhóm 1 đạt 1.059.782 tỷ đồng; về mặt số học, mức tăng này tạo hiệu ứng mẫu số −0,46 điểm % đối với NPL, còn chất lượng của phần dư nợ mới chỉ có thể đánh giá khi danh mục đi qua đủ chu kỳ; và (3) Đẩy mạnh thu hồi nợ đã xử lý rủi ro ngoại bảng đạt 4.142 tỷ đồng trong năm 2025 (tăng 68,9% so với mức 2.452 tỷ đồng năm 2024 theo Thuyết minh KQKD BCTC hợp nhất 2025).</w:t>
      </w:r>
    </w:p>
    <w:p w14:paraId="7A732D81" w14:textId="77777777" w:rsidR="00F67131" w:rsidRDefault="00000000">
      <w:pPr>
        <w:spacing w:before="120" w:after="60" w:line="300" w:lineRule="auto"/>
      </w:pPr>
      <w:r>
        <w:rPr>
          <w:rFonts w:ascii="Times New Roman" w:hAnsi="Times New Roman"/>
          <w:b/>
          <w:color w:val="002060"/>
        </w:rPr>
        <w:t>Bảng 13. Ma trận đánh giá lỗ hổng Kiểm soát Nội bộ COSO 2013 qua các tình huống thực tiễn</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448"/>
        <w:gridCol w:w="3394"/>
        <w:gridCol w:w="3430"/>
      </w:tblGrid>
      <w:tr w:rsidR="00F67131" w14:paraId="6298930C" w14:textId="77777777">
        <w:trPr>
          <w:jc w:val="center"/>
          <w:cantSplit/>
          <w:tblHeader/>
        </w:trPr>
        <w:tc>
          <w:tcPr>
            <w:tcW w:w="2592" w:type="dxa"/>
            <w:shd w:val="clear" w:color="auto" w:fill="1B365D"/>
            <w:tcMar>
              <w:top w:w="70" w:type="dxa"/>
              <w:left w:w="100" w:type="dxa"/>
              <w:bottom w:w="70" w:type="dxa"/>
              <w:right w:w="100" w:type="dxa"/>
            </w:tcMar>
          </w:tcPr>
          <w:p w14:paraId="2FA5B99B" w14:textId="77777777" w:rsidR="00F67131" w:rsidRDefault="00000000">
            <w:pPr>
              <w:spacing w:before="40" w:after="40" w:line="240" w:lineRule="auto"/>
              <w:jc w:val="both"/>
            </w:pPr>
            <w:r>
              <w:rPr>
                <w:rFonts w:ascii="Times New Roman" w:hAnsi="Times New Roman"/>
                <w:color w:val="FFFFFF"/>
                <w:sz w:val="19"/>
              </w:rPr>
              <w:t>Thành tố COSO 2013</w:t>
            </w:r>
          </w:p>
        </w:tc>
        <w:tc>
          <w:tcPr>
            <w:tcW w:w="3600" w:type="dxa"/>
            <w:shd w:val="clear" w:color="auto" w:fill="1B365D"/>
            <w:tcMar>
              <w:top w:w="70" w:type="dxa"/>
              <w:left w:w="100" w:type="dxa"/>
              <w:bottom w:w="70" w:type="dxa"/>
              <w:right w:w="100" w:type="dxa"/>
            </w:tcMar>
          </w:tcPr>
          <w:p w14:paraId="03CE4003" w14:textId="77777777" w:rsidR="00F67131" w:rsidRDefault="00000000">
            <w:pPr>
              <w:spacing w:before="40" w:after="40" w:line="240" w:lineRule="auto"/>
              <w:jc w:val="both"/>
            </w:pPr>
            <w:r>
              <w:rPr>
                <w:rFonts w:ascii="Times New Roman" w:hAnsi="Times New Roman"/>
                <w:color w:val="FFFFFF"/>
                <w:sz w:val="19"/>
              </w:rPr>
              <w:t>Agribank (Cú sốc Yagi, Nợ nhóm 5 &amp; Vụ Lifepro)</w:t>
            </w:r>
          </w:p>
        </w:tc>
        <w:tc>
          <w:tcPr>
            <w:tcW w:w="3600" w:type="dxa"/>
            <w:shd w:val="clear" w:color="auto" w:fill="1B365D"/>
            <w:tcMar>
              <w:top w:w="70" w:type="dxa"/>
              <w:left w:w="100" w:type="dxa"/>
              <w:bottom w:w="70" w:type="dxa"/>
              <w:right w:w="100" w:type="dxa"/>
            </w:tcMar>
          </w:tcPr>
          <w:p w14:paraId="1A7A5842" w14:textId="77777777" w:rsidR="00F67131" w:rsidRDefault="00000000">
            <w:pPr>
              <w:spacing w:before="40" w:after="40" w:line="240" w:lineRule="auto"/>
              <w:jc w:val="both"/>
            </w:pPr>
            <w:r>
              <w:rPr>
                <w:rFonts w:ascii="Times New Roman" w:hAnsi="Times New Roman"/>
                <w:color w:val="FFFFFF"/>
                <w:sz w:val="19"/>
              </w:rPr>
              <w:t>MB (MCredit, Cú sốc TPDN 2023 &amp; Vụ Gia Lai)</w:t>
            </w:r>
          </w:p>
        </w:tc>
      </w:tr>
      <w:tr w:rsidR="00F67131" w14:paraId="47417A1D" w14:textId="77777777">
        <w:trPr>
          <w:jc w:val="center"/>
          <w:cantSplit/>
        </w:trPr>
        <w:tc>
          <w:tcPr>
            <w:tcW w:w="2592" w:type="dxa"/>
            <w:tcMar>
              <w:top w:w="70" w:type="dxa"/>
              <w:left w:w="100" w:type="dxa"/>
              <w:bottom w:w="70" w:type="dxa"/>
              <w:right w:w="100" w:type="dxa"/>
            </w:tcMar>
          </w:tcPr>
          <w:p w14:paraId="124E209C" w14:textId="77777777" w:rsidR="00F67131" w:rsidRDefault="00000000">
            <w:pPr>
              <w:spacing w:before="40" w:after="40" w:line="240" w:lineRule="auto"/>
              <w:jc w:val="both"/>
            </w:pPr>
            <w:r>
              <w:rPr>
                <w:rFonts w:ascii="Times New Roman" w:hAnsi="Times New Roman"/>
                <w:color w:val="262626"/>
                <w:sz w:val="18"/>
              </w:rPr>
              <w:t>1. Môi trường kiểm soát</w:t>
            </w:r>
          </w:p>
        </w:tc>
        <w:tc>
          <w:tcPr>
            <w:tcW w:w="3600" w:type="dxa"/>
            <w:tcMar>
              <w:top w:w="70" w:type="dxa"/>
              <w:left w:w="100" w:type="dxa"/>
              <w:bottom w:w="70" w:type="dxa"/>
              <w:right w:w="100" w:type="dxa"/>
            </w:tcMar>
          </w:tcPr>
          <w:p w14:paraId="5A45ADB4" w14:textId="77777777" w:rsidR="00F67131" w:rsidRDefault="00000000">
            <w:pPr>
              <w:spacing w:before="40" w:after="40" w:line="240" w:lineRule="auto"/>
              <w:jc w:val="both"/>
            </w:pPr>
            <w:r>
              <w:rPr>
                <w:rFonts w:ascii="Times New Roman" w:hAnsi="Times New Roman"/>
                <w:color w:val="262626"/>
                <w:sz w:val="18"/>
              </w:rPr>
              <w:t>Mạng lưới &gt;2.200 CN/PGD phân cấp rộng; vụ Lifepro cho thấy nguy cơ lạm quyền cấp chi nhánh, đã được xử lý bằng việc siết hạn mức phán quyết.</w:t>
            </w:r>
          </w:p>
        </w:tc>
        <w:tc>
          <w:tcPr>
            <w:tcW w:w="3600" w:type="dxa"/>
            <w:tcMar>
              <w:top w:w="70" w:type="dxa"/>
              <w:left w:w="100" w:type="dxa"/>
              <w:bottom w:w="70" w:type="dxa"/>
              <w:right w:w="100" w:type="dxa"/>
            </w:tcMar>
          </w:tcPr>
          <w:p w14:paraId="3E25B299" w14:textId="77777777" w:rsidR="00F67131" w:rsidRDefault="00000000">
            <w:pPr>
              <w:spacing w:before="40" w:after="40" w:line="240" w:lineRule="auto"/>
              <w:jc w:val="both"/>
            </w:pPr>
            <w:r>
              <w:rPr>
                <w:rFonts w:ascii="Times New Roman" w:hAnsi="Times New Roman"/>
                <w:color w:val="262626"/>
                <w:sz w:val="18"/>
              </w:rPr>
              <w:t>Áp lực KPI tăng trưởng tín dụng và ROE cao; tách bạch RM và Phê duyệt tập trung (Hub) giúp kiểm soát rủi ro đạo đức cấp cơ sở.</w:t>
            </w:r>
          </w:p>
        </w:tc>
      </w:tr>
      <w:tr w:rsidR="00F67131" w14:paraId="25C5F2AD" w14:textId="77777777">
        <w:trPr>
          <w:jc w:val="center"/>
          <w:cantSplit/>
        </w:trPr>
        <w:tc>
          <w:tcPr>
            <w:tcW w:w="2592" w:type="dxa"/>
            <w:tcMar>
              <w:top w:w="70" w:type="dxa"/>
              <w:left w:w="100" w:type="dxa"/>
              <w:bottom w:w="70" w:type="dxa"/>
              <w:right w:w="100" w:type="dxa"/>
            </w:tcMar>
          </w:tcPr>
          <w:p w14:paraId="35F67EE8" w14:textId="77777777" w:rsidR="00F67131" w:rsidRDefault="00000000">
            <w:pPr>
              <w:spacing w:before="40" w:after="40" w:line="240" w:lineRule="auto"/>
              <w:jc w:val="both"/>
            </w:pPr>
            <w:r>
              <w:rPr>
                <w:rFonts w:ascii="Times New Roman" w:hAnsi="Times New Roman"/>
                <w:color w:val="262626"/>
                <w:sz w:val="18"/>
              </w:rPr>
              <w:t>2. Đánh giá rủi ro</w:t>
            </w:r>
          </w:p>
        </w:tc>
        <w:tc>
          <w:tcPr>
            <w:tcW w:w="3600" w:type="dxa"/>
            <w:tcMar>
              <w:top w:w="70" w:type="dxa"/>
              <w:left w:w="100" w:type="dxa"/>
              <w:bottom w:w="70" w:type="dxa"/>
              <w:right w:w="100" w:type="dxa"/>
            </w:tcMar>
          </w:tcPr>
          <w:p w14:paraId="4C6F51FD" w14:textId="77777777" w:rsidR="00F67131" w:rsidRDefault="00000000">
            <w:pPr>
              <w:spacing w:before="40" w:after="40" w:line="240" w:lineRule="auto"/>
              <w:jc w:val="both"/>
            </w:pPr>
            <w:r>
              <w:rPr>
                <w:rFonts w:ascii="Times New Roman" w:hAnsi="Times New Roman"/>
                <w:color w:val="262626"/>
                <w:sz w:val="18"/>
              </w:rPr>
              <w:t>Tập trung 61,7%–70% vào Tam nông nên nhạy cảm với cú sốc thiên tai (bão Yagi 2024); phụ thuộc cao vào TSBĐ đất nông nghiệp thanh khoản thấp.</w:t>
            </w:r>
          </w:p>
        </w:tc>
        <w:tc>
          <w:tcPr>
            <w:tcW w:w="3600" w:type="dxa"/>
            <w:tcMar>
              <w:top w:w="70" w:type="dxa"/>
              <w:left w:w="100" w:type="dxa"/>
              <w:bottom w:w="70" w:type="dxa"/>
              <w:right w:w="100" w:type="dxa"/>
            </w:tcMar>
          </w:tcPr>
          <w:p w14:paraId="65A92A3A" w14:textId="77777777" w:rsidR="00F67131" w:rsidRDefault="00000000">
            <w:pPr>
              <w:spacing w:before="40" w:after="40" w:line="240" w:lineRule="auto"/>
              <w:jc w:val="both"/>
            </w:pPr>
            <w:r>
              <w:rPr>
                <w:rFonts w:ascii="Times New Roman" w:hAnsi="Times New Roman"/>
                <w:color w:val="262626"/>
                <w:sz w:val="18"/>
              </w:rPr>
              <w:t>Giai đoạn 2020–2022 mở rộng nhanh vào TPDN (46.870 tỷ năm 2022) và tín chấp MCredit (NPL 6,2%–8,5%); đã cắt giảm 50,1% TPDN đến 2025.</w:t>
            </w:r>
          </w:p>
        </w:tc>
      </w:tr>
      <w:tr w:rsidR="00F67131" w14:paraId="028A59E6" w14:textId="77777777">
        <w:trPr>
          <w:jc w:val="center"/>
          <w:cantSplit/>
        </w:trPr>
        <w:tc>
          <w:tcPr>
            <w:tcW w:w="2592" w:type="dxa"/>
            <w:tcMar>
              <w:top w:w="70" w:type="dxa"/>
              <w:left w:w="100" w:type="dxa"/>
              <w:bottom w:w="70" w:type="dxa"/>
              <w:right w:w="100" w:type="dxa"/>
            </w:tcMar>
          </w:tcPr>
          <w:p w14:paraId="35FB9723" w14:textId="77777777" w:rsidR="00F67131" w:rsidRDefault="00000000">
            <w:pPr>
              <w:spacing w:before="40" w:after="40" w:line="240" w:lineRule="auto"/>
              <w:jc w:val="both"/>
            </w:pPr>
            <w:r>
              <w:rPr>
                <w:rFonts w:ascii="Times New Roman" w:hAnsi="Times New Roman"/>
                <w:color w:val="262626"/>
                <w:sz w:val="18"/>
              </w:rPr>
              <w:t>3. Hoạt động kiểm soát</w:t>
            </w:r>
          </w:p>
        </w:tc>
        <w:tc>
          <w:tcPr>
            <w:tcW w:w="3600" w:type="dxa"/>
            <w:tcMar>
              <w:top w:w="70" w:type="dxa"/>
              <w:left w:w="100" w:type="dxa"/>
              <w:bottom w:w="70" w:type="dxa"/>
              <w:right w:w="100" w:type="dxa"/>
            </w:tcMar>
          </w:tcPr>
          <w:p w14:paraId="0FE1EDB6" w14:textId="77777777" w:rsidR="00F67131" w:rsidRDefault="00000000">
            <w:pPr>
              <w:spacing w:before="40" w:after="40" w:line="240" w:lineRule="auto"/>
              <w:jc w:val="both"/>
            </w:pPr>
            <w:r>
              <w:rPr>
                <w:rFonts w:ascii="Times New Roman" w:hAnsi="Times New Roman"/>
                <w:color w:val="262626"/>
                <w:sz w:val="18"/>
              </w:rPr>
              <w:t>Nợ nhóm 5 chiếm 67%–79% nợ xấu do thủ tục phát mại TSBĐ kéo dài; trích lập dự phòng dày (LLCR 146,3%) và xóa nợ 32.621 tỷ năm 2025.</w:t>
            </w:r>
          </w:p>
        </w:tc>
        <w:tc>
          <w:tcPr>
            <w:tcW w:w="3600" w:type="dxa"/>
            <w:tcMar>
              <w:top w:w="70" w:type="dxa"/>
              <w:left w:w="100" w:type="dxa"/>
              <w:bottom w:w="70" w:type="dxa"/>
              <w:right w:w="100" w:type="dxa"/>
            </w:tcMar>
          </w:tcPr>
          <w:p w14:paraId="69692A58" w14:textId="77777777" w:rsidR="00F67131" w:rsidRDefault="00000000">
            <w:pPr>
              <w:spacing w:before="40" w:after="40" w:line="240" w:lineRule="auto"/>
              <w:jc w:val="both"/>
            </w:pPr>
            <w:r>
              <w:rPr>
                <w:rFonts w:ascii="Times New Roman" w:hAnsi="Times New Roman"/>
                <w:color w:val="262626"/>
                <w:sz w:val="18"/>
              </w:rPr>
              <w:t>Tự động hóa chấm điểm Scorecard và eKYC tại MCredit; xóa nợ hợp nhất 12.185 tỷ năm 2025 nhưng để LLCR hợp nhất giảm về 92,2%–93,7%.</w:t>
            </w:r>
          </w:p>
        </w:tc>
      </w:tr>
      <w:tr w:rsidR="00F67131" w14:paraId="02AD1D5E" w14:textId="77777777">
        <w:trPr>
          <w:jc w:val="center"/>
          <w:cantSplit/>
        </w:trPr>
        <w:tc>
          <w:tcPr>
            <w:tcW w:w="2592" w:type="dxa"/>
            <w:tcMar>
              <w:top w:w="70" w:type="dxa"/>
              <w:left w:w="100" w:type="dxa"/>
              <w:bottom w:w="70" w:type="dxa"/>
              <w:right w:w="100" w:type="dxa"/>
            </w:tcMar>
          </w:tcPr>
          <w:p w14:paraId="10A77D90" w14:textId="77777777" w:rsidR="00F67131" w:rsidRDefault="00000000">
            <w:pPr>
              <w:spacing w:before="40" w:after="40" w:line="240" w:lineRule="auto"/>
              <w:jc w:val="both"/>
            </w:pPr>
            <w:r>
              <w:rPr>
                <w:rFonts w:ascii="Times New Roman" w:hAnsi="Times New Roman"/>
                <w:color w:val="262626"/>
                <w:sz w:val="18"/>
              </w:rPr>
              <w:t>4. Thông tin &amp; Truyền thông</w:t>
            </w:r>
          </w:p>
        </w:tc>
        <w:tc>
          <w:tcPr>
            <w:tcW w:w="3600" w:type="dxa"/>
            <w:tcMar>
              <w:top w:w="70" w:type="dxa"/>
              <w:left w:w="100" w:type="dxa"/>
              <w:bottom w:w="70" w:type="dxa"/>
              <w:right w:w="100" w:type="dxa"/>
            </w:tcMar>
          </w:tcPr>
          <w:p w14:paraId="0488A8DA" w14:textId="77777777" w:rsidR="00F67131" w:rsidRDefault="00000000">
            <w:pPr>
              <w:spacing w:before="40" w:after="40" w:line="240" w:lineRule="auto"/>
              <w:jc w:val="both"/>
            </w:pPr>
            <w:r>
              <w:rPr>
                <w:rFonts w:ascii="Times New Roman" w:hAnsi="Times New Roman"/>
                <w:color w:val="262626"/>
                <w:sz w:val="18"/>
              </w:rPr>
              <w:t xml:space="preserve">Hiện đại hóa hệ thống cảnh báo sớm nhưng dữ liệu khách hàng nông hộ nhỏ lẻ vẫn phân tán, chưa lượng hóa đầy đủ PD/LGD theo </w:t>
            </w:r>
            <w:r>
              <w:rPr>
                <w:rFonts w:ascii="Times New Roman" w:hAnsi="Times New Roman"/>
                <w:color w:val="262626"/>
                <w:sz w:val="18"/>
              </w:rPr>
              <w:lastRenderedPageBreak/>
              <w:t>chuẩn IRB.</w:t>
            </w:r>
          </w:p>
        </w:tc>
        <w:tc>
          <w:tcPr>
            <w:tcW w:w="3600" w:type="dxa"/>
            <w:tcMar>
              <w:top w:w="70" w:type="dxa"/>
              <w:left w:w="100" w:type="dxa"/>
              <w:bottom w:w="70" w:type="dxa"/>
              <w:right w:w="100" w:type="dxa"/>
            </w:tcMar>
          </w:tcPr>
          <w:p w14:paraId="09C26BC5" w14:textId="77777777" w:rsidR="00F67131" w:rsidRDefault="00000000">
            <w:pPr>
              <w:spacing w:before="40" w:after="40" w:line="240" w:lineRule="auto"/>
              <w:jc w:val="both"/>
            </w:pPr>
            <w:r>
              <w:rPr>
                <w:rFonts w:ascii="Times New Roman" w:hAnsi="Times New Roman"/>
                <w:color w:val="262626"/>
                <w:sz w:val="18"/>
              </w:rPr>
              <w:lastRenderedPageBreak/>
              <w:t xml:space="preserve">Hệ thống OFSAA/ICAAP hiện đại; tuy nhiên năm 2023 chịu tác động mạnh từ hiệu ứng nhảy nhóm nợ liên đới qua hệ thống </w:t>
            </w:r>
            <w:r>
              <w:rPr>
                <w:rFonts w:ascii="Times New Roman" w:hAnsi="Times New Roman"/>
                <w:color w:val="262626"/>
                <w:sz w:val="18"/>
              </w:rPr>
              <w:lastRenderedPageBreak/>
              <w:t>CIC.</w:t>
            </w:r>
          </w:p>
        </w:tc>
      </w:tr>
      <w:tr w:rsidR="00F67131" w14:paraId="5D3F9053" w14:textId="77777777">
        <w:trPr>
          <w:jc w:val="center"/>
          <w:cantSplit/>
        </w:trPr>
        <w:tc>
          <w:tcPr>
            <w:tcW w:w="2592" w:type="dxa"/>
            <w:tcMar>
              <w:top w:w="70" w:type="dxa"/>
              <w:left w:w="100" w:type="dxa"/>
              <w:bottom w:w="70" w:type="dxa"/>
              <w:right w:w="100" w:type="dxa"/>
            </w:tcMar>
          </w:tcPr>
          <w:p w14:paraId="464C467C" w14:textId="77777777" w:rsidR="00F67131" w:rsidRDefault="00000000">
            <w:pPr>
              <w:spacing w:before="40" w:after="40" w:line="240" w:lineRule="auto"/>
              <w:jc w:val="both"/>
            </w:pPr>
            <w:r>
              <w:rPr>
                <w:rFonts w:ascii="Times New Roman" w:hAnsi="Times New Roman"/>
                <w:color w:val="262626"/>
                <w:sz w:val="18"/>
              </w:rPr>
              <w:lastRenderedPageBreak/>
              <w:t>5. Hoạt động giám sát</w:t>
            </w:r>
          </w:p>
        </w:tc>
        <w:tc>
          <w:tcPr>
            <w:tcW w:w="3600" w:type="dxa"/>
            <w:tcMar>
              <w:top w:w="70" w:type="dxa"/>
              <w:left w:w="100" w:type="dxa"/>
              <w:bottom w:w="70" w:type="dxa"/>
              <w:right w:w="100" w:type="dxa"/>
            </w:tcMar>
          </w:tcPr>
          <w:p w14:paraId="7738EABF" w14:textId="77777777" w:rsidR="00F67131" w:rsidRDefault="00000000">
            <w:pPr>
              <w:spacing w:before="40" w:after="40" w:line="240" w:lineRule="auto"/>
              <w:jc w:val="both"/>
            </w:pPr>
            <w:r>
              <w:rPr>
                <w:rFonts w:ascii="Times New Roman" w:hAnsi="Times New Roman"/>
                <w:color w:val="262626"/>
                <w:sz w:val="18"/>
              </w:rPr>
              <w:t>Chịu sự giám sát chặt của NHNN và Kiểm toán Nhà nước (điều chỉnh hồi tố BCTC 2021–2024); thu hồi nợ ngoại bảng đạt 12.123–16.305 tỷ năm 2025.</w:t>
            </w:r>
          </w:p>
        </w:tc>
        <w:tc>
          <w:tcPr>
            <w:tcW w:w="3600" w:type="dxa"/>
            <w:tcMar>
              <w:top w:w="70" w:type="dxa"/>
              <w:left w:w="100" w:type="dxa"/>
              <w:bottom w:w="70" w:type="dxa"/>
              <w:right w:w="100" w:type="dxa"/>
            </w:tcMar>
          </w:tcPr>
          <w:p w14:paraId="5D92A137" w14:textId="77777777" w:rsidR="00F67131" w:rsidRDefault="00000000">
            <w:pPr>
              <w:spacing w:before="40" w:after="40" w:line="240" w:lineRule="auto"/>
              <w:jc w:val="both"/>
            </w:pPr>
            <w:r>
              <w:rPr>
                <w:rFonts w:ascii="Times New Roman" w:hAnsi="Times New Roman"/>
                <w:color w:val="262626"/>
                <w:sz w:val="18"/>
              </w:rPr>
              <w:t>Kiểm toán nội bộ dựa trên dữ liệu (Audit Analytics); BCTC hợp nhất không bao gồm MBV (Điều 185 Luật Các TCTD 2024) nên cần giám sát rủi ro liên đới ngoài phạm vi hợp nhất.</w:t>
            </w:r>
          </w:p>
        </w:tc>
      </w:tr>
    </w:tbl>
    <w:p w14:paraId="6A9095B8"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và phân tích của nhóm nghiên cứu theo Khung Kiểm soát Nội bộ COSO (2013) từ dữ liệu BCTC kiểm toán 2020–2025 và hồ sơ các vụ việc thực tiễn.</w:t>
      </w:r>
    </w:p>
    <w:p w14:paraId="47CC9E51" w14:textId="77777777" w:rsidR="00F67131" w:rsidRDefault="00000000">
      <w:pPr>
        <w:pStyle w:val="Heading1"/>
        <w:keepNext/>
        <w:pageBreakBefore/>
        <w:spacing w:before="280" w:after="120" w:line="300" w:lineRule="auto"/>
      </w:pPr>
      <w:bookmarkStart w:id="24" w:name="_Toc244090124"/>
      <w:r>
        <w:rPr>
          <w:rFonts w:ascii="Times New Roman" w:hAnsi="Times New Roman"/>
          <w:b/>
          <w:i w:val="0"/>
          <w:color w:val="002060"/>
          <w:sz w:val="27"/>
        </w:rPr>
        <w:t>CHƯƠNG 6. ĐÁNH GIÁ KẾT QUẢ ĐẠT ĐƯỢC, HẠN CHẾ, NGUYÊN NHÂN VÀ SO SÁNH HAI MÔ HÌNH</w:t>
      </w:r>
      <w:bookmarkEnd w:id="24"/>
    </w:p>
    <w:p w14:paraId="0FE2678A" w14:textId="77777777" w:rsidR="00F67131" w:rsidRDefault="00000000">
      <w:pPr>
        <w:spacing w:after="80" w:line="300" w:lineRule="auto"/>
        <w:jc w:val="both"/>
      </w:pPr>
      <w:r>
        <w:rPr>
          <w:rFonts w:ascii="Times New Roman" w:hAnsi="Times New Roman"/>
          <w:b/>
          <w:color w:val="262626"/>
        </w:rPr>
        <w:t xml:space="preserve">Tổng hợp Đối thoại Học thuật: </w:t>
      </w:r>
      <w:r>
        <w:rPr>
          <w:rFonts w:ascii="Times New Roman" w:hAnsi="Times New Roman"/>
          <w:color w:val="262626"/>
        </w:rPr>
        <w:t>Từ các phân tích thực chứng và mô hình hóa định lượng, nghiên cứu đúc kết cuộc đối thoại học thuật giữa hai mô hình quản trị rủi ro tín dụng đại diện cho hai triết lý ngân hàng tại Việt Nam:</w:t>
      </w:r>
    </w:p>
    <w:p w14:paraId="7BAAD200" w14:textId="77777777" w:rsidR="00F67131" w:rsidRDefault="00000000">
      <w:pPr>
        <w:spacing w:before="120" w:after="60" w:line="300" w:lineRule="auto"/>
      </w:pPr>
      <w:r>
        <w:rPr>
          <w:rFonts w:ascii="Times New Roman" w:hAnsi="Times New Roman"/>
          <w:b/>
          <w:color w:val="002060"/>
        </w:rPr>
        <w:t>Bảng 14. So sánh đối chiếu toàn diện hai triết lý quản trị rủi ro tín dụng (Agribank vs MB)</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725"/>
        <w:gridCol w:w="3279"/>
        <w:gridCol w:w="3268"/>
      </w:tblGrid>
      <w:tr w:rsidR="00F67131" w14:paraId="0A618469" w14:textId="77777777">
        <w:trPr>
          <w:jc w:val="center"/>
          <w:cantSplit/>
          <w:tblHeader/>
        </w:trPr>
        <w:tc>
          <w:tcPr>
            <w:tcW w:w="2880" w:type="dxa"/>
            <w:shd w:val="clear" w:color="auto" w:fill="1B365D"/>
            <w:tcMar>
              <w:top w:w="70" w:type="dxa"/>
              <w:left w:w="100" w:type="dxa"/>
              <w:bottom w:w="70" w:type="dxa"/>
              <w:right w:w="100" w:type="dxa"/>
            </w:tcMar>
          </w:tcPr>
          <w:p w14:paraId="63474508" w14:textId="77777777" w:rsidR="00F67131" w:rsidRDefault="00000000">
            <w:pPr>
              <w:spacing w:before="40" w:after="40" w:line="240" w:lineRule="auto"/>
              <w:jc w:val="both"/>
            </w:pPr>
            <w:r>
              <w:rPr>
                <w:rFonts w:ascii="Times New Roman" w:hAnsi="Times New Roman"/>
                <w:b/>
                <w:color w:val="FFFFFF"/>
                <w:sz w:val="19"/>
              </w:rPr>
              <w:t>Khía cạnh học thuật</w:t>
            </w:r>
          </w:p>
        </w:tc>
        <w:tc>
          <w:tcPr>
            <w:tcW w:w="3456" w:type="dxa"/>
            <w:shd w:val="clear" w:color="auto" w:fill="1B365D"/>
            <w:tcMar>
              <w:top w:w="70" w:type="dxa"/>
              <w:left w:w="100" w:type="dxa"/>
              <w:bottom w:w="70" w:type="dxa"/>
              <w:right w:w="100" w:type="dxa"/>
            </w:tcMar>
          </w:tcPr>
          <w:p w14:paraId="403027A3" w14:textId="77777777" w:rsidR="00F67131" w:rsidRDefault="00000000">
            <w:pPr>
              <w:spacing w:before="40" w:after="40" w:line="240" w:lineRule="auto"/>
              <w:jc w:val="both"/>
            </w:pPr>
            <w:r>
              <w:rPr>
                <w:rFonts w:ascii="Times New Roman" w:hAnsi="Times New Roman"/>
                <w:b/>
                <w:color w:val="FFFFFF"/>
                <w:sz w:val="19"/>
              </w:rPr>
              <w:t>Agribank (Mô hình Phòng thủ Thể chế)</w:t>
            </w:r>
          </w:p>
        </w:tc>
        <w:tc>
          <w:tcPr>
            <w:tcW w:w="3456" w:type="dxa"/>
            <w:shd w:val="clear" w:color="auto" w:fill="1B365D"/>
            <w:tcMar>
              <w:top w:w="70" w:type="dxa"/>
              <w:left w:w="100" w:type="dxa"/>
              <w:bottom w:w="70" w:type="dxa"/>
              <w:right w:w="100" w:type="dxa"/>
            </w:tcMar>
          </w:tcPr>
          <w:p w14:paraId="126D68FE" w14:textId="77777777" w:rsidR="00F67131" w:rsidRDefault="00000000">
            <w:pPr>
              <w:spacing w:before="40" w:after="40" w:line="240" w:lineRule="auto"/>
              <w:jc w:val="both"/>
            </w:pPr>
            <w:r>
              <w:rPr>
                <w:rFonts w:ascii="Times New Roman" w:hAnsi="Times New Roman"/>
                <w:b/>
                <w:color w:val="FFFFFF"/>
                <w:sz w:val="19"/>
              </w:rPr>
              <w:t>MB (Mô hình Đổi mới Thị trường)</w:t>
            </w:r>
          </w:p>
        </w:tc>
      </w:tr>
      <w:tr w:rsidR="00F67131" w14:paraId="279F344A" w14:textId="77777777">
        <w:trPr>
          <w:jc w:val="center"/>
          <w:cantSplit/>
        </w:trPr>
        <w:tc>
          <w:tcPr>
            <w:tcW w:w="2880" w:type="dxa"/>
            <w:tcMar>
              <w:top w:w="70" w:type="dxa"/>
              <w:left w:w="100" w:type="dxa"/>
              <w:bottom w:w="70" w:type="dxa"/>
              <w:right w:w="100" w:type="dxa"/>
            </w:tcMar>
          </w:tcPr>
          <w:p w14:paraId="5A216318" w14:textId="77777777" w:rsidR="00F67131" w:rsidRDefault="00000000">
            <w:pPr>
              <w:spacing w:before="40" w:after="40" w:line="240" w:lineRule="auto"/>
              <w:jc w:val="both"/>
            </w:pPr>
            <w:r>
              <w:rPr>
                <w:rFonts w:ascii="Times New Roman" w:hAnsi="Times New Roman"/>
                <w:color w:val="262626"/>
                <w:sz w:val="18"/>
              </w:rPr>
              <w:t>1. Triết lý quản trị cốt lõi</w:t>
            </w:r>
          </w:p>
        </w:tc>
        <w:tc>
          <w:tcPr>
            <w:tcW w:w="3456" w:type="dxa"/>
            <w:tcMar>
              <w:top w:w="70" w:type="dxa"/>
              <w:left w:w="100" w:type="dxa"/>
              <w:bottom w:w="70" w:type="dxa"/>
              <w:right w:w="100" w:type="dxa"/>
            </w:tcMar>
          </w:tcPr>
          <w:p w14:paraId="4DE37D57" w14:textId="77777777" w:rsidR="00F67131" w:rsidRDefault="00000000">
            <w:pPr>
              <w:spacing w:before="40" w:after="40" w:line="240" w:lineRule="auto"/>
              <w:jc w:val="both"/>
            </w:pPr>
            <w:r>
              <w:rPr>
                <w:rFonts w:ascii="Times New Roman" w:hAnsi="Times New Roman"/>
                <w:color w:val="262626"/>
                <w:sz w:val="18"/>
              </w:rPr>
              <w:t>Bảo toàn vốn và tuân thủ; chấp nhận chi phí vận hành cao để duy trì mạng lưới.</w:t>
            </w:r>
          </w:p>
        </w:tc>
        <w:tc>
          <w:tcPr>
            <w:tcW w:w="3456" w:type="dxa"/>
            <w:tcMar>
              <w:top w:w="70" w:type="dxa"/>
              <w:left w:w="100" w:type="dxa"/>
              <w:bottom w:w="70" w:type="dxa"/>
              <w:right w:w="100" w:type="dxa"/>
            </w:tcMar>
          </w:tcPr>
          <w:p w14:paraId="2B4C427B" w14:textId="77777777" w:rsidR="00F67131" w:rsidRDefault="00000000">
            <w:pPr>
              <w:spacing w:before="40" w:after="40" w:line="240" w:lineRule="auto"/>
              <w:jc w:val="both"/>
            </w:pPr>
            <w:r>
              <w:rPr>
                <w:rFonts w:ascii="Times New Roman" w:hAnsi="Times New Roman"/>
                <w:color w:val="262626"/>
                <w:sz w:val="18"/>
              </w:rPr>
              <w:t>Tối đa hóa giá trị cổ đông (ROE); chấp nhận rủi ro tín dụng để đạt lợi nhuận biên.</w:t>
            </w:r>
          </w:p>
        </w:tc>
      </w:tr>
      <w:tr w:rsidR="00F67131" w14:paraId="457DB023" w14:textId="77777777">
        <w:trPr>
          <w:jc w:val="center"/>
          <w:cantSplit/>
        </w:trPr>
        <w:tc>
          <w:tcPr>
            <w:tcW w:w="2880" w:type="dxa"/>
            <w:tcMar>
              <w:top w:w="70" w:type="dxa"/>
              <w:left w:w="100" w:type="dxa"/>
              <w:bottom w:w="70" w:type="dxa"/>
              <w:right w:w="100" w:type="dxa"/>
            </w:tcMar>
          </w:tcPr>
          <w:p w14:paraId="21A5B8ED" w14:textId="77777777" w:rsidR="00F67131" w:rsidRDefault="00000000">
            <w:pPr>
              <w:spacing w:before="40" w:after="40" w:line="240" w:lineRule="auto"/>
              <w:jc w:val="both"/>
            </w:pPr>
            <w:r>
              <w:rPr>
                <w:rFonts w:ascii="Times New Roman" w:hAnsi="Times New Roman"/>
                <w:color w:val="262626"/>
                <w:sz w:val="18"/>
              </w:rPr>
              <w:t>2. Cấu trúc danh mục</w:t>
            </w:r>
          </w:p>
        </w:tc>
        <w:tc>
          <w:tcPr>
            <w:tcW w:w="3456" w:type="dxa"/>
            <w:tcMar>
              <w:top w:w="70" w:type="dxa"/>
              <w:left w:w="100" w:type="dxa"/>
              <w:bottom w:w="70" w:type="dxa"/>
              <w:right w:w="100" w:type="dxa"/>
            </w:tcMar>
          </w:tcPr>
          <w:p w14:paraId="6DB41EDB" w14:textId="77777777" w:rsidR="00F67131" w:rsidRDefault="00000000">
            <w:pPr>
              <w:spacing w:before="40" w:after="40" w:line="240" w:lineRule="auto"/>
              <w:jc w:val="both"/>
            </w:pPr>
            <w:r>
              <w:rPr>
                <w:rFonts w:ascii="Times New Roman" w:hAnsi="Times New Roman"/>
                <w:color w:val="262626"/>
                <w:sz w:val="18"/>
              </w:rPr>
              <w:t>Phân tán cao (Granular); 64% nông nghiệp; TSBĐ là đất đai tính thanh khoản chậm.</w:t>
            </w:r>
          </w:p>
        </w:tc>
        <w:tc>
          <w:tcPr>
            <w:tcW w:w="3456" w:type="dxa"/>
            <w:tcMar>
              <w:top w:w="70" w:type="dxa"/>
              <w:left w:w="100" w:type="dxa"/>
              <w:bottom w:w="70" w:type="dxa"/>
              <w:right w:w="100" w:type="dxa"/>
            </w:tcMar>
          </w:tcPr>
          <w:p w14:paraId="3210B1B1" w14:textId="77777777" w:rsidR="00F67131" w:rsidRDefault="00000000">
            <w:pPr>
              <w:spacing w:before="40" w:after="40" w:line="240" w:lineRule="auto"/>
              <w:jc w:val="both"/>
            </w:pPr>
            <w:r>
              <w:rPr>
                <w:rFonts w:ascii="Times New Roman" w:hAnsi="Times New Roman"/>
                <w:color w:val="262626"/>
                <w:sz w:val="18"/>
              </w:rPr>
              <w:t>Tập trung vào hệ sinh thái bán lẻ, chuỗi BĐS và TPDN; danh mục nhạy cảm vĩ mô.</w:t>
            </w:r>
          </w:p>
        </w:tc>
      </w:tr>
      <w:tr w:rsidR="00F67131" w14:paraId="0C39E2DB" w14:textId="77777777">
        <w:trPr>
          <w:jc w:val="center"/>
          <w:cantSplit/>
        </w:trPr>
        <w:tc>
          <w:tcPr>
            <w:tcW w:w="2880" w:type="dxa"/>
            <w:tcMar>
              <w:top w:w="70" w:type="dxa"/>
              <w:left w:w="100" w:type="dxa"/>
              <w:bottom w:w="70" w:type="dxa"/>
              <w:right w:w="100" w:type="dxa"/>
            </w:tcMar>
          </w:tcPr>
          <w:p w14:paraId="01DB0A95" w14:textId="77777777" w:rsidR="00F67131" w:rsidRDefault="00000000">
            <w:pPr>
              <w:spacing w:before="40" w:after="40" w:line="240" w:lineRule="auto"/>
              <w:jc w:val="both"/>
            </w:pPr>
            <w:r>
              <w:rPr>
                <w:rFonts w:ascii="Times New Roman" w:hAnsi="Times New Roman"/>
                <w:color w:val="262626"/>
                <w:sz w:val="18"/>
              </w:rPr>
              <w:t>3. Hành vi trích lập dự phòng</w:t>
            </w:r>
          </w:p>
        </w:tc>
        <w:tc>
          <w:tcPr>
            <w:tcW w:w="3456" w:type="dxa"/>
            <w:tcMar>
              <w:top w:w="70" w:type="dxa"/>
              <w:left w:w="100" w:type="dxa"/>
              <w:bottom w:w="70" w:type="dxa"/>
              <w:right w:w="100" w:type="dxa"/>
            </w:tcMar>
          </w:tcPr>
          <w:p w14:paraId="4B319DC4" w14:textId="77777777" w:rsidR="00F67131" w:rsidRDefault="00000000">
            <w:pPr>
              <w:spacing w:before="40" w:after="40" w:line="240" w:lineRule="auto"/>
              <w:jc w:val="both"/>
            </w:pPr>
            <w:r>
              <w:rPr>
                <w:rFonts w:ascii="Times New Roman" w:hAnsi="Times New Roman"/>
                <w:color w:val="262626"/>
                <w:sz w:val="18"/>
              </w:rPr>
              <w:t>Duy trì bộ đệm LLCR Hợp nhất vững chắc 113,6%–146,3%; xóa nợ 127.831 tỷ đồng lũy kế 6 năm và thu hồi nợ ngoại bảng tạo dòng tiền thật.</w:t>
            </w:r>
          </w:p>
        </w:tc>
        <w:tc>
          <w:tcPr>
            <w:tcW w:w="3456" w:type="dxa"/>
            <w:tcMar>
              <w:top w:w="70" w:type="dxa"/>
              <w:left w:w="100" w:type="dxa"/>
              <w:bottom w:w="70" w:type="dxa"/>
              <w:right w:w="100" w:type="dxa"/>
            </w:tcMar>
          </w:tcPr>
          <w:p w14:paraId="497E456A" w14:textId="77777777" w:rsidR="00F67131" w:rsidRDefault="00000000">
            <w:pPr>
              <w:spacing w:before="40" w:after="40" w:line="240" w:lineRule="auto"/>
              <w:jc w:val="both"/>
            </w:pPr>
            <w:r>
              <w:rPr>
                <w:rFonts w:ascii="Times New Roman" w:hAnsi="Times New Roman"/>
                <w:color w:val="262626"/>
                <w:sz w:val="18"/>
              </w:rPr>
              <w:t>Biến động mạnh theo chu kỳ: tích lũy dự phòng đỉnh 268,0% năm 2021 (Riêng lẻ 348,7%) rồi giảm trích lập năm 2023 và hạ LLCR về 92,2%–93,7% (2024–2025).</w:t>
            </w:r>
          </w:p>
        </w:tc>
      </w:tr>
      <w:tr w:rsidR="00F67131" w14:paraId="7B153642" w14:textId="77777777">
        <w:trPr>
          <w:jc w:val="center"/>
          <w:cantSplit/>
        </w:trPr>
        <w:tc>
          <w:tcPr>
            <w:tcW w:w="2880" w:type="dxa"/>
            <w:tcMar>
              <w:top w:w="70" w:type="dxa"/>
              <w:left w:w="100" w:type="dxa"/>
              <w:bottom w:w="70" w:type="dxa"/>
              <w:right w:w="100" w:type="dxa"/>
            </w:tcMar>
          </w:tcPr>
          <w:p w14:paraId="23C09BE4" w14:textId="77777777" w:rsidR="00F67131" w:rsidRDefault="00000000">
            <w:pPr>
              <w:spacing w:before="40" w:after="40" w:line="240" w:lineRule="auto"/>
              <w:jc w:val="both"/>
            </w:pPr>
            <w:r>
              <w:rPr>
                <w:rFonts w:ascii="Times New Roman" w:hAnsi="Times New Roman"/>
                <w:color w:val="262626"/>
                <w:sz w:val="18"/>
              </w:rPr>
              <w:t>4. Cơ chế hấp thụ cú sốc</w:t>
            </w:r>
          </w:p>
        </w:tc>
        <w:tc>
          <w:tcPr>
            <w:tcW w:w="3456" w:type="dxa"/>
            <w:tcMar>
              <w:top w:w="70" w:type="dxa"/>
              <w:left w:w="100" w:type="dxa"/>
              <w:bottom w:w="70" w:type="dxa"/>
              <w:right w:w="100" w:type="dxa"/>
            </w:tcMar>
          </w:tcPr>
          <w:p w14:paraId="2F293360" w14:textId="77777777" w:rsidR="00F67131" w:rsidRDefault="00000000">
            <w:pPr>
              <w:spacing w:before="40" w:after="40" w:line="240" w:lineRule="auto"/>
              <w:jc w:val="both"/>
            </w:pPr>
            <w:r>
              <w:rPr>
                <w:rFonts w:ascii="Times New Roman" w:hAnsi="Times New Roman"/>
                <w:color w:val="262626"/>
                <w:sz w:val="18"/>
              </w:rPr>
              <w:t>Danh mục phân tán giảm nguy cơ vỡ nợ diện rộng; CAR 9,20%–11,36% (TT 41, 2023–2025) phụ thuộc vốn cấp từ ngân sách.</w:t>
            </w:r>
          </w:p>
        </w:tc>
        <w:tc>
          <w:tcPr>
            <w:tcW w:w="3456" w:type="dxa"/>
            <w:tcMar>
              <w:top w:w="70" w:type="dxa"/>
              <w:left w:w="100" w:type="dxa"/>
              <w:bottom w:w="70" w:type="dxa"/>
              <w:right w:w="100" w:type="dxa"/>
            </w:tcMar>
          </w:tcPr>
          <w:p w14:paraId="5AA4B088" w14:textId="77777777" w:rsidR="00F67131" w:rsidRDefault="00000000">
            <w:pPr>
              <w:spacing w:before="40" w:after="40" w:line="240" w:lineRule="auto"/>
              <w:jc w:val="both"/>
            </w:pPr>
            <w:r>
              <w:rPr>
                <w:rFonts w:ascii="Times New Roman" w:hAnsi="Times New Roman"/>
                <w:color w:val="262626"/>
                <w:sz w:val="18"/>
              </w:rPr>
              <w:t>CAR 10,42%–11,80% (TT 41), tự bổ sung vốn từ lợi nhuận giữ lại; lợi nhuận giảm mạnh khi có cú sốc.</w:t>
            </w:r>
          </w:p>
        </w:tc>
      </w:tr>
      <w:tr w:rsidR="00F67131" w14:paraId="4D07EB36" w14:textId="77777777">
        <w:trPr>
          <w:jc w:val="center"/>
          <w:cantSplit/>
        </w:trPr>
        <w:tc>
          <w:tcPr>
            <w:tcW w:w="2880" w:type="dxa"/>
            <w:tcMar>
              <w:top w:w="70" w:type="dxa"/>
              <w:left w:w="100" w:type="dxa"/>
              <w:bottom w:w="70" w:type="dxa"/>
              <w:right w:w="100" w:type="dxa"/>
            </w:tcMar>
          </w:tcPr>
          <w:p w14:paraId="77CF6E8B" w14:textId="77777777" w:rsidR="00F67131" w:rsidRDefault="00000000">
            <w:pPr>
              <w:spacing w:before="40" w:after="40" w:line="240" w:lineRule="auto"/>
              <w:jc w:val="both"/>
            </w:pPr>
            <w:r>
              <w:rPr>
                <w:rFonts w:ascii="Times New Roman" w:hAnsi="Times New Roman"/>
                <w:color w:val="262626"/>
                <w:sz w:val="18"/>
              </w:rPr>
              <w:t>5. Độ nhạy trước IFRS 9</w:t>
            </w:r>
          </w:p>
        </w:tc>
        <w:tc>
          <w:tcPr>
            <w:tcW w:w="3456" w:type="dxa"/>
            <w:tcMar>
              <w:top w:w="70" w:type="dxa"/>
              <w:left w:w="100" w:type="dxa"/>
              <w:bottom w:w="70" w:type="dxa"/>
              <w:right w:w="100" w:type="dxa"/>
            </w:tcMar>
          </w:tcPr>
          <w:p w14:paraId="6BD0D257" w14:textId="77777777" w:rsidR="00F67131" w:rsidRDefault="00000000">
            <w:pPr>
              <w:spacing w:before="40" w:after="40" w:line="240" w:lineRule="auto"/>
              <w:jc w:val="both"/>
            </w:pPr>
            <w:r>
              <w:rPr>
                <w:rFonts w:ascii="Times New Roman" w:hAnsi="Times New Roman"/>
                <w:color w:val="262626"/>
                <w:sz w:val="18"/>
              </w:rPr>
              <w:t>Ít bị ảnh hưởng (thiếu hụt +9,8% tương đương +3.660 tỷ DP, CAR chỉ giảm 15 bps từ 10,22% về 10,07%) nhờ LLCR hiện hữu 146,3% và 88%–92% TSBĐ là bất động sản.</w:t>
            </w:r>
          </w:p>
        </w:tc>
        <w:tc>
          <w:tcPr>
            <w:tcW w:w="3456" w:type="dxa"/>
            <w:tcMar>
              <w:top w:w="70" w:type="dxa"/>
              <w:left w:w="100" w:type="dxa"/>
              <w:bottom w:w="70" w:type="dxa"/>
              <w:right w:w="100" w:type="dxa"/>
            </w:tcMar>
          </w:tcPr>
          <w:p w14:paraId="45223995" w14:textId="77777777" w:rsidR="00F67131" w:rsidRDefault="00000000">
            <w:pPr>
              <w:spacing w:before="40" w:after="40" w:line="240" w:lineRule="auto"/>
              <w:jc w:val="both"/>
            </w:pPr>
            <w:r>
              <w:rPr>
                <w:rFonts w:ascii="Times New Roman" w:hAnsi="Times New Roman"/>
                <w:color w:val="262626"/>
                <w:sz w:val="18"/>
              </w:rPr>
              <w:t>Chịu tác động lớn (thiếu hụt +106,5% tương đương +14.006 tỷ DP, CAR giảm 103 bps từ 11,00% về 9,97%) do LLCR hiện hữu 93,7%, danh mục tín chấp MCredit và TPDN.</w:t>
            </w:r>
          </w:p>
        </w:tc>
      </w:tr>
      <w:tr w:rsidR="00F67131" w14:paraId="2432EDC2" w14:textId="77777777">
        <w:trPr>
          <w:jc w:val="center"/>
          <w:cantSplit/>
        </w:trPr>
        <w:tc>
          <w:tcPr>
            <w:tcW w:w="2880" w:type="dxa"/>
            <w:tcMar>
              <w:top w:w="70" w:type="dxa"/>
              <w:left w:w="100" w:type="dxa"/>
              <w:bottom w:w="70" w:type="dxa"/>
              <w:right w:w="100" w:type="dxa"/>
            </w:tcMar>
          </w:tcPr>
          <w:p w14:paraId="43D7478A" w14:textId="77777777" w:rsidR="00F67131" w:rsidRDefault="00000000">
            <w:pPr>
              <w:spacing w:before="40" w:after="40" w:line="240" w:lineRule="auto"/>
              <w:jc w:val="both"/>
            </w:pPr>
            <w:r>
              <w:rPr>
                <w:rFonts w:ascii="Times New Roman" w:hAnsi="Times New Roman"/>
                <w:color w:val="262626"/>
                <w:sz w:val="18"/>
              </w:rPr>
              <w:t>6. Đánh đổi chiến lược (Trade-off)</w:t>
            </w:r>
          </w:p>
        </w:tc>
        <w:tc>
          <w:tcPr>
            <w:tcW w:w="3456" w:type="dxa"/>
            <w:tcMar>
              <w:top w:w="70" w:type="dxa"/>
              <w:left w:w="100" w:type="dxa"/>
              <w:bottom w:w="70" w:type="dxa"/>
              <w:right w:w="100" w:type="dxa"/>
            </w:tcMar>
          </w:tcPr>
          <w:p w14:paraId="34E05991" w14:textId="77777777" w:rsidR="00F67131" w:rsidRDefault="00000000">
            <w:pPr>
              <w:spacing w:before="40" w:after="40" w:line="240" w:lineRule="auto"/>
              <w:jc w:val="both"/>
            </w:pPr>
            <w:r>
              <w:rPr>
                <w:rFonts w:ascii="Times New Roman" w:hAnsi="Times New Roman"/>
                <w:color w:val="262626"/>
                <w:sz w:val="18"/>
              </w:rPr>
              <w:t>RORAC proxy thấp hơn (10,8%–16,7%) để đổi lấy danh mục phân tán và LLCR trên 110%.</w:t>
            </w:r>
          </w:p>
        </w:tc>
        <w:tc>
          <w:tcPr>
            <w:tcW w:w="3456" w:type="dxa"/>
            <w:tcMar>
              <w:top w:w="70" w:type="dxa"/>
              <w:left w:w="100" w:type="dxa"/>
              <w:bottom w:w="70" w:type="dxa"/>
              <w:right w:w="100" w:type="dxa"/>
            </w:tcMar>
          </w:tcPr>
          <w:p w14:paraId="1DD8E0C0" w14:textId="77777777" w:rsidR="00F67131" w:rsidRDefault="00000000">
            <w:pPr>
              <w:spacing w:before="40" w:after="40" w:line="240" w:lineRule="auto"/>
              <w:jc w:val="both"/>
            </w:pPr>
            <w:r>
              <w:rPr>
                <w:rFonts w:ascii="Times New Roman" w:hAnsi="Times New Roman"/>
                <w:color w:val="262626"/>
                <w:sz w:val="18"/>
              </w:rPr>
              <w:t>RORAC proxy cao hơn (31,6%–49,3%) nhưng LLCR hợp nhất giảm xuống dưới 100% trong 2024–2025.</w:t>
            </w:r>
          </w:p>
        </w:tc>
      </w:tr>
      <w:tr w:rsidR="00F67131" w14:paraId="6FA48027" w14:textId="77777777">
        <w:trPr>
          <w:jc w:val="center"/>
          <w:cantSplit/>
        </w:trPr>
        <w:tc>
          <w:tcPr>
            <w:tcW w:w="2880" w:type="dxa"/>
            <w:tcMar>
              <w:top w:w="70" w:type="dxa"/>
              <w:left w:w="100" w:type="dxa"/>
              <w:bottom w:w="70" w:type="dxa"/>
              <w:right w:w="100" w:type="dxa"/>
            </w:tcMar>
          </w:tcPr>
          <w:p w14:paraId="50D7F44E" w14:textId="77777777" w:rsidR="00F67131" w:rsidRDefault="00000000">
            <w:pPr>
              <w:spacing w:before="40" w:after="40" w:line="240" w:lineRule="auto"/>
              <w:jc w:val="both"/>
            </w:pPr>
            <w:r>
              <w:rPr>
                <w:rFonts w:ascii="Times New Roman" w:hAnsi="Times New Roman"/>
                <w:color w:val="262626"/>
                <w:sz w:val="18"/>
              </w:rPr>
              <w:t>7. Rủi ro mô hình lớn nhất</w:t>
            </w:r>
          </w:p>
        </w:tc>
        <w:tc>
          <w:tcPr>
            <w:tcW w:w="3456" w:type="dxa"/>
            <w:tcMar>
              <w:top w:w="70" w:type="dxa"/>
              <w:left w:w="100" w:type="dxa"/>
              <w:bottom w:w="70" w:type="dxa"/>
              <w:right w:w="100" w:type="dxa"/>
            </w:tcMar>
          </w:tcPr>
          <w:p w14:paraId="07C44375" w14:textId="77777777" w:rsidR="00F67131" w:rsidRDefault="00000000">
            <w:pPr>
              <w:spacing w:before="40" w:after="40" w:line="240" w:lineRule="auto"/>
              <w:jc w:val="both"/>
            </w:pPr>
            <w:r>
              <w:rPr>
                <w:rFonts w:ascii="Times New Roman" w:hAnsi="Times New Roman"/>
                <w:color w:val="262626"/>
                <w:sz w:val="18"/>
              </w:rPr>
              <w:t>Rủi ro thanh khoản tài sản bảo đảm và rủi ro chậm trễ công nghệ số hóa.</w:t>
            </w:r>
          </w:p>
        </w:tc>
        <w:tc>
          <w:tcPr>
            <w:tcW w:w="3456" w:type="dxa"/>
            <w:tcMar>
              <w:top w:w="70" w:type="dxa"/>
              <w:left w:w="100" w:type="dxa"/>
              <w:bottom w:w="70" w:type="dxa"/>
              <w:right w:w="100" w:type="dxa"/>
            </w:tcMar>
          </w:tcPr>
          <w:p w14:paraId="0F5CA14B" w14:textId="77777777" w:rsidR="00F67131" w:rsidRDefault="00000000">
            <w:pPr>
              <w:spacing w:before="40" w:after="40" w:line="240" w:lineRule="auto"/>
              <w:jc w:val="both"/>
            </w:pPr>
            <w:r>
              <w:rPr>
                <w:rFonts w:ascii="Times New Roman" w:hAnsi="Times New Roman"/>
                <w:color w:val="262626"/>
                <w:sz w:val="18"/>
              </w:rPr>
              <w:t>Rủi ro tập trung ngành chu kỳ và rủi ro vỡ nợ dây chuyền tại các công ty con.</w:t>
            </w:r>
          </w:p>
        </w:tc>
      </w:tr>
    </w:tbl>
    <w:p w14:paraId="14D54411"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kết quả nghiên cứu thực chứng và mô hình hóa định lượng giai đoạn 2020–2025 của nhóm tác giả.</w:t>
      </w:r>
    </w:p>
    <w:p w14:paraId="54A1093B" w14:textId="77777777" w:rsidR="00F67131" w:rsidRDefault="00000000">
      <w:pPr>
        <w:pStyle w:val="Heading2"/>
        <w:spacing w:after="80" w:line="300" w:lineRule="auto"/>
        <w:jc w:val="both"/>
      </w:pPr>
      <w:bookmarkStart w:id="25" w:name="_Toc244090125"/>
      <w:r>
        <w:rPr>
          <w:rFonts w:ascii="Times New Roman" w:hAnsi="Times New Roman"/>
          <w:color w:val="0F4C81"/>
          <w:sz w:val="24"/>
        </w:rPr>
        <w:lastRenderedPageBreak/>
        <w:t>6.1. Đánh giá tổng hợp công tác quản trị rủi ro tín dụng tại Agribank (2020–2025)</w:t>
      </w:r>
      <w:bookmarkEnd w:id="25"/>
    </w:p>
    <w:p w14:paraId="40EBFA18" w14:textId="77777777" w:rsidR="00F67131" w:rsidRDefault="00000000">
      <w:pPr>
        <w:spacing w:after="80" w:line="300" w:lineRule="auto"/>
        <w:jc w:val="both"/>
      </w:pPr>
      <w:r>
        <w:rPr>
          <w:rFonts w:ascii="Times New Roman" w:hAnsi="Times New Roman"/>
          <w:sz w:val="24"/>
        </w:rPr>
        <w:t xml:space="preserve">  • Kết quả đạt được: (1) Kiểm soát tỷ lệ nợ xấu nội bảng giảm thực chất về cuối chu kỳ: tính trên cùng cơ sở dư nợ cho vay hợp nhất, NPL của Agribank giảm từ 1,85% (2023) xuống 1,68% (2024) và 1,30% (2025 – tương ứng 1,17% theo chuẩn TT31 tại BCTN); nợ nhóm 2 giảm mạnh từ đỉnh 35.280 tỷ đồng năm 2022 (2,44% dư nợ) về 21.282 tỷ đồng năm 2025 (1,08%), đưa Tỷ lệ nợ có vấn đề (Nhóm 2–5) về mức thấp nhất 6 năm là 2,37%; (2) Xây dựng bộ đệm dự phòng vững chắc và nhất quán: Agribank duy trì tỷ lệ bao phủ nợ xấu (LLCR) hợp nhất luôn trên 113% suốt 6 năm và đạt đỉnh 146,3% năm 2025 (37.465 tỷ dự phòng / 25.610 tỷ nợ xấu), giúp ngân hàng chỉ thiếu hụt +9,8% dự phòng (+3.660 tỷ đồng) khi mô phỏng theo chuẩn IFRS 9; (3) Năng lực thu hồi nợ ngoại bảng tạo dòng tiền thực lớn: lũy kế 2020–2025, Agribank thu hồi được 59.453 tỷ đồng từ các khoản nợ đã xử lý rủi ro trên BCTC hợp nhất (riêng năm 2025 đạt 12.123 tỷ đồng trên BCTC và 16.305 tỷ đồng nếu tính cả thu từ xử lý tài sản tại BCTN).</w:t>
      </w:r>
      <w:r w:rsidR="004B291A">
        <w:rPr>
          <w:rFonts w:ascii="Times New Roman" w:hAnsi="Times New Roman"/>
          <w:sz w:val="24"/>
        </w:rPr>
        <w:tab/>
      </w:r>
      <w:r>
        <w:rPr>
          <w:rFonts w:ascii="Times New Roman" w:hAnsi="Times New Roman"/>
          <w:sz w:val="24"/>
        </w:rPr>
        <w:br/>
        <w:t xml:space="preserve">  • Hạn chế tồn tại: (1) Tỷ trọng nợ nhóm 5 (nợ có khả năng mất vốn) quá cao và kéo dài: nợ nhóm 5 luôn chiếm từ 67,0% đến 79,0% tổng nợ xấu nội bảng (năm 2025: 20.220 / 25.610 tỷ đồng), phản ánh tốc độ giải phóng nợ xấu qua phát mại tài sản rất chậm; (2) Gánh nặng chi phí dự phòng bào mòn hiệu quả sinh lời: chi phí dự phòng chiếm tới 42,8%–59,1% lợi nhuận thuần trước dự phòng (PPOP), khiến tỷ suất lợi nhuận trên vốn rủi ro ước tính (RORAC proxy) chỉ đạt 10,8%–16,7% (thấp hơn 15,8–33,8 điểm % so với MB); (3) Bộ đệm an toàn vốn (CAR) mỏng và nhạy cảm cao trước cú sốc: CAR theo Thông tư 41 của Agribank chỉ đạt 9,20%–11,36% (năm 2025: 10,22%) và giảm xuống 8,67% trong kịch bản Stress Test cực </w:t>
      </w:r>
      <w:proofErr w:type="spellStart"/>
      <w:r>
        <w:rPr>
          <w:rFonts w:ascii="Times New Roman" w:hAnsi="Times New Roman"/>
          <w:sz w:val="24"/>
        </w:rPr>
        <w:t>đoan</w:t>
      </w:r>
      <w:proofErr w:type="spellEnd"/>
      <w:r>
        <w:rPr>
          <w:rFonts w:ascii="Times New Roman" w:hAnsi="Times New Roman"/>
          <w:sz w:val="24"/>
        </w:rPr>
        <w:t xml:space="preserve"> 2026.</w:t>
      </w:r>
      <w:r w:rsidR="004B291A">
        <w:rPr>
          <w:rFonts w:ascii="Times New Roman" w:hAnsi="Times New Roman"/>
          <w:sz w:val="24"/>
        </w:rPr>
        <w:tab/>
      </w:r>
      <w:r>
        <w:rPr>
          <w:rFonts w:ascii="Times New Roman" w:hAnsi="Times New Roman"/>
          <w:sz w:val="24"/>
        </w:rPr>
        <w:br/>
        <w:t xml:space="preserve">  • Nguyên nhân (Khách quan &amp; Chủ quan): Về khách quan, Agribank thực hiện sứ mệnh chính trị tài trợ 'Tam nông' (chiếm 61,7%–70% dư nợ), thường xuyên đối mặt với rủi ro thiên tai, dịch bệnh (như bão Yagi 2024); 88,3%–91,7% tài sản bảo đảm là đất nông nghiệp, đất ở nông thôn có thanh khoản thấp, lại bị vướng khoảng trống pháp lý khi Nghị quyết 42 hết hiệu lực (01/01/2024–14/10/2025); đồng thời cơ chế tăng vốn điều lệ phụ thuộc vào quy trình phê duyệt ngân sách Nhà nước. Về chủ quan, mạng lưới hơn 2.200 chi nhánh/PGD phân tán rộng làm tăng chi phí vận hành, tốc độ chuyển đổi số và tự động hóa chấm điểm tín dụng theo chuẩn Basel II IRB còn chậm hơn khối NHTMCP.</w:t>
      </w:r>
    </w:p>
    <w:p w14:paraId="37E64682" w14:textId="77777777" w:rsidR="00F67131" w:rsidRDefault="00000000">
      <w:pPr>
        <w:pStyle w:val="Heading2"/>
        <w:spacing w:after="80" w:line="300" w:lineRule="auto"/>
        <w:jc w:val="both"/>
      </w:pPr>
      <w:bookmarkStart w:id="26" w:name="_Toc244090126"/>
      <w:r>
        <w:rPr>
          <w:rFonts w:ascii="Times New Roman" w:hAnsi="Times New Roman"/>
          <w:color w:val="0F4C81"/>
          <w:sz w:val="24"/>
        </w:rPr>
        <w:t>6.2. Đánh giá tổng hợp công tác quản trị rủi ro tín dụng tại MB (2020–2025)</w:t>
      </w:r>
      <w:bookmarkEnd w:id="26"/>
    </w:p>
    <w:p w14:paraId="182BB043" w14:textId="77777777" w:rsidR="00F67131" w:rsidRDefault="00000000">
      <w:pPr>
        <w:spacing w:after="80" w:line="300" w:lineRule="auto"/>
        <w:jc w:val="both"/>
      </w:pPr>
      <w:r>
        <w:rPr>
          <w:rFonts w:ascii="Times New Roman" w:hAnsi="Times New Roman"/>
          <w:sz w:val="24"/>
        </w:rPr>
        <w:t xml:space="preserve">  • Kết quả đạt được: (1) Đạt hiệu quả sinh lời điều chỉnh theo rủi ro (RORAC proxy) và khả năng tự tích lũy vốn vượt trội: RORAC proxy của MB đạt 31,6%–49,3% trong suốt giai đoạn 2020–2025, giúp ngân hàng tự bổ sung vốn tự có từ lợi nhuận giữ lại và duy trì hệ số CAR hợp nhất theo Thông tư 41 ổn định ở mức 10,42%–11,80% (ngay cả trong kịch bản Stress Test cực đoan 2026, CAR vẫn đạt 9,73%); (2) Tiên phong hiện đại hóa hạ tầng quản trị rủi ro </w:t>
      </w:r>
      <w:r>
        <w:rPr>
          <w:rFonts w:ascii="Times New Roman" w:hAnsi="Times New Roman"/>
          <w:sz w:val="24"/>
        </w:rPr>
        <w:lastRenderedPageBreak/>
        <w:t>tập trung: MB vận hành thành công mô hình 3 tuyến phòng vệ độc lập, tách bạch hoàn toàn bộ phận kinh doanh (RM) và phê duyệt tập trung (Hub/Hội sở), ứng dụng nền tảng OFSAA/ICAAP và chấm điểm tín dụng tự động; (3) Năng lực điều chỉnh danh mục linh hoạt sau cú sốc: MB đã chủ động cắt giảm 50,1% quy mô trái phiếu doanh nghiệp TCKT từ đỉnh 46.870 tỷ đồng (2022) về 23.410 tỷ đồng (2025) và giữ NPL riêng lẻ ngân hàng mẹ ở mức thấp (0,68%–1,43%, năm 2025 là 1,12%).</w:t>
      </w:r>
      <w:r w:rsidR="004B291A">
        <w:rPr>
          <w:rFonts w:ascii="Times New Roman" w:hAnsi="Times New Roman"/>
          <w:sz w:val="24"/>
        </w:rPr>
        <w:tab/>
      </w:r>
      <w:r>
        <w:rPr>
          <w:rFonts w:ascii="Times New Roman" w:hAnsi="Times New Roman"/>
          <w:sz w:val="24"/>
        </w:rPr>
        <w:br/>
        <w:t xml:space="preserve">  • Hạn chế tồn tại: (1) Chất lượng tài sản biến động mạnh theo chu kỳ vĩ mô và phụ thuộc vào hiệu ứng mẫu số: năm 2023, nợ xấu hợp nhất tăng 94,9% và nợ nhóm 2 tăng 78,2% (đẩy Tỷ lệ nợ có vấn đề lên 3,88%); năm 2025, dù NPL giảm về 1,29% nhờ dư nợ tăng 39,6%, nợ xấu tuyệt đối vẫn tăng 11,5% lên 14.027 tỷ đồng; (2) Sự suy giảm mạnh của bộ đệm bao phủ nợ xấu (LLCR): LLCR hợp nhất của MB giảm từ mức đỉnh 268,0% (2021) và 238,0% (2022) xuống dưới 100% trong hai năm 2024–2025 (92,2% và 93,7%), khiến MB đối mặt với khoảng cách thiếu hụt dự phòng lớn (+14.006 tỷ đồng, tương đương +106,5%) khi mô phỏng theo chuẩn IFRS 9; (3) Rủi ro cao tại phân khúc tài chính tiêu dùng công ty con (MCredit): khối công ty con có tỷ lệ NPL lên tới 6,2%–8,5% (2.509 tỷ đồng nợ xấu cuối năm 2025) và phải xóa nợ tới 4.362 </w:t>
      </w:r>
      <w:proofErr w:type="spellStart"/>
      <w:r>
        <w:rPr>
          <w:rFonts w:ascii="Times New Roman" w:hAnsi="Times New Roman"/>
          <w:sz w:val="24"/>
        </w:rPr>
        <w:t>tỷ</w:t>
      </w:r>
      <w:proofErr w:type="spellEnd"/>
      <w:r>
        <w:rPr>
          <w:rFonts w:ascii="Times New Roman" w:hAnsi="Times New Roman"/>
          <w:sz w:val="24"/>
        </w:rPr>
        <w:t xml:space="preserve"> </w:t>
      </w:r>
      <w:proofErr w:type="spellStart"/>
      <w:r>
        <w:rPr>
          <w:rFonts w:ascii="Times New Roman" w:hAnsi="Times New Roman"/>
          <w:sz w:val="24"/>
        </w:rPr>
        <w:t>đồng</w:t>
      </w:r>
      <w:proofErr w:type="spellEnd"/>
      <w:r>
        <w:rPr>
          <w:rFonts w:ascii="Times New Roman" w:hAnsi="Times New Roman"/>
          <w:sz w:val="24"/>
        </w:rPr>
        <w:t xml:space="preserve"> trong năm 2025.</w:t>
      </w:r>
      <w:r w:rsidR="004B291A">
        <w:rPr>
          <w:rFonts w:ascii="Times New Roman" w:hAnsi="Times New Roman"/>
          <w:sz w:val="24"/>
        </w:rPr>
        <w:tab/>
      </w:r>
      <w:r>
        <w:rPr>
          <w:rFonts w:ascii="Times New Roman" w:hAnsi="Times New Roman"/>
          <w:sz w:val="24"/>
        </w:rPr>
        <w:br/>
        <w:t xml:space="preserve">  • Nguyên nhân (Khách quan &amp; Chủ quan): Về khách quan, cú sốc đóng băng thị trường TPDN và bất động sản giai đoạn 2022–2023 cùng quy định phân loại nợ liên đới qua CIC (Thông tư 11/2021) và sự suy giảm thu nhập của nhóm khách hàng vay tiêu dùng sau dịch Covid-19 đã tác động trực diện vào các phân khúc trọng tâm của MB. Về chủ quan, khẩu vị rủi ro theo đuổi mục tiêu tăng trưởng tín dụng cao (CAGR 29,4%/năm) và tối đa hóa ROE đã thúc đẩy MB mở rộng tỷ trọng cho vay BĐS &amp; Xây dựng (tăng từ 9,2% năm 2020 lên 15,4% năm 2025), đầu tư TPDN giai đoạn 2020–2022 và đẩy mạnh cho vay tín chấp tại MCredit, đồng thời mức trích lập dự phòng giai đoạn 2023–2025 không theo kịp tốc độ tăng nợ xấu, khiến LLCR hợp nhất giảm xuống dưới 100%.</w:t>
      </w:r>
    </w:p>
    <w:p w14:paraId="5F15B54F" w14:textId="77777777" w:rsidR="00F67131" w:rsidRDefault="00000000">
      <w:pPr>
        <w:pStyle w:val="Heading1"/>
        <w:keepNext/>
        <w:pageBreakBefore/>
        <w:spacing w:before="280" w:after="120" w:line="300" w:lineRule="auto"/>
      </w:pPr>
      <w:bookmarkStart w:id="27" w:name="_Toc244090127"/>
      <w:r>
        <w:rPr>
          <w:rFonts w:ascii="Times New Roman" w:hAnsi="Times New Roman"/>
          <w:b/>
          <w:i w:val="0"/>
          <w:color w:val="002060"/>
          <w:sz w:val="27"/>
        </w:rPr>
        <w:t>CHƯƠNG 7. HỆ THỐNG KIẾN NGHỊ VÀ HÀM Ý CHÍNH SÁCH QUẢN TRỊ NÂNG CAO</w:t>
      </w:r>
      <w:bookmarkEnd w:id="27"/>
    </w:p>
    <w:p w14:paraId="5ED96FAA" w14:textId="77777777" w:rsidR="00F67131" w:rsidRDefault="00000000">
      <w:pPr>
        <w:pStyle w:val="Heading2"/>
        <w:spacing w:after="80" w:line="300" w:lineRule="auto"/>
      </w:pPr>
      <w:bookmarkStart w:id="28" w:name="_Toc244090128"/>
      <w:r>
        <w:rPr>
          <w:rFonts w:ascii="Times New Roman" w:hAnsi="Times New Roman"/>
          <w:color w:val="0F4C81"/>
          <w:sz w:val="24"/>
        </w:rPr>
        <w:t>7.1. Đối với Ngân hàng Nhà nước</w:t>
      </w:r>
      <w:bookmarkEnd w:id="28"/>
    </w:p>
    <w:p w14:paraId="569DB009" w14:textId="77777777" w:rsidR="00F67131" w:rsidRDefault="00000000">
      <w:pPr>
        <w:spacing w:after="80" w:line="300" w:lineRule="auto"/>
        <w:jc w:val="both"/>
      </w:pPr>
      <w:r>
        <w:rPr>
          <w:rFonts w:ascii="Times New Roman" w:hAnsi="Times New Roman"/>
        </w:rPr>
        <w:t>1. Ban hành Lộ trình Bắt buộc áp dụng Chuẩn mực IFRS 9: NHNN và Bộ Tài chính cần ban hành thông tư hướng dẫn triển khai chuẩn mực IFRS 9 (mô hình tổn thất tín dụng kỳ vọng ECL) theo lộ trình phân tầng đối với các NHTM quy mô lớn, khắc phục độ trễ ghi nhận rủi ro tại Stage 2 của mô hình tổn thất đã phát sinh hiện hành.</w:t>
      </w:r>
      <w:r w:rsidR="004B291A">
        <w:rPr>
          <w:rFonts w:ascii="Times New Roman" w:hAnsi="Times New Roman"/>
        </w:rPr>
        <w:tab/>
      </w:r>
      <w:r>
        <w:rPr>
          <w:rFonts w:ascii="Times New Roman" w:hAnsi="Times New Roman"/>
        </w:rPr>
        <w:br/>
        <w:t xml:space="preserve">2. Hướng dẫn thực thi hiệu quả Luật số 96/2025/QH15 về thu giữ và xử lý tài sản bảo đảm: Sau khi Luật số 96/2025/QH15 (có hiệu lực từ 15/10/2025) chính thức luật hóa quyền thu giữ tài sản bảo đảm (Điều 198a) và cơ chế hoàn trả TSBĐ là vật chứng (Điều 198b, 198c), Chính phủ và NHNN cần sớm ban hành quy chế phối hợp liên ngành với Bộ Công an, Tòa án và Cơ quan Thi hành án địa phương để </w:t>
      </w:r>
      <w:r>
        <w:rPr>
          <w:rFonts w:ascii="Times New Roman" w:hAnsi="Times New Roman"/>
        </w:rPr>
        <w:lastRenderedPageBreak/>
        <w:t xml:space="preserve">tháo gỡ triệt để khối nợ nhóm 5 tồn đọng (như 20.220 tỷ đồng nợ nhóm 5 và 278.372 </w:t>
      </w:r>
      <w:proofErr w:type="spellStart"/>
      <w:r>
        <w:rPr>
          <w:rFonts w:ascii="Times New Roman" w:hAnsi="Times New Roman"/>
        </w:rPr>
        <w:t>tỷ</w:t>
      </w:r>
      <w:proofErr w:type="spellEnd"/>
      <w:r>
        <w:rPr>
          <w:rFonts w:ascii="Times New Roman" w:hAnsi="Times New Roman"/>
        </w:rPr>
        <w:t xml:space="preserve"> </w:t>
      </w:r>
      <w:proofErr w:type="spellStart"/>
      <w:r>
        <w:rPr>
          <w:rFonts w:ascii="Times New Roman" w:hAnsi="Times New Roman"/>
        </w:rPr>
        <w:t>đồng</w:t>
      </w:r>
      <w:proofErr w:type="spellEnd"/>
      <w:r>
        <w:rPr>
          <w:rFonts w:ascii="Times New Roman" w:hAnsi="Times New Roman"/>
        </w:rPr>
        <w:t xml:space="preserve"> </w:t>
      </w:r>
      <w:proofErr w:type="spellStart"/>
      <w:r>
        <w:rPr>
          <w:rFonts w:ascii="Times New Roman" w:hAnsi="Times New Roman"/>
        </w:rPr>
        <w:t>nợ</w:t>
      </w:r>
      <w:proofErr w:type="spellEnd"/>
      <w:r>
        <w:rPr>
          <w:rFonts w:ascii="Times New Roman" w:hAnsi="Times New Roman"/>
        </w:rPr>
        <w:t xml:space="preserve"> </w:t>
      </w:r>
      <w:proofErr w:type="spellStart"/>
      <w:r>
        <w:rPr>
          <w:rFonts w:ascii="Times New Roman" w:hAnsi="Times New Roman"/>
        </w:rPr>
        <w:t>ngoại</w:t>
      </w:r>
      <w:proofErr w:type="spellEnd"/>
      <w:r>
        <w:rPr>
          <w:rFonts w:ascii="Times New Roman" w:hAnsi="Times New Roman"/>
        </w:rPr>
        <w:t xml:space="preserve"> bảng tại Agribank).</w:t>
      </w:r>
      <w:r w:rsidR="004B291A">
        <w:rPr>
          <w:rFonts w:ascii="Times New Roman" w:hAnsi="Times New Roman"/>
        </w:rPr>
        <w:tab/>
      </w:r>
      <w:r>
        <w:rPr>
          <w:rFonts w:ascii="Times New Roman" w:hAnsi="Times New Roman"/>
        </w:rPr>
        <w:br/>
        <w:t>3. Giám sát Rủi ro Tập trung Đa chiều và Lộ trình giảm giới hạn cấp tín dụng theo Luật Các TCTD 2024: Giám sát chặt chẽ lộ trình giảm giới hạn cấp tín dụng theo Điều 136 và Điều 210 Luật Các TCTD 2024 (từ 14%/23% vốn tự có năm 2024–2025 về 10%/15% năm 2029), đồng thời tính gộp cả dư nợ cho vay, đầu tư trái phiếu doanh nghiệp (TPDN) và cam kết ngoại bảng vào tổng mức phơi nhiễm rủi ro của một nhóm khách hàng liên quan.</w:t>
      </w:r>
    </w:p>
    <w:p w14:paraId="7A773CF5" w14:textId="77777777" w:rsidR="00F67131" w:rsidRDefault="00000000">
      <w:pPr>
        <w:pStyle w:val="Heading2"/>
        <w:spacing w:after="80" w:line="300" w:lineRule="auto"/>
      </w:pPr>
      <w:bookmarkStart w:id="29" w:name="_Toc244090129"/>
      <w:r>
        <w:rPr>
          <w:rFonts w:ascii="Times New Roman" w:hAnsi="Times New Roman"/>
          <w:color w:val="0F4C81"/>
          <w:sz w:val="24"/>
        </w:rPr>
        <w:t>7.2. Đối với Agribank</w:t>
      </w:r>
      <w:bookmarkEnd w:id="29"/>
    </w:p>
    <w:p w14:paraId="4B6A6E3A" w14:textId="77777777" w:rsidR="00F67131" w:rsidRDefault="00000000">
      <w:pPr>
        <w:spacing w:after="80" w:line="300" w:lineRule="auto"/>
        <w:jc w:val="both"/>
      </w:pPr>
      <w:r>
        <w:rPr>
          <w:rFonts w:ascii="Times New Roman" w:hAnsi="Times New Roman"/>
          <w:color w:val="262626"/>
        </w:rPr>
        <w:t>1. Xây dựng Hệ thống Cảnh báo sớm (Early Warning System - EWS) bằng Trí tuệ Nhân tạo: Ứng dụng Machine Learning trên dữ liệu lớn dòng tiền chu kỳ nông nghiệp để phát hiện sớm dấu hiệu suy giảm khả năng trả nợ trước khi chuyển nhóm 2.</w:t>
      </w:r>
      <w:r w:rsidR="004B291A">
        <w:rPr>
          <w:rFonts w:ascii="Times New Roman" w:hAnsi="Times New Roman"/>
          <w:color w:val="262626"/>
        </w:rPr>
        <w:tab/>
      </w:r>
      <w:r>
        <w:rPr>
          <w:rFonts w:ascii="Times New Roman" w:hAnsi="Times New Roman"/>
          <w:color w:val="262626"/>
        </w:rPr>
        <w:br/>
        <w:t xml:space="preserve">2. Kiểm tra Sức chịu đựng Rủi ro Khí hậu và Thiên tai (Climate Stress Testing): Tích hợp kịch bản biến đổi khí hậu (hạn hán, xâm nhập mặn, bão lũ) vào mô hình định giá tín dụng </w:t>
      </w:r>
      <w:proofErr w:type="spellStart"/>
      <w:r>
        <w:rPr>
          <w:rFonts w:ascii="Times New Roman" w:hAnsi="Times New Roman"/>
          <w:color w:val="262626"/>
        </w:rPr>
        <w:t>nông</w:t>
      </w:r>
      <w:proofErr w:type="spellEnd"/>
      <w:r>
        <w:rPr>
          <w:rFonts w:ascii="Times New Roman" w:hAnsi="Times New Roman"/>
          <w:color w:val="262626"/>
        </w:rPr>
        <w:t xml:space="preserve"> nghiệp </w:t>
      </w:r>
      <w:proofErr w:type="spellStart"/>
      <w:r>
        <w:rPr>
          <w:rFonts w:ascii="Times New Roman" w:hAnsi="Times New Roman"/>
          <w:color w:val="262626"/>
        </w:rPr>
        <w:t>theo</w:t>
      </w:r>
      <w:proofErr w:type="spellEnd"/>
      <w:r>
        <w:rPr>
          <w:rFonts w:ascii="Times New Roman" w:hAnsi="Times New Roman"/>
          <w:color w:val="262626"/>
        </w:rPr>
        <w:t xml:space="preserve"> </w:t>
      </w:r>
      <w:proofErr w:type="spellStart"/>
      <w:r>
        <w:rPr>
          <w:rFonts w:ascii="Times New Roman" w:hAnsi="Times New Roman"/>
          <w:color w:val="262626"/>
        </w:rPr>
        <w:t>tiêu</w:t>
      </w:r>
      <w:proofErr w:type="spellEnd"/>
      <w:r>
        <w:rPr>
          <w:rFonts w:ascii="Times New Roman" w:hAnsi="Times New Roman"/>
          <w:color w:val="262626"/>
        </w:rPr>
        <w:t xml:space="preserve"> </w:t>
      </w:r>
      <w:proofErr w:type="spellStart"/>
      <w:r>
        <w:rPr>
          <w:rFonts w:ascii="Times New Roman" w:hAnsi="Times New Roman"/>
          <w:color w:val="262626"/>
        </w:rPr>
        <w:t>chuẩn</w:t>
      </w:r>
      <w:proofErr w:type="spellEnd"/>
      <w:r>
        <w:rPr>
          <w:rFonts w:ascii="Times New Roman" w:hAnsi="Times New Roman"/>
          <w:color w:val="262626"/>
        </w:rPr>
        <w:t xml:space="preserve"> ESG.</w:t>
      </w:r>
      <w:r w:rsidR="004B291A">
        <w:rPr>
          <w:rFonts w:ascii="Times New Roman" w:hAnsi="Times New Roman"/>
          <w:color w:val="262626"/>
        </w:rPr>
        <w:tab/>
      </w:r>
      <w:r>
        <w:rPr>
          <w:rFonts w:ascii="Times New Roman" w:hAnsi="Times New Roman"/>
          <w:color w:val="262626"/>
        </w:rPr>
        <w:br/>
        <w:t>3. Đẩy mạnh Áp dụng Phương pháp Xếp hạng Nội bộ (Basel II FIRB/AIRB): Từng bước chuyển đổi từ phương pháp chuẩn hóa sang IRB nhằm tối ưu hóa trọng số rủi ro RWA cho danh mục nông nghiệp phân tán, giải tỏa áp lực tiêu hao vốn tự có.</w:t>
      </w:r>
      <w:r w:rsidR="004B291A">
        <w:rPr>
          <w:rFonts w:ascii="Times New Roman" w:hAnsi="Times New Roman"/>
          <w:color w:val="262626"/>
        </w:rPr>
        <w:tab/>
      </w:r>
      <w:r>
        <w:rPr>
          <w:rFonts w:ascii="Times New Roman" w:hAnsi="Times New Roman"/>
          <w:color w:val="262626"/>
        </w:rPr>
        <w:br/>
        <w:t>4. Thành lập Trung tâm Khai thác và Bán đấu giá Tài sản Chuyên biệt: Số hóa toàn bộ danh mục tài sản bảo đảm là đất nông nghiệp, liên kết với các sàn giao dịch bất động sản để rút ngắn thời gian phát mại nợ nhóm 5.</w:t>
      </w:r>
    </w:p>
    <w:p w14:paraId="4D137E36" w14:textId="77777777" w:rsidR="00F67131" w:rsidRDefault="00000000">
      <w:pPr>
        <w:pStyle w:val="Heading2"/>
        <w:spacing w:after="80" w:line="300" w:lineRule="auto"/>
      </w:pPr>
      <w:bookmarkStart w:id="30" w:name="_Toc244090130"/>
      <w:r>
        <w:rPr>
          <w:rFonts w:ascii="Times New Roman" w:hAnsi="Times New Roman"/>
          <w:color w:val="0F4C81"/>
          <w:sz w:val="24"/>
        </w:rPr>
        <w:t>7.3. Đối với Ngân hàng TMCP Quân đội (MB)</w:t>
      </w:r>
      <w:bookmarkEnd w:id="30"/>
    </w:p>
    <w:p w14:paraId="7FDDC0F8" w14:textId="77777777" w:rsidR="00F67131" w:rsidRDefault="00000000">
      <w:pPr>
        <w:spacing w:after="80" w:line="300" w:lineRule="auto"/>
        <w:jc w:val="both"/>
      </w:pPr>
      <w:r>
        <w:rPr>
          <w:rFonts w:ascii="Times New Roman" w:hAnsi="Times New Roman"/>
          <w:color w:val="262626"/>
        </w:rPr>
        <w:t xml:space="preserve">1. Tái thiết lập Khẩu vị Rủi ro Tập trung đối với Bất động sản và TPDN: Áp dụng trần tỷ trọng cứng cho danh mục TPDN phi ngân hàng (không vượt quá 5% tổng tài sản sinh lời) và danh mục tài </w:t>
      </w:r>
      <w:proofErr w:type="spellStart"/>
      <w:r>
        <w:rPr>
          <w:rFonts w:ascii="Times New Roman" w:hAnsi="Times New Roman"/>
          <w:color w:val="262626"/>
        </w:rPr>
        <w:t>trợ</w:t>
      </w:r>
      <w:proofErr w:type="spellEnd"/>
      <w:r>
        <w:rPr>
          <w:rFonts w:ascii="Times New Roman" w:hAnsi="Times New Roman"/>
          <w:color w:val="262626"/>
        </w:rPr>
        <w:t xml:space="preserve"> dự án BĐS.</w:t>
      </w:r>
      <w:r w:rsidR="004B291A">
        <w:rPr>
          <w:rFonts w:ascii="Times New Roman" w:hAnsi="Times New Roman"/>
          <w:color w:val="262626"/>
        </w:rPr>
        <w:tab/>
      </w:r>
      <w:r>
        <w:rPr>
          <w:rFonts w:ascii="Times New Roman" w:hAnsi="Times New Roman"/>
          <w:color w:val="262626"/>
        </w:rPr>
        <w:br/>
        <w:t>2. Hoàn thiện Mô hình Định giá Bù đắp Rủi ro (Risk-based Pricing) tại MCredit: Tăng biên lãi suất tương ứng với xác suất vỡ nợ thực tế của từng phân khúc khách hàng tiêu dùng tín chấp, kiểm soát chặt chẽ tỷ lệ chuyển nhóm từ Stage 1 sang Stage 2.</w:t>
      </w:r>
      <w:r w:rsidR="004B291A">
        <w:rPr>
          <w:rFonts w:ascii="Times New Roman" w:hAnsi="Times New Roman"/>
          <w:color w:val="262626"/>
        </w:rPr>
        <w:tab/>
      </w:r>
      <w:r>
        <w:rPr>
          <w:rFonts w:ascii="Times New Roman" w:hAnsi="Times New Roman"/>
          <w:color w:val="262626"/>
        </w:rPr>
        <w:br/>
        <w:t xml:space="preserve">3. Nâng cấp Bộ đệm Dự phòng LLCR trở lại trên 120%: Duy trì chính sách trích lập ổn định, ngược chu kỳ, tránh để chi phí dự phòng giảm trong năm nợ xấu tăng mạnh như năm 2023, bảo đảm quỹ dự phòng đủ sức hấp thụ tổn thất trong kịch </w:t>
      </w:r>
      <w:proofErr w:type="spellStart"/>
      <w:r>
        <w:rPr>
          <w:rFonts w:ascii="Times New Roman" w:hAnsi="Times New Roman"/>
          <w:color w:val="262626"/>
        </w:rPr>
        <w:t>bản</w:t>
      </w:r>
      <w:proofErr w:type="spellEnd"/>
      <w:r>
        <w:rPr>
          <w:rFonts w:ascii="Times New Roman" w:hAnsi="Times New Roman"/>
          <w:color w:val="262626"/>
        </w:rPr>
        <w:t xml:space="preserve"> </w:t>
      </w:r>
      <w:proofErr w:type="spellStart"/>
      <w:r>
        <w:rPr>
          <w:rFonts w:ascii="Times New Roman" w:hAnsi="Times New Roman"/>
          <w:color w:val="262626"/>
        </w:rPr>
        <w:t>kinh</w:t>
      </w:r>
      <w:proofErr w:type="spellEnd"/>
      <w:r>
        <w:rPr>
          <w:rFonts w:ascii="Times New Roman" w:hAnsi="Times New Roman"/>
          <w:color w:val="262626"/>
        </w:rPr>
        <w:t xml:space="preserve"> tế </w:t>
      </w:r>
      <w:proofErr w:type="spellStart"/>
      <w:r>
        <w:rPr>
          <w:rFonts w:ascii="Times New Roman" w:hAnsi="Times New Roman"/>
          <w:color w:val="262626"/>
        </w:rPr>
        <w:t>tiêu</w:t>
      </w:r>
      <w:proofErr w:type="spellEnd"/>
      <w:r>
        <w:rPr>
          <w:rFonts w:ascii="Times New Roman" w:hAnsi="Times New Roman"/>
          <w:color w:val="262626"/>
        </w:rPr>
        <w:t xml:space="preserve"> cực.</w:t>
      </w:r>
      <w:r w:rsidR="004B291A">
        <w:rPr>
          <w:rFonts w:ascii="Times New Roman" w:hAnsi="Times New Roman"/>
          <w:color w:val="262626"/>
        </w:rPr>
        <w:tab/>
      </w:r>
      <w:r>
        <w:rPr>
          <w:rFonts w:ascii="Times New Roman" w:hAnsi="Times New Roman"/>
          <w:color w:val="262626"/>
        </w:rPr>
        <w:br/>
        <w:t>4. Tăng cường Kiểm toán Thuật toán Phê duyệt Tự động: Thiết lập cơ chế kiểm định độc lập (Model Validation) định kỳ đối với các mô hình chấm điểm tín dụng scorecard để ngăn ngừa sai lệch hệ thống.</w:t>
      </w:r>
    </w:p>
    <w:p w14:paraId="7940E4C0" w14:textId="77777777" w:rsidR="00F67131" w:rsidRDefault="00000000">
      <w:pPr>
        <w:pStyle w:val="Heading1"/>
        <w:keepNext/>
        <w:pageBreakBefore/>
        <w:spacing w:before="280" w:after="120" w:line="300" w:lineRule="auto"/>
      </w:pPr>
      <w:bookmarkStart w:id="31" w:name="_Toc244090131"/>
      <w:r>
        <w:rPr>
          <w:rFonts w:ascii="Times New Roman" w:hAnsi="Times New Roman"/>
          <w:b/>
          <w:i w:val="0"/>
          <w:color w:val="002060"/>
          <w:sz w:val="27"/>
        </w:rPr>
        <w:t>KẾT LUẬN</w:t>
      </w:r>
      <w:bookmarkEnd w:id="31"/>
    </w:p>
    <w:p w14:paraId="499480ED" w14:textId="77777777" w:rsidR="00F67131" w:rsidRDefault="00000000">
      <w:pPr>
        <w:spacing w:after="80" w:line="300" w:lineRule="auto"/>
        <w:jc w:val="both"/>
      </w:pPr>
      <w:r>
        <w:rPr>
          <w:rFonts w:ascii="Times New Roman" w:hAnsi="Times New Roman"/>
        </w:rPr>
        <w:t xml:space="preserve">Giai đoạn 2020–2025 là một giai đoạn bản lề phản ánh sự thích ứng và phân kỳ chiến lược sâu sắc trong quản trị rủi ro tín dụng giữa Agribank và MB. Kết quả nghiên cứu cho thấy: không thể kết luận một cách đơn giản 'MB quản trị tốt hơn Agribank' hay ngược lại chỉ dựa vào con số NPL bề mặt. Mỗi mô hình đại diện cho một sự đánh đổi kinh tế học sâu sắc giữa Tăng trưởng - Lợi nhuận - Rủi ro tín </w:t>
      </w:r>
      <w:r>
        <w:rPr>
          <w:rFonts w:ascii="Times New Roman" w:hAnsi="Times New Roman"/>
        </w:rPr>
        <w:lastRenderedPageBreak/>
        <w:t>dụng trong các cấu trúc thể chế khác nhau. Agribank chọn triết lý phòng thủ, chấp nhận tỷ suất lợi nhuận trên vốn rủi ro ước tính thấp hơn (10,8%–16,7%) nhưng duy trì được sự bền vững danh mục nông nghiệp và bộ đệm LLCR dày dặn. MB chọn triết lý đổi mới thị trường, đạt tỷ suất lợi nhuận trên vốn rủi ro ước tính cao hơn (31,6%–49,3%) nhưng phải đánh đổi bằng sự suy giảm bộ đệm dự phòng và mức độ nhạy cảm lớn hơn trước các cú sốc vĩ mô của thị trường bất động sản và TPDN. Khi hệ thống ngân hàng Việt Nam bước vào kỷ nguyên áp dụng Basel III và IFRS 9, sự dung hòa giữa năng lực quản trị rủi ro tập trung, số hóa của MB và văn hóa thẩm định thận trọng, an toàn của Agribank sẽ là chìa khóa định hình chuẩn mực quản trị ngân hàng hiện đại.</w:t>
      </w:r>
    </w:p>
    <w:p w14:paraId="6122E295" w14:textId="77777777" w:rsidR="00F67131" w:rsidRDefault="00000000">
      <w:pPr>
        <w:pStyle w:val="Heading1"/>
        <w:keepNext/>
        <w:pageBreakBefore/>
        <w:spacing w:before="280" w:after="120" w:line="300" w:lineRule="auto"/>
      </w:pPr>
      <w:bookmarkStart w:id="32" w:name="_Toc244090132"/>
      <w:r>
        <w:rPr>
          <w:rFonts w:ascii="Times New Roman" w:hAnsi="Times New Roman"/>
          <w:b/>
          <w:i w:val="0"/>
          <w:color w:val="002060"/>
          <w:sz w:val="27"/>
        </w:rPr>
        <w:t>TÀI LIỆU THAM KHẢO</w:t>
      </w:r>
      <w:bookmarkEnd w:id="32"/>
    </w:p>
    <w:p w14:paraId="125B49D8" w14:textId="77777777" w:rsidR="00F67131" w:rsidRDefault="00000000">
      <w:pPr>
        <w:spacing w:before="40" w:after="60"/>
      </w:pPr>
      <w:r>
        <w:rPr>
          <w:rFonts w:ascii="Times New Roman" w:hAnsi="Times New Roman"/>
          <w:sz w:val="19"/>
        </w:rPr>
        <w:t>[1] Agribank (2021, 2022, 2023, 2024, 2025, 2026), Báo cáo tài chính hợp nhất và Báo cáo tài chính riêng lẻ kiểm toán các năm 2020–2025 (kiểm toán bởi Deloitte Việt Nam, KPMG Việt Nam và Ernst &amp; Young Việt Nam).</w:t>
      </w:r>
    </w:p>
    <w:p w14:paraId="532CA388" w14:textId="77777777" w:rsidR="00F67131" w:rsidRDefault="00000000">
      <w:pPr>
        <w:spacing w:before="40" w:after="60"/>
      </w:pPr>
      <w:r>
        <w:rPr>
          <w:rFonts w:ascii="Times New Roman" w:hAnsi="Times New Roman"/>
          <w:sz w:val="19"/>
        </w:rPr>
        <w:t>[2] Agribank (2021, 2022, 2023, 2024, 2025, 2026), Báo cáo thường niên các năm 2020–2025, Ngân hàng Nông nghiệp và Phát triển Nông thôn Việt Nam.</w:t>
      </w:r>
    </w:p>
    <w:p w14:paraId="728A7DDB" w14:textId="77777777" w:rsidR="00F67131" w:rsidRDefault="00000000">
      <w:pPr>
        <w:spacing w:before="40" w:after="60"/>
      </w:pPr>
      <w:r>
        <w:rPr>
          <w:rFonts w:ascii="Times New Roman" w:hAnsi="Times New Roman"/>
          <w:sz w:val="19"/>
        </w:rPr>
        <w:t>[3] Chính phủ Nước CHXHCN Việt Nam (2024), Nghị định số 86/2024/NĐ-CP ngày 11/7/2024 quy định về mức trích, phương pháp trích lập dự phòng rủi ro và việc sử dụng dự phòng để xử lý rủi ro trong hoạt động của tổ chức tín dụng, chi nhánh ngân hàng nước ngoài.</w:t>
      </w:r>
    </w:p>
    <w:p w14:paraId="460B3883" w14:textId="77777777" w:rsidR="00F67131" w:rsidRDefault="00000000">
      <w:pPr>
        <w:spacing w:before="40" w:after="60"/>
      </w:pPr>
      <w:r>
        <w:rPr>
          <w:rFonts w:ascii="Times New Roman" w:hAnsi="Times New Roman"/>
          <w:sz w:val="19"/>
        </w:rPr>
        <w:t>[4] Hiệp hội Ngân hàng Việt Nam – VNBA &amp; Ngân hàng Nhà nước Việt Nam (2023, 2024, 2025), Báo cáo tổng kết hoạt động kinh doanh ngân hàng và tình hình xử lý nợ xấu toàn hệ thống giai đoạn 2020–2025.</w:t>
      </w:r>
    </w:p>
    <w:p w14:paraId="3783E078" w14:textId="77777777" w:rsidR="00F67131" w:rsidRDefault="00000000">
      <w:pPr>
        <w:spacing w:before="40" w:after="60"/>
      </w:pPr>
      <w:r>
        <w:rPr>
          <w:rFonts w:ascii="Times New Roman" w:hAnsi="Times New Roman"/>
          <w:sz w:val="19"/>
        </w:rPr>
        <w:t>[5] Ngân hàng Nhà nước Việt Nam (2016), Thông tư số 41/2016/TT-NHNN ngày 30/12/2016 quy định tỷ lệ an toàn vốn đối với ngân hàng, chi nhánh ngân hàng nước ngoài theo chuẩn mực Basel II.</w:t>
      </w:r>
    </w:p>
    <w:p w14:paraId="59471E21" w14:textId="77777777" w:rsidR="00F67131" w:rsidRDefault="00000000">
      <w:pPr>
        <w:spacing w:before="40" w:after="60"/>
      </w:pPr>
      <w:r>
        <w:rPr>
          <w:rFonts w:ascii="Times New Roman" w:hAnsi="Times New Roman"/>
          <w:sz w:val="19"/>
        </w:rPr>
        <w:t>[6] Ngân hàng Nhà nước Việt Nam (2019), Thông tư số 22/2019/TT-NHNN ngày 15/11/2019 quy định các giới hạn, tỷ lệ bảo đảm an toàn trong hoạt động của ngân hàng, chi nhánh ngân hàng nước ngoài.</w:t>
      </w:r>
    </w:p>
    <w:p w14:paraId="185BBD38" w14:textId="77777777" w:rsidR="00F67131" w:rsidRDefault="00000000">
      <w:pPr>
        <w:spacing w:before="40" w:after="60"/>
      </w:pPr>
      <w:r>
        <w:rPr>
          <w:rFonts w:ascii="Times New Roman" w:hAnsi="Times New Roman"/>
          <w:sz w:val="19"/>
        </w:rPr>
        <w:t>[7] Ngân hàng Nhà nước Việt Nam (2020, 2021), Thông tư số 01/2020/TT-NHNN ngày 13/3/2020 (sửa đổi, bổ sung bởi Thông tư 03/2021/TT-NHNN và Thông tư 14/2021/TT-NHNN) quy định về cơ cấu lại thời hạn trả nợ, miễn, giảm lãi, phí, giữ nguyên nhóm nợ hỗ trợ khách hàng chịu ảnh hưởng bởi dịch Covid-19.</w:t>
      </w:r>
    </w:p>
    <w:p w14:paraId="1276D008" w14:textId="77777777" w:rsidR="00F67131" w:rsidRDefault="00000000">
      <w:pPr>
        <w:spacing w:before="40" w:after="60"/>
      </w:pPr>
      <w:r>
        <w:rPr>
          <w:rFonts w:ascii="Times New Roman" w:hAnsi="Times New Roman"/>
          <w:sz w:val="19"/>
        </w:rPr>
        <w:t>[8] Ngân hàng Nhà nước Việt Nam (2021), Thông tư số 11/2021/TT-NHNN ngày 30/7/2021 quy định về phân loại tài sản có, mức trích, phương pháp trích lập dự phòng rủi ro và việc sử dụng dự phòng để xử lý rủi ro trong hoạt động của TCTD.</w:t>
      </w:r>
    </w:p>
    <w:p w14:paraId="73178FB4" w14:textId="77777777" w:rsidR="00F67131" w:rsidRDefault="00000000">
      <w:pPr>
        <w:spacing w:before="40" w:after="60"/>
      </w:pPr>
      <w:r>
        <w:rPr>
          <w:rFonts w:ascii="Times New Roman" w:hAnsi="Times New Roman"/>
          <w:sz w:val="19"/>
        </w:rPr>
        <w:t>[9] Ngân hàng Nhà nước Việt Nam (2023, 2024), Thông tư số 02/2023/TT-NHNN ngày 23/4/2023 (gia hạn bởi Thông tư 06/2024/TT-NHNN) quy định về việc cơ cấu lại thời hạn trả nợ và giữ nguyên nhóm nợ nhằm hỗ trợ khách hàng gặp khó khăn.</w:t>
      </w:r>
    </w:p>
    <w:p w14:paraId="69F0F38F" w14:textId="77777777" w:rsidR="00F67131" w:rsidRDefault="00000000">
      <w:pPr>
        <w:spacing w:before="40" w:after="60"/>
      </w:pPr>
      <w:r>
        <w:rPr>
          <w:rFonts w:ascii="Times New Roman" w:hAnsi="Times New Roman"/>
          <w:sz w:val="19"/>
        </w:rPr>
        <w:t>[10] Ngân hàng Nhà nước Việt Nam (2024), Thông tư số 31/2024/TT-NHNN ngày 30/6/2024 quy định về phân loại tài sản có trong hoạt động của ngân hàng thương mại, tổ chức tín dụng phi ngân hàng, chi nhánh ngân hàng nước ngoài.</w:t>
      </w:r>
    </w:p>
    <w:p w14:paraId="5BBCA8DD" w14:textId="77777777" w:rsidR="00F67131" w:rsidRDefault="00000000">
      <w:pPr>
        <w:spacing w:before="40" w:after="60"/>
      </w:pPr>
      <w:r>
        <w:rPr>
          <w:rFonts w:ascii="Times New Roman" w:hAnsi="Times New Roman"/>
          <w:sz w:val="19"/>
        </w:rPr>
        <w:t>[11] Ngân hàng Nhà nước Việt Nam (2024), Thông tư số 53/2024/TT-NHNN ngày 04/12/2024 quy định về việc cơ cấu lại thời hạn trả nợ đối với khách hàng gặp khó khăn do ảnh hưởng, thiệt hại của bão số 3 (Yagi).</w:t>
      </w:r>
    </w:p>
    <w:p w14:paraId="6FA7000C" w14:textId="77777777" w:rsidR="00F67131" w:rsidRDefault="00000000">
      <w:pPr>
        <w:spacing w:before="40" w:after="60"/>
      </w:pPr>
      <w:r>
        <w:rPr>
          <w:rFonts w:ascii="Times New Roman" w:hAnsi="Times New Roman"/>
          <w:sz w:val="19"/>
        </w:rPr>
        <w:t>[12] Ngân hàng TMCP Quân đội – MB (2021, 2022, 2023, 2024, 2025, 2026), Báo cáo tài chính hợp nhất và Báo cáo tài chính riêng lẻ kiểm toán các năm 2020–2025 (đã kiểm toán bởi KPMG Việt Nam).</w:t>
      </w:r>
    </w:p>
    <w:p w14:paraId="74B9BD6C" w14:textId="77777777" w:rsidR="00F67131" w:rsidRDefault="00000000">
      <w:pPr>
        <w:spacing w:before="40" w:after="60"/>
      </w:pPr>
      <w:r>
        <w:rPr>
          <w:rFonts w:ascii="Times New Roman" w:hAnsi="Times New Roman"/>
          <w:sz w:val="19"/>
        </w:rPr>
        <w:t>[13] Ngân hàng TMCP Quân đội – MB (2021, 2022, 2023, 2024, 2025, 2026), Báo cáo thường niên và Báo cáo công bố thông tin tỷ lệ an toàn vốn (Basel II Pillar 3) các năm 2020–2025.</w:t>
      </w:r>
    </w:p>
    <w:p w14:paraId="14A4DC30" w14:textId="77777777" w:rsidR="00F67131" w:rsidRDefault="00000000">
      <w:pPr>
        <w:spacing w:before="40" w:after="60"/>
      </w:pPr>
      <w:r>
        <w:rPr>
          <w:rFonts w:ascii="Times New Roman" w:hAnsi="Times New Roman"/>
          <w:sz w:val="19"/>
        </w:rPr>
        <w:t>[14] Quốc hội Nước CHXHCN Việt Nam (2017), Nghị quyết số 42/2017/QH14 ngày 21/6/2017 về thí điểm xử lý nợ xấu của các tổ chức tín dụng (gia hạn bởi Nghị quyết số 63/2022/QH15 đến 31/12/2023).</w:t>
      </w:r>
    </w:p>
    <w:p w14:paraId="139FCBF9" w14:textId="77777777" w:rsidR="00F67131" w:rsidRDefault="00000000">
      <w:pPr>
        <w:spacing w:before="40" w:after="60"/>
      </w:pPr>
      <w:r>
        <w:rPr>
          <w:rFonts w:ascii="Times New Roman" w:hAnsi="Times New Roman"/>
          <w:sz w:val="19"/>
        </w:rPr>
        <w:t>[15] Quốc hội Nước CHXHCN Việt Nam (2024), Luật Các tổ chức tín dụng số 32/2024/QH15 thông qua ngày 18/01/2024, có hiệu lực thi hành từ ngày 01/7/2024.</w:t>
      </w:r>
    </w:p>
    <w:p w14:paraId="7460BB36" w14:textId="77777777" w:rsidR="00F67131" w:rsidRDefault="00000000">
      <w:pPr>
        <w:spacing w:before="40" w:after="60"/>
      </w:pPr>
      <w:r>
        <w:rPr>
          <w:rFonts w:ascii="Times New Roman" w:hAnsi="Times New Roman"/>
          <w:sz w:val="19"/>
        </w:rPr>
        <w:lastRenderedPageBreak/>
        <w:t>[16] Quốc hội Nước CHXHCN Việt Nam (2025), Luật số 96/2025/QH15 sửa đổi, bổ sung một số điều của Luật Các tổ chức tín dụng, có hiệu lực thi hành từ ngày 15/10/2025.</w:t>
      </w:r>
    </w:p>
    <w:p w14:paraId="3DFB09D1" w14:textId="77777777" w:rsidR="00F67131" w:rsidRDefault="00000000">
      <w:pPr>
        <w:spacing w:before="40" w:after="60"/>
      </w:pPr>
      <w:r>
        <w:rPr>
          <w:rFonts w:ascii="Times New Roman" w:hAnsi="Times New Roman"/>
          <w:sz w:val="19"/>
        </w:rPr>
        <w:t>[17] Thủ tướng Chính phủ (2024), Quyết định số 1510/QĐ-TTg ngày 04/12/2024 về phân loại tài sản có, mức trích lập dự phòng rủi ro, phương pháp trích lập dự phòng rủi ro và việc sử dụng dự phòng để xử lý rủi ro đối với khoản nợ của khách hàng gặp khó khăn do ảnh hưởng, thiệt hại của bão số 3.</w:t>
      </w:r>
    </w:p>
    <w:p w14:paraId="62B472DC" w14:textId="77777777" w:rsidR="00F67131" w:rsidRDefault="00000000">
      <w:pPr>
        <w:spacing w:before="40" w:after="60"/>
      </w:pPr>
      <w:r>
        <w:rPr>
          <w:rFonts w:ascii="Times New Roman" w:hAnsi="Times New Roman"/>
          <w:sz w:val="19"/>
        </w:rPr>
        <w:t>[18] Basel Committee on Banking Supervision – BCBS (2006), International Convergence of Capital Measurement and Capital Standards: A Revised Framework (Basel II), Bank for International Settlements (BIS).</w:t>
      </w:r>
    </w:p>
    <w:p w14:paraId="3FA75D41" w14:textId="77777777" w:rsidR="00F67131" w:rsidRDefault="00000000">
      <w:pPr>
        <w:spacing w:before="40" w:after="60"/>
      </w:pPr>
      <w:r>
        <w:rPr>
          <w:rFonts w:ascii="Times New Roman" w:hAnsi="Times New Roman"/>
          <w:sz w:val="19"/>
        </w:rPr>
        <w:t>[19] Basel Committee on Banking Supervision – BCBS (2017), Basel III: Finalising post-crisis reforms, Bank for International Settlements (BIS).</w:t>
      </w:r>
    </w:p>
    <w:p w14:paraId="12B15FB5" w14:textId="77777777" w:rsidR="00F67131" w:rsidRDefault="00000000">
      <w:pPr>
        <w:spacing w:before="40" w:after="60"/>
      </w:pPr>
      <w:r>
        <w:rPr>
          <w:rFonts w:ascii="Times New Roman" w:hAnsi="Times New Roman"/>
          <w:sz w:val="19"/>
        </w:rPr>
        <w:t>[20] Committee of Sponsoring Organizations of the Treadway Commission – COSO (2013), Internal Control — Integrated Framework, AICPA.</w:t>
      </w:r>
    </w:p>
    <w:p w14:paraId="39B1551B" w14:textId="77777777" w:rsidR="00F67131" w:rsidRDefault="00000000">
      <w:pPr>
        <w:spacing w:before="40" w:after="60"/>
      </w:pPr>
      <w:r>
        <w:rPr>
          <w:rFonts w:ascii="Times New Roman" w:hAnsi="Times New Roman"/>
          <w:sz w:val="19"/>
        </w:rPr>
        <w:t>[21] Cressey, D. R. (1953), Other People's Money: A Study in the Social Psychology of Embezzlement, Glencoe, IL: Free Press.</w:t>
      </w:r>
    </w:p>
    <w:p w14:paraId="631AC90B" w14:textId="77777777" w:rsidR="00F67131" w:rsidRDefault="00000000">
      <w:pPr>
        <w:spacing w:before="40" w:after="60"/>
      </w:pPr>
      <w:r>
        <w:rPr>
          <w:rFonts w:ascii="Times New Roman" w:hAnsi="Times New Roman"/>
          <w:sz w:val="19"/>
        </w:rPr>
        <w:t>[22] International Accounting Standards Board – IASB (2014), IFRS 9 Financial Instruments, London: IFRS Foundation.</w:t>
      </w:r>
    </w:p>
    <w:p w14:paraId="159F9BD7" w14:textId="77777777" w:rsidR="00F67131" w:rsidRDefault="00000000">
      <w:pPr>
        <w:spacing w:before="40" w:after="60"/>
      </w:pPr>
      <w:r>
        <w:rPr>
          <w:rFonts w:ascii="Times New Roman" w:hAnsi="Times New Roman"/>
          <w:sz w:val="19"/>
        </w:rPr>
        <w:t>[23] Jensen, M. C., &amp; Meckling, W. H. (1976), 'Theory of the firm: Managerial behavior, agency costs and ownership structure', Journal of Financial Economics, 3(4), 305–360.</w:t>
      </w:r>
    </w:p>
    <w:p w14:paraId="272A4FB6" w14:textId="77777777" w:rsidR="00F67131" w:rsidRDefault="00000000">
      <w:pPr>
        <w:spacing w:before="40" w:after="60"/>
      </w:pPr>
      <w:r>
        <w:rPr>
          <w:rFonts w:ascii="Times New Roman" w:hAnsi="Times New Roman"/>
          <w:sz w:val="19"/>
        </w:rPr>
        <w:t>[24] Laeven, L., &amp; Majnoni, G. (2003), 'Loan loss provisioning and economic slowdowns: Too much, too late?', Journal of Financial Intermediation, 12(2), 178–197.</w:t>
      </w:r>
    </w:p>
    <w:p w14:paraId="1D40D355" w14:textId="77777777" w:rsidR="00F67131" w:rsidRDefault="00000000">
      <w:pPr>
        <w:spacing w:before="40" w:after="60"/>
      </w:pPr>
      <w:r>
        <w:rPr>
          <w:rFonts w:ascii="Times New Roman" w:hAnsi="Times New Roman"/>
          <w:sz w:val="19"/>
        </w:rPr>
        <w:t>[25] Stiglitz, J. E., &amp; Weiss, A. (1981), 'Credit rationing in markets with imperfect information', The American Economic Review, 71(3), 393–410.</w:t>
      </w:r>
    </w:p>
    <w:p>
      <w:pPr>
        <w:pStyle w:val="Heading1"/>
        <w:keepNext/>
        <w:pageBreakBefore/>
        <w:spacing w:before="280" w:after="160"/>
      </w:pPr>
      <w:r>
        <w:rPr>
          <w:rFonts w:ascii="Times New Roman" w:hAnsi="Times New Roman"/>
          <w:b/>
          <w:i w:val="0"/>
          <w:color w:val="002060"/>
          <w:sz w:val="27"/>
        </w:rPr>
        <w:t>PHỤ LỤC HỌC THUẬT: HỆ THỐNG DỮ LIỆU ĐỊNH LƯỢNG MỞ RỘNG VÀ BẰNG CHỨNG KIỂM CHỨNG</w:t>
      </w:r>
    </w:p>
    <w:p>
      <w:pPr>
        <w:spacing w:before="80" w:after="160" w:line="276" w:lineRule="auto"/>
      </w:pPr>
      <w:r>
        <w:rPr>
          <w:rFonts w:ascii="Times New Roman" w:hAnsi="Times New Roman"/>
          <w:b w:val="0"/>
          <w:i w:val="0"/>
          <w:color w:val="000000"/>
          <w:sz w:val="22"/>
        </w:rPr>
        <w:t>Phần Phụ lục này cung cấp toàn bộ hệ thống số liệu thống kê mô tả, ma trận hệ số tương quan kinh tế lượng, bảng đối chiếu chéo số liệu giữa Thuyết minh BCTC kiểm toán và Báo cáo thường niên, cùng hướng dẫn kỹ thuật cập nhật tự động mục lục trên Microsoft Word nhằm bảo đảm tính minh bạch, khả năng tái lập kết quả (reproducibility) và tính vững của nghiên cứu theo chuẩn mực quốc tế.</w:t>
      </w:r>
    </w:p>
    <w:p>
      <w:pPr>
        <w:keepNext/>
        <w:spacing w:before="200" w:after="80"/>
      </w:pPr>
      <w:r>
        <w:rPr>
          <w:rFonts w:ascii="Times New Roman" w:hAnsi="Times New Roman"/>
          <w:b/>
          <w:i w:val="0"/>
          <w:color w:val="002060"/>
          <w:sz w:val="22"/>
        </w:rPr>
        <w:t>Phụ lục 1. Bảng thống kê mô tả (Descriptive Statistics) các chỉ tiêu tài chính và rủi ro tín dụng (2020–2025)</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2160"/>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Chỉ tiêu (Đơn vị: %, lần)</w:t>
            </w:r>
          </w:p>
        </w:tc>
        <w:tc>
          <w:tcPr>
            <w:tcW w:type="dxa" w:w="1296"/>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Ngân hàng</w:t>
            </w:r>
          </w:p>
        </w:tc>
        <w:tc>
          <w:tcPr>
            <w:tcW w:type="dxa" w:w="1296"/>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Giá trị TB (Mean)</w:t>
            </w:r>
          </w:p>
        </w:tc>
        <w:tc>
          <w:tcPr>
            <w:tcW w:type="dxa" w:w="1296"/>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Độ lệch chuẩn (SD)</w:t>
            </w:r>
          </w:p>
        </w:tc>
        <w:tc>
          <w:tcPr>
            <w:tcW w:type="dxa" w:w="1584"/>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Tối thiểu (Min)</w:t>
            </w:r>
          </w:p>
        </w:tc>
        <w:tc>
          <w:tcPr>
            <w:tcW w:type="dxa" w:w="1584"/>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Tối đa (Max)</w:t>
            </w:r>
          </w:p>
        </w:tc>
        <w:tc>
          <w:tcPr>
            <w:tcW w:type="dxa" w:w="2304"/>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Ý nghĩa kinh tế</w:t>
            </w:r>
          </w:p>
        </w:tc>
      </w:tr>
      <w:tr>
        <w:trPr>
          <w:cantSplit/>
        </w:trPr>
        <w:tc>
          <w:tcPr>
            <w:tcW w:type="dxa" w:w="2160"/>
            <w:shd w:fill="F2F5F9"/>
            <w:tcMar>
              <w:top w:w="80" w:type="dxa"/>
              <w:bottom w:w="80" w:type="dxa"/>
              <w:left w:w="100" w:type="dxa"/>
              <w:right w:w="100" w:type="dxa"/>
            </w:tcMar>
          </w:tcPr>
          <w:p>
            <w:pPr>
              <w:spacing w:before="40" w:after="40" w:line="252" w:lineRule="auto"/>
              <w:jc w:val="left"/>
            </w:pPr>
            <w:r>
              <w:rPr>
                <w:rFonts w:ascii="Times New Roman" w:hAnsi="Times New Roman"/>
                <w:b/>
                <w:i w:val="0"/>
                <w:color w:val="000000"/>
                <w:sz w:val="17"/>
              </w:rPr>
              <w:t>Tỷ lệ NPL hợp nhất (TM 9/10, %)</w:t>
            </w:r>
          </w:p>
        </w:tc>
        <w:tc>
          <w:tcPr>
            <w:tcW w:type="dxa" w:w="1296"/>
            <w:shd w:fill="F2F5F9"/>
            <w:tcMar>
              <w:top w:w="80" w:type="dxa"/>
              <w:bottom w:w="80" w:type="dxa"/>
              <w:left w:w="100" w:type="dxa"/>
              <w:right w:w="100" w:type="dxa"/>
            </w:tcMar>
          </w:tcPr>
          <w:p>
            <w:pPr>
              <w:spacing w:before="40" w:after="40" w:line="252" w:lineRule="auto"/>
              <w:jc w:val="center"/>
            </w:pPr>
            <w:r>
              <w:rPr>
                <w:rFonts w:ascii="Times New Roman" w:hAnsi="Times New Roman"/>
                <w:b/>
                <w:i w:val="0"/>
                <w:color w:val="000000"/>
                <w:sz w:val="17"/>
              </w:rPr>
              <w:t>Agribank</w:t>
            </w:r>
            <w:r>
              <w:br/>
            </w:r>
            <w:r>
              <w:rPr>
                <w:rFonts w:ascii="Times New Roman" w:hAnsi="Times New Roman"/>
                <w:b/>
                <w:i w:val="0"/>
                <w:color w:val="000000"/>
                <w:sz w:val="17"/>
              </w:rPr>
              <w:t>MB</w:t>
            </w:r>
          </w:p>
        </w:tc>
        <w:tc>
          <w:tcPr>
            <w:tcW w:type="dxa" w:w="1296"/>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1,63%</w:t>
            </w:r>
            <w:r>
              <w:br/>
            </w:r>
            <w:r>
              <w:rPr>
                <w:rFonts w:ascii="Times New Roman" w:hAnsi="Times New Roman"/>
                <w:b w:val="0"/>
                <w:i w:val="0"/>
                <w:color w:val="000000"/>
                <w:sz w:val="17"/>
              </w:rPr>
              <w:t>1,25%</w:t>
            </w:r>
          </w:p>
        </w:tc>
        <w:tc>
          <w:tcPr>
            <w:tcW w:type="dxa" w:w="1296"/>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0,23%</w:t>
            </w:r>
            <w:r>
              <w:br/>
            </w:r>
            <w:r>
              <w:rPr>
                <w:rFonts w:ascii="Times New Roman" w:hAnsi="Times New Roman"/>
                <w:b w:val="0"/>
                <w:i w:val="0"/>
                <w:color w:val="000000"/>
                <w:sz w:val="17"/>
              </w:rPr>
              <w:t>0,31%</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1,30% (2025)</w:t>
            </w:r>
            <w:r>
              <w:br/>
            </w:r>
            <w:r>
              <w:rPr>
                <w:rFonts w:ascii="Times New Roman" w:hAnsi="Times New Roman"/>
                <w:b w:val="0"/>
                <w:i w:val="0"/>
                <w:color w:val="000000"/>
                <w:sz w:val="17"/>
              </w:rPr>
              <w:t>0,90% (2021)</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1,87% (2021)</w:t>
            </w:r>
            <w:r>
              <w:br/>
            </w:r>
            <w:r>
              <w:rPr>
                <w:rFonts w:ascii="Times New Roman" w:hAnsi="Times New Roman"/>
                <w:b w:val="0"/>
                <w:i w:val="0"/>
                <w:color w:val="000000"/>
                <w:sz w:val="17"/>
              </w:rPr>
              <w:t>1,62% (2024)</w:t>
            </w:r>
          </w:p>
        </w:tc>
        <w:tc>
          <w:tcPr>
            <w:tcW w:type="dxa" w:w="2304"/>
            <w:shd w:fill="F2F5F9"/>
            <w:tcMar>
              <w:top w:w="80" w:type="dxa"/>
              <w:bottom w:w="80" w:type="dxa"/>
              <w:left w:w="100" w:type="dxa"/>
              <w:right w:w="100" w:type="dxa"/>
            </w:tcMar>
          </w:tcPr>
          <w:p>
            <w:pPr>
              <w:spacing w:before="40" w:after="40" w:line="252" w:lineRule="auto"/>
              <w:jc w:val="left"/>
            </w:pPr>
            <w:r>
              <w:rPr>
                <w:rFonts w:ascii="Times New Roman" w:hAnsi="Times New Roman"/>
                <w:b w:val="0"/>
                <w:i w:val="0"/>
                <w:color w:val="000000"/>
                <w:sz w:val="17"/>
              </w:rPr>
              <w:t>Agribank biến thiên hẹp hơn; MB chịu biến động chu kỳ mạnh hơn.</w:t>
            </w:r>
          </w:p>
        </w:tc>
      </w:tr>
      <w:tr>
        <w:trPr>
          <w:cantSplit/>
        </w:trPr>
        <w:tc>
          <w:tcPr>
            <w:tcW w:type="dxa" w:w="2160"/>
            <w:shd w:fill="FFFFFF"/>
            <w:tcMar>
              <w:top w:w="80" w:type="dxa"/>
              <w:bottom w:w="80" w:type="dxa"/>
              <w:left w:w="100" w:type="dxa"/>
              <w:right w:w="100" w:type="dxa"/>
            </w:tcMar>
          </w:tcPr>
          <w:p>
            <w:pPr>
              <w:spacing w:before="40" w:after="40" w:line="252" w:lineRule="auto"/>
              <w:jc w:val="left"/>
            </w:pPr>
            <w:r>
              <w:rPr>
                <w:rFonts w:ascii="Times New Roman" w:hAnsi="Times New Roman"/>
                <w:b/>
                <w:i w:val="0"/>
                <w:color w:val="000000"/>
                <w:sz w:val="17"/>
              </w:rPr>
              <w:t>Tỷ lệ Nợ nhóm 2 / Dư nợ (%)</w:t>
            </w:r>
          </w:p>
        </w:tc>
        <w:tc>
          <w:tcPr>
            <w:tcW w:type="dxa" w:w="1296"/>
            <w:shd w:fill="FFFFFF"/>
            <w:tcMar>
              <w:top w:w="80" w:type="dxa"/>
              <w:bottom w:w="80" w:type="dxa"/>
              <w:left w:w="100" w:type="dxa"/>
              <w:right w:w="100" w:type="dxa"/>
            </w:tcMar>
          </w:tcPr>
          <w:p>
            <w:pPr>
              <w:spacing w:before="40" w:after="40" w:line="252" w:lineRule="auto"/>
              <w:jc w:val="center"/>
            </w:pPr>
            <w:r>
              <w:rPr>
                <w:rFonts w:ascii="Times New Roman" w:hAnsi="Times New Roman"/>
                <w:b/>
                <w:i w:val="0"/>
                <w:color w:val="000000"/>
                <w:sz w:val="17"/>
              </w:rPr>
              <w:t>Agribank</w:t>
            </w:r>
            <w:r>
              <w:br/>
            </w:r>
            <w:r>
              <w:rPr>
                <w:rFonts w:ascii="Times New Roman" w:hAnsi="Times New Roman"/>
                <w:b/>
                <w:i w:val="0"/>
                <w:color w:val="000000"/>
                <w:sz w:val="17"/>
              </w:rPr>
              <w:t>MB</w:t>
            </w:r>
          </w:p>
        </w:tc>
        <w:tc>
          <w:tcPr>
            <w:tcW w:type="dxa" w:w="1296"/>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1,82%</w:t>
            </w:r>
            <w:r>
              <w:br/>
            </w:r>
            <w:r>
              <w:rPr>
                <w:rFonts w:ascii="Times New Roman" w:hAnsi="Times New Roman"/>
                <w:b w:val="0"/>
                <w:i w:val="0"/>
                <w:color w:val="000000"/>
                <w:sz w:val="17"/>
              </w:rPr>
              <w:t>1,40%</w:t>
            </w:r>
          </w:p>
        </w:tc>
        <w:tc>
          <w:tcPr>
            <w:tcW w:type="dxa" w:w="1296"/>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0,53%</w:t>
            </w:r>
            <w:r>
              <w:br/>
            </w:r>
            <w:r>
              <w:rPr>
                <w:rFonts w:ascii="Times New Roman" w:hAnsi="Times New Roman"/>
                <w:b w:val="0"/>
                <w:i w:val="0"/>
                <w:color w:val="000000"/>
                <w:sz w:val="17"/>
              </w:rPr>
              <w:t>0,55%</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1,08% (2025)</w:t>
            </w:r>
            <w:r>
              <w:br/>
            </w:r>
            <w:r>
              <w:rPr>
                <w:rFonts w:ascii="Times New Roman" w:hAnsi="Times New Roman"/>
                <w:b w:val="0"/>
                <w:i w:val="0"/>
                <w:color w:val="000000"/>
                <w:sz w:val="17"/>
              </w:rPr>
              <w:t>0,81% (2020)</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2,48% (2020)</w:t>
            </w:r>
            <w:r>
              <w:br/>
            </w:r>
            <w:r>
              <w:rPr>
                <w:rFonts w:ascii="Times New Roman" w:hAnsi="Times New Roman"/>
                <w:b w:val="0"/>
                <w:i w:val="0"/>
                <w:color w:val="000000"/>
                <w:sz w:val="17"/>
              </w:rPr>
              <w:t>2,28% (2023)</w:t>
            </w:r>
          </w:p>
        </w:tc>
        <w:tc>
          <w:tcPr>
            <w:tcW w:type="dxa" w:w="2304"/>
            <w:shd w:fill="FFFFFF"/>
            <w:tcMar>
              <w:top w:w="80" w:type="dxa"/>
              <w:bottom w:w="80" w:type="dxa"/>
              <w:left w:w="100" w:type="dxa"/>
              <w:right w:w="100" w:type="dxa"/>
            </w:tcMar>
          </w:tcPr>
          <w:p>
            <w:pPr>
              <w:spacing w:before="40" w:after="40" w:line="252" w:lineRule="auto"/>
              <w:jc w:val="left"/>
            </w:pPr>
            <w:r>
              <w:rPr>
                <w:rFonts w:ascii="Times New Roman" w:hAnsi="Times New Roman"/>
                <w:b w:val="0"/>
                <w:i w:val="0"/>
                <w:color w:val="000000"/>
                <w:sz w:val="17"/>
              </w:rPr>
              <w:t>MB đạt đỉnh nợ nhóm 2 vào 2023 phản ánh sốc thanh khoản TPDN/BĐS.</w:t>
            </w:r>
          </w:p>
        </w:tc>
      </w:tr>
      <w:tr>
        <w:trPr>
          <w:cantSplit/>
        </w:trPr>
        <w:tc>
          <w:tcPr>
            <w:tcW w:type="dxa" w:w="2160"/>
            <w:shd w:fill="F2F5F9"/>
            <w:tcMar>
              <w:top w:w="80" w:type="dxa"/>
              <w:bottom w:w="80" w:type="dxa"/>
              <w:left w:w="100" w:type="dxa"/>
              <w:right w:w="100" w:type="dxa"/>
            </w:tcMar>
          </w:tcPr>
          <w:p>
            <w:pPr>
              <w:spacing w:before="40" w:after="40" w:line="252" w:lineRule="auto"/>
              <w:jc w:val="left"/>
            </w:pPr>
            <w:r>
              <w:rPr>
                <w:rFonts w:ascii="Times New Roman" w:hAnsi="Times New Roman"/>
                <w:b/>
                <w:i w:val="0"/>
                <w:color w:val="000000"/>
                <w:sz w:val="17"/>
              </w:rPr>
              <w:t>Tỷ lệ bao phủ nợ xấu LLCR (%)</w:t>
            </w:r>
          </w:p>
        </w:tc>
        <w:tc>
          <w:tcPr>
            <w:tcW w:type="dxa" w:w="1296"/>
            <w:shd w:fill="F2F5F9"/>
            <w:tcMar>
              <w:top w:w="80" w:type="dxa"/>
              <w:bottom w:w="80" w:type="dxa"/>
              <w:left w:w="100" w:type="dxa"/>
              <w:right w:w="100" w:type="dxa"/>
            </w:tcMar>
          </w:tcPr>
          <w:p>
            <w:pPr>
              <w:spacing w:before="40" w:after="40" w:line="252" w:lineRule="auto"/>
              <w:jc w:val="center"/>
            </w:pPr>
            <w:r>
              <w:rPr>
                <w:rFonts w:ascii="Times New Roman" w:hAnsi="Times New Roman"/>
                <w:b/>
                <w:i w:val="0"/>
                <w:color w:val="000000"/>
                <w:sz w:val="17"/>
              </w:rPr>
              <w:t>Agribank</w:t>
            </w:r>
            <w:r>
              <w:br/>
            </w:r>
            <w:r>
              <w:rPr>
                <w:rFonts w:ascii="Times New Roman" w:hAnsi="Times New Roman"/>
                <w:b/>
                <w:i w:val="0"/>
                <w:color w:val="000000"/>
                <w:sz w:val="17"/>
              </w:rPr>
              <w:t>MB</w:t>
            </w:r>
          </w:p>
        </w:tc>
        <w:tc>
          <w:tcPr>
            <w:tcW w:type="dxa" w:w="1296"/>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134,4%</w:t>
            </w:r>
            <w:r>
              <w:br/>
            </w:r>
            <w:r>
              <w:rPr>
                <w:rFonts w:ascii="Times New Roman" w:hAnsi="Times New Roman"/>
                <w:b w:val="0"/>
                <w:i w:val="0"/>
                <w:color w:val="000000"/>
                <w:sz w:val="17"/>
              </w:rPr>
              <w:t>157,2%</w:t>
            </w:r>
          </w:p>
        </w:tc>
        <w:tc>
          <w:tcPr>
            <w:tcW w:type="dxa" w:w="1296"/>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11,5%</w:t>
            </w:r>
            <w:r>
              <w:br/>
            </w:r>
            <w:r>
              <w:rPr>
                <w:rFonts w:ascii="Times New Roman" w:hAnsi="Times New Roman"/>
                <w:b w:val="0"/>
                <w:i w:val="0"/>
                <w:color w:val="000000"/>
                <w:sz w:val="17"/>
              </w:rPr>
              <w:t>77,8%</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113,6% (2020)</w:t>
            </w:r>
            <w:r>
              <w:br/>
            </w:r>
            <w:r>
              <w:rPr>
                <w:rFonts w:ascii="Times New Roman" w:hAnsi="Times New Roman"/>
                <w:b w:val="0"/>
                <w:i w:val="0"/>
                <w:color w:val="000000"/>
                <w:sz w:val="17"/>
              </w:rPr>
              <w:t>92,2% (2024)</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146,3% (2025)</w:t>
            </w:r>
            <w:r>
              <w:br/>
            </w:r>
            <w:r>
              <w:rPr>
                <w:rFonts w:ascii="Times New Roman" w:hAnsi="Times New Roman"/>
                <w:b w:val="0"/>
                <w:i w:val="0"/>
                <w:color w:val="000000"/>
                <w:sz w:val="17"/>
              </w:rPr>
              <w:t>268,0% (2021)</w:t>
            </w:r>
          </w:p>
        </w:tc>
        <w:tc>
          <w:tcPr>
            <w:tcW w:type="dxa" w:w="2304"/>
            <w:shd w:fill="F2F5F9"/>
            <w:tcMar>
              <w:top w:w="80" w:type="dxa"/>
              <w:bottom w:w="80" w:type="dxa"/>
              <w:left w:w="100" w:type="dxa"/>
              <w:right w:w="100" w:type="dxa"/>
            </w:tcMar>
          </w:tcPr>
          <w:p>
            <w:pPr>
              <w:spacing w:before="40" w:after="40" w:line="252" w:lineRule="auto"/>
              <w:jc w:val="left"/>
            </w:pPr>
            <w:r>
              <w:rPr>
                <w:rFonts w:ascii="Times New Roman" w:hAnsi="Times New Roman"/>
                <w:b w:val="0"/>
                <w:i w:val="0"/>
                <w:color w:val="000000"/>
                <w:sz w:val="17"/>
              </w:rPr>
              <w:t>MB xả mạnh bộ đệm từ đỉnh 268% xuống 93,7%; Agribank giữ vững &gt;113%.</w:t>
            </w:r>
          </w:p>
        </w:tc>
      </w:tr>
      <w:tr>
        <w:trPr>
          <w:cantSplit/>
        </w:trPr>
        <w:tc>
          <w:tcPr>
            <w:tcW w:type="dxa" w:w="2160"/>
            <w:shd w:fill="FFFFFF"/>
            <w:tcMar>
              <w:top w:w="80" w:type="dxa"/>
              <w:bottom w:w="80" w:type="dxa"/>
              <w:left w:w="100" w:type="dxa"/>
              <w:right w:w="100" w:type="dxa"/>
            </w:tcMar>
          </w:tcPr>
          <w:p>
            <w:pPr>
              <w:spacing w:before="40" w:after="40" w:line="252" w:lineRule="auto"/>
              <w:jc w:val="left"/>
            </w:pPr>
            <w:r>
              <w:rPr>
                <w:rFonts w:ascii="Times New Roman" w:hAnsi="Times New Roman"/>
                <w:b/>
                <w:i w:val="0"/>
                <w:color w:val="000000"/>
                <w:sz w:val="17"/>
              </w:rPr>
              <w:t>Chi phí tín dụng (Credit Cost, %)</w:t>
            </w:r>
          </w:p>
        </w:tc>
        <w:tc>
          <w:tcPr>
            <w:tcW w:type="dxa" w:w="1296"/>
            <w:shd w:fill="FFFFFF"/>
            <w:tcMar>
              <w:top w:w="80" w:type="dxa"/>
              <w:bottom w:w="80" w:type="dxa"/>
              <w:left w:w="100" w:type="dxa"/>
              <w:right w:w="100" w:type="dxa"/>
            </w:tcMar>
          </w:tcPr>
          <w:p>
            <w:pPr>
              <w:spacing w:before="40" w:after="40" w:line="252" w:lineRule="auto"/>
              <w:jc w:val="center"/>
            </w:pPr>
            <w:r>
              <w:rPr>
                <w:rFonts w:ascii="Times New Roman" w:hAnsi="Times New Roman"/>
                <w:b/>
                <w:i w:val="0"/>
                <w:color w:val="000000"/>
                <w:sz w:val="17"/>
              </w:rPr>
              <w:t>Agribank</w:t>
            </w:r>
            <w:r>
              <w:br/>
            </w:r>
            <w:r>
              <w:rPr>
                <w:rFonts w:ascii="Times New Roman" w:hAnsi="Times New Roman"/>
                <w:b/>
                <w:i w:val="0"/>
                <w:color w:val="000000"/>
                <w:sz w:val="17"/>
              </w:rPr>
              <w:t>MB</w:t>
            </w:r>
          </w:p>
        </w:tc>
        <w:tc>
          <w:tcPr>
            <w:tcW w:type="dxa" w:w="1296"/>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1,66%</w:t>
            </w:r>
            <w:r>
              <w:br/>
            </w:r>
            <w:r>
              <w:rPr>
                <w:rFonts w:ascii="Times New Roman" w:hAnsi="Times New Roman"/>
                <w:b w:val="0"/>
                <w:i w:val="0"/>
                <w:color w:val="000000"/>
                <w:sz w:val="17"/>
              </w:rPr>
              <w:t>1,77%</w:t>
            </w:r>
          </w:p>
        </w:tc>
        <w:tc>
          <w:tcPr>
            <w:tcW w:type="dxa" w:w="1296"/>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0,23%</w:t>
            </w:r>
            <w:r>
              <w:br/>
            </w:r>
            <w:r>
              <w:rPr>
                <w:rFonts w:ascii="Times New Roman" w:hAnsi="Times New Roman"/>
                <w:b w:val="0"/>
                <w:i w:val="0"/>
                <w:color w:val="000000"/>
                <w:sz w:val="17"/>
              </w:rPr>
              <w:t>0,52%</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1,29% (2023)</w:t>
            </w:r>
            <w:r>
              <w:br/>
            </w:r>
            <w:r>
              <w:rPr>
                <w:rFonts w:ascii="Times New Roman" w:hAnsi="Times New Roman"/>
                <w:b w:val="0"/>
                <w:i w:val="0"/>
                <w:color w:val="000000"/>
                <w:sz w:val="17"/>
              </w:rPr>
              <w:t>1,14% (2023)</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1,97% (2022)</w:t>
            </w:r>
            <w:r>
              <w:br/>
            </w:r>
            <w:r>
              <w:rPr>
                <w:rFonts w:ascii="Times New Roman" w:hAnsi="Times New Roman"/>
                <w:b w:val="0"/>
                <w:i w:val="0"/>
                <w:color w:val="000000"/>
                <w:sz w:val="17"/>
              </w:rPr>
              <w:t>2,43% (2021)</w:t>
            </w:r>
          </w:p>
        </w:tc>
        <w:tc>
          <w:tcPr>
            <w:tcW w:type="dxa" w:w="2304"/>
            <w:shd w:fill="FFFFFF"/>
            <w:tcMar>
              <w:top w:w="80" w:type="dxa"/>
              <w:bottom w:w="80" w:type="dxa"/>
              <w:left w:w="100" w:type="dxa"/>
              <w:right w:w="100" w:type="dxa"/>
            </w:tcMar>
          </w:tcPr>
          <w:p>
            <w:pPr>
              <w:spacing w:before="40" w:after="40" w:line="252" w:lineRule="auto"/>
              <w:jc w:val="left"/>
            </w:pPr>
            <w:r>
              <w:rPr>
                <w:rFonts w:ascii="Times New Roman" w:hAnsi="Times New Roman"/>
                <w:b w:val="0"/>
                <w:i w:val="0"/>
                <w:color w:val="000000"/>
                <w:sz w:val="17"/>
              </w:rPr>
              <w:t>MB có độ phân tán chi phí tín dụng lớn gấp 2,3 lần Agribank.</w:t>
            </w:r>
          </w:p>
        </w:tc>
      </w:tr>
      <w:tr>
        <w:trPr>
          <w:cantSplit/>
        </w:trPr>
        <w:tc>
          <w:tcPr>
            <w:tcW w:type="dxa" w:w="2160"/>
            <w:shd w:fill="F2F5F9"/>
            <w:tcMar>
              <w:top w:w="80" w:type="dxa"/>
              <w:bottom w:w="80" w:type="dxa"/>
              <w:left w:w="100" w:type="dxa"/>
              <w:right w:w="100" w:type="dxa"/>
            </w:tcMar>
          </w:tcPr>
          <w:p>
            <w:pPr>
              <w:spacing w:before="40" w:after="40" w:line="252" w:lineRule="auto"/>
              <w:jc w:val="left"/>
            </w:pPr>
            <w:r>
              <w:rPr>
                <w:rFonts w:ascii="Times New Roman" w:hAnsi="Times New Roman"/>
                <w:b/>
                <w:i w:val="0"/>
                <w:color w:val="000000"/>
                <w:sz w:val="17"/>
              </w:rPr>
              <w:t>Tăng trưởng dư nợ cho vay (%)</w:t>
            </w:r>
          </w:p>
        </w:tc>
        <w:tc>
          <w:tcPr>
            <w:tcW w:type="dxa" w:w="1296"/>
            <w:shd w:fill="F2F5F9"/>
            <w:tcMar>
              <w:top w:w="80" w:type="dxa"/>
              <w:bottom w:w="80" w:type="dxa"/>
              <w:left w:w="100" w:type="dxa"/>
              <w:right w:w="100" w:type="dxa"/>
            </w:tcMar>
          </w:tcPr>
          <w:p>
            <w:pPr>
              <w:spacing w:before="40" w:after="40" w:line="252" w:lineRule="auto"/>
              <w:jc w:val="center"/>
            </w:pPr>
            <w:r>
              <w:rPr>
                <w:rFonts w:ascii="Times New Roman" w:hAnsi="Times New Roman"/>
                <w:b/>
                <w:i w:val="0"/>
                <w:color w:val="000000"/>
                <w:sz w:val="17"/>
              </w:rPr>
              <w:t>Agribank</w:t>
            </w:r>
            <w:r>
              <w:br/>
            </w:r>
            <w:r>
              <w:rPr>
                <w:rFonts w:ascii="Times New Roman" w:hAnsi="Times New Roman"/>
                <w:b/>
                <w:i w:val="0"/>
                <w:color w:val="000000"/>
                <w:sz w:val="17"/>
              </w:rPr>
              <w:t>MB</w:t>
            </w:r>
          </w:p>
        </w:tc>
        <w:tc>
          <w:tcPr>
            <w:tcW w:type="dxa" w:w="1296"/>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10,5%</w:t>
            </w:r>
            <w:r>
              <w:br/>
            </w:r>
            <w:r>
              <w:rPr>
                <w:rFonts w:ascii="Times New Roman" w:hAnsi="Times New Roman"/>
                <w:b w:val="0"/>
                <w:i w:val="0"/>
                <w:color w:val="000000"/>
                <w:sz w:val="17"/>
              </w:rPr>
              <w:t>27,9%</w:t>
            </w:r>
          </w:p>
        </w:tc>
        <w:tc>
          <w:tcPr>
            <w:tcW w:type="dxa" w:w="1296"/>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2,8%</w:t>
            </w:r>
            <w:r>
              <w:br/>
            </w:r>
            <w:r>
              <w:rPr>
                <w:rFonts w:ascii="Times New Roman" w:hAnsi="Times New Roman"/>
                <w:b w:val="0"/>
                <w:i w:val="0"/>
                <w:color w:val="000000"/>
                <w:sz w:val="17"/>
              </w:rPr>
              <w:t>7,3%</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7,4% (2023)</w:t>
            </w:r>
            <w:r>
              <w:br/>
            </w:r>
            <w:r>
              <w:rPr>
                <w:rFonts w:ascii="Times New Roman" w:hAnsi="Times New Roman"/>
                <w:b w:val="0"/>
                <w:i w:val="0"/>
                <w:color w:val="000000"/>
                <w:sz w:val="17"/>
              </w:rPr>
              <w:t>19,2% (2020)</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14,7% (2025)</w:t>
            </w:r>
            <w:r>
              <w:br/>
            </w:r>
            <w:r>
              <w:rPr>
                <w:rFonts w:ascii="Times New Roman" w:hAnsi="Times New Roman"/>
                <w:b w:val="0"/>
                <w:i w:val="0"/>
                <w:color w:val="000000"/>
                <w:sz w:val="17"/>
              </w:rPr>
              <w:t>39,6% (2025)</w:t>
            </w:r>
          </w:p>
        </w:tc>
        <w:tc>
          <w:tcPr>
            <w:tcW w:type="dxa" w:w="2304"/>
            <w:shd w:fill="F2F5F9"/>
            <w:tcMar>
              <w:top w:w="80" w:type="dxa"/>
              <w:bottom w:w="80" w:type="dxa"/>
              <w:left w:w="100" w:type="dxa"/>
              <w:right w:w="100" w:type="dxa"/>
            </w:tcMar>
          </w:tcPr>
          <w:p>
            <w:pPr>
              <w:spacing w:before="40" w:after="40" w:line="252" w:lineRule="auto"/>
              <w:jc w:val="left"/>
            </w:pPr>
            <w:r>
              <w:rPr>
                <w:rFonts w:ascii="Times New Roman" w:hAnsi="Times New Roman"/>
                <w:b w:val="0"/>
                <w:i w:val="0"/>
                <w:color w:val="000000"/>
                <w:sz w:val="17"/>
              </w:rPr>
              <w:t>MB mở rộng quy mô tín dụng nhanh gấp 2,7 lần Agribank xuyên suốt 6 năm.</w:t>
            </w:r>
          </w:p>
        </w:tc>
      </w:tr>
      <w:tr>
        <w:trPr>
          <w:cantSplit/>
        </w:trPr>
        <w:tc>
          <w:tcPr>
            <w:tcW w:type="dxa" w:w="2160"/>
            <w:shd w:fill="FFFFFF"/>
            <w:tcMar>
              <w:top w:w="80" w:type="dxa"/>
              <w:bottom w:w="80" w:type="dxa"/>
              <w:left w:w="100" w:type="dxa"/>
              <w:right w:w="100" w:type="dxa"/>
            </w:tcMar>
          </w:tcPr>
          <w:p>
            <w:pPr>
              <w:spacing w:before="40" w:after="40" w:line="252" w:lineRule="auto"/>
              <w:jc w:val="left"/>
            </w:pPr>
            <w:r>
              <w:rPr>
                <w:rFonts w:ascii="Times New Roman" w:hAnsi="Times New Roman"/>
                <w:b/>
                <w:i w:val="0"/>
                <w:color w:val="000000"/>
                <w:sz w:val="17"/>
              </w:rPr>
              <w:t>Hệ số an toàn vốn CAR (%)</w:t>
            </w:r>
          </w:p>
        </w:tc>
        <w:tc>
          <w:tcPr>
            <w:tcW w:type="dxa" w:w="1296"/>
            <w:shd w:fill="FFFFFF"/>
            <w:tcMar>
              <w:top w:w="80" w:type="dxa"/>
              <w:bottom w:w="80" w:type="dxa"/>
              <w:left w:w="100" w:type="dxa"/>
              <w:right w:w="100" w:type="dxa"/>
            </w:tcMar>
          </w:tcPr>
          <w:p>
            <w:pPr>
              <w:spacing w:before="40" w:after="40" w:line="252" w:lineRule="auto"/>
              <w:jc w:val="center"/>
            </w:pPr>
            <w:r>
              <w:rPr>
                <w:rFonts w:ascii="Times New Roman" w:hAnsi="Times New Roman"/>
                <w:b/>
                <w:i w:val="0"/>
                <w:color w:val="000000"/>
                <w:sz w:val="17"/>
              </w:rPr>
              <w:t>Agribank</w:t>
            </w:r>
            <w:r>
              <w:br/>
            </w:r>
            <w:r>
              <w:rPr>
                <w:rFonts w:ascii="Times New Roman" w:hAnsi="Times New Roman"/>
                <w:b/>
                <w:i w:val="0"/>
                <w:color w:val="000000"/>
                <w:sz w:val="17"/>
              </w:rPr>
              <w:t>MB</w:t>
            </w:r>
          </w:p>
        </w:tc>
        <w:tc>
          <w:tcPr>
            <w:tcW w:type="dxa" w:w="1296"/>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10,44%</w:t>
            </w:r>
            <w:r>
              <w:br/>
            </w:r>
            <w:r>
              <w:rPr>
                <w:rFonts w:ascii="Times New Roman" w:hAnsi="Times New Roman"/>
                <w:b w:val="0"/>
                <w:i w:val="0"/>
                <w:color w:val="000000"/>
                <w:sz w:val="17"/>
              </w:rPr>
              <w:t>11,30%</w:t>
            </w:r>
          </w:p>
        </w:tc>
        <w:tc>
          <w:tcPr>
            <w:tcW w:type="dxa" w:w="1296"/>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0,71%</w:t>
            </w:r>
            <w:r>
              <w:br/>
            </w:r>
            <w:r>
              <w:rPr>
                <w:rFonts w:ascii="Times New Roman" w:hAnsi="Times New Roman"/>
                <w:b w:val="0"/>
                <w:i w:val="0"/>
                <w:color w:val="000000"/>
                <w:sz w:val="17"/>
              </w:rPr>
              <w:t>0,50%</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9,20% (2023)</w:t>
            </w:r>
            <w:r>
              <w:br/>
            </w:r>
            <w:r>
              <w:rPr>
                <w:rFonts w:ascii="Times New Roman" w:hAnsi="Times New Roman"/>
                <w:b w:val="0"/>
                <w:i w:val="0"/>
                <w:color w:val="000000"/>
                <w:sz w:val="17"/>
              </w:rPr>
              <w:t>10,42% (2020)</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7"/>
              </w:rPr>
              <w:t>11,36% (2024)</w:t>
            </w:r>
            <w:r>
              <w:br/>
            </w:r>
            <w:r>
              <w:rPr>
                <w:rFonts w:ascii="Times New Roman" w:hAnsi="Times New Roman"/>
                <w:b w:val="0"/>
                <w:i w:val="0"/>
                <w:color w:val="000000"/>
                <w:sz w:val="17"/>
              </w:rPr>
              <w:t>11,80% (2024)</w:t>
            </w:r>
          </w:p>
        </w:tc>
        <w:tc>
          <w:tcPr>
            <w:tcW w:type="dxa" w:w="2304"/>
            <w:shd w:fill="FFFFFF"/>
            <w:tcMar>
              <w:top w:w="80" w:type="dxa"/>
              <w:bottom w:w="80" w:type="dxa"/>
              <w:left w:w="100" w:type="dxa"/>
              <w:right w:w="100" w:type="dxa"/>
            </w:tcMar>
          </w:tcPr>
          <w:p>
            <w:pPr>
              <w:spacing w:before="40" w:after="40" w:line="252" w:lineRule="auto"/>
              <w:jc w:val="left"/>
            </w:pPr>
            <w:r>
              <w:rPr>
                <w:rFonts w:ascii="Times New Roman" w:hAnsi="Times New Roman"/>
                <w:b w:val="0"/>
                <w:i w:val="0"/>
                <w:color w:val="000000"/>
                <w:sz w:val="17"/>
              </w:rPr>
              <w:t>Bộ đệm vốn của MB dày hơn Agribank trung bình 86 điểm cơ bản.</w:t>
            </w:r>
          </w:p>
        </w:tc>
      </w:tr>
    </w:tbl>
    <w:p>
      <w:pPr>
        <w:spacing w:before="60" w:after="240"/>
      </w:pPr>
      <w:r>
        <w:rPr>
          <w:rFonts w:ascii="Times New Roman" w:hAnsi="Times New Roman"/>
          <w:b w:val="0"/>
          <w:i/>
          <w:color w:val="505050"/>
          <w:sz w:val="18"/>
        </w:rPr>
        <w:t>Nguồn: Tính toán của nhóm nghiên cứu từ chuỗi dữ liệu gốc BCTC hợp nhất kiểm toán 2020–2025 tại sheet Du_lieu và Chi_tieu.</w:t>
      </w:r>
    </w:p>
    <w:p>
      <w:pPr>
        <w:keepNext/>
        <w:spacing w:before="200" w:after="80"/>
      </w:pPr>
      <w:r>
        <w:rPr>
          <w:rFonts w:ascii="Times New Roman" w:hAnsi="Times New Roman"/>
          <w:b/>
          <w:i w:val="0"/>
          <w:color w:val="002060"/>
          <w:sz w:val="22"/>
        </w:rPr>
        <w:t>Phụ lục 2. Ma trận hệ số tương quan (Correlation Matrix) giữa Tăng trưởng tín dụng, Nợ nhóm 2 và NPL</w:t>
      </w:r>
    </w:p>
    <w:tbl>
      <w:tblPr>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3168"/>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Biến số kinh tế lượng</w:t>
            </w:r>
          </w:p>
        </w:tc>
        <w:tc>
          <w:tcPr>
            <w:tcW w:type="dxa" w:w="1584"/>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(1) Tăng trưởng Dư nợ</w:t>
            </w:r>
          </w:p>
        </w:tc>
        <w:tc>
          <w:tcPr>
            <w:tcW w:type="dxa" w:w="1584"/>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(2) Tỷ lệ NPL</w:t>
            </w:r>
          </w:p>
        </w:tc>
        <w:tc>
          <w:tcPr>
            <w:tcW w:type="dxa" w:w="1584"/>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(3) Tỷ lệ Nợ nhóm 2</w:t>
            </w:r>
          </w:p>
        </w:tc>
        <w:tc>
          <w:tcPr>
            <w:tcW w:type="dxa" w:w="1584"/>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(4) Tỷ lệ LLCR</w:t>
            </w:r>
          </w:p>
        </w:tc>
        <w:tc>
          <w:tcPr>
            <w:tcW w:type="dxa" w:w="1584"/>
            <w:shd w:fill="1F497D"/>
            <w:tcMar>
              <w:top w:w="100" w:type="dxa"/>
              <w:bottom w:w="100" w:type="dxa"/>
              <w:left w:w="120" w:type="dxa"/>
              <w:right w:w="120" w:type="dxa"/>
            </w:tcMar>
          </w:tcPr>
          <w:p>
            <w:pPr>
              <w:spacing w:before="40" w:after="40" w:line="252" w:lineRule="auto"/>
              <w:jc w:val="center"/>
            </w:pPr>
            <w:r>
              <w:rPr>
                <w:rFonts w:ascii="Times New Roman" w:hAnsi="Times New Roman"/>
                <w:b/>
                <w:i w:val="0"/>
                <w:color w:val="FFFFFF"/>
                <w:sz w:val="18"/>
              </w:rPr>
              <w:t>(5) Credit Cost</w:t>
            </w:r>
          </w:p>
        </w:tc>
      </w:tr>
      <w:tr>
        <w:trPr>
          <w:cantSplit/>
        </w:trPr>
        <w:tc>
          <w:tcPr>
            <w:tcW w:type="dxa" w:w="3168"/>
            <w:shd w:fill="F2F5F9"/>
            <w:tcMar>
              <w:top w:w="80" w:type="dxa"/>
              <w:bottom w:w="80" w:type="dxa"/>
              <w:left w:w="100" w:type="dxa"/>
              <w:right w:w="100" w:type="dxa"/>
            </w:tcMar>
          </w:tcPr>
          <w:p>
            <w:pPr>
              <w:spacing w:before="40" w:after="40" w:line="252" w:lineRule="auto"/>
              <w:jc w:val="left"/>
            </w:pPr>
            <w:r>
              <w:rPr>
                <w:rFonts w:ascii="Times New Roman" w:hAnsi="Times New Roman"/>
                <w:b/>
                <w:i w:val="0"/>
                <w:color w:val="000000"/>
                <w:sz w:val="18"/>
              </w:rPr>
              <w:t>(1) Tăng trưởng Dư nợ</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i w:val="0"/>
                <w:color w:val="000000"/>
                <w:sz w:val="18"/>
              </w:rPr>
              <w:t>1,000</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−0,412*</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+0,185</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−0,324</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−0,158</w:t>
            </w:r>
          </w:p>
        </w:tc>
      </w:tr>
      <w:tr>
        <w:trPr>
          <w:cantSplit/>
        </w:trPr>
        <w:tc>
          <w:tcPr>
            <w:tcW w:type="dxa" w:w="3168"/>
            <w:shd w:fill="FFFFFF"/>
            <w:tcMar>
              <w:top w:w="80" w:type="dxa"/>
              <w:bottom w:w="80" w:type="dxa"/>
              <w:left w:w="100" w:type="dxa"/>
              <w:right w:w="100" w:type="dxa"/>
            </w:tcMar>
          </w:tcPr>
          <w:p>
            <w:pPr>
              <w:spacing w:before="40" w:after="40" w:line="252" w:lineRule="auto"/>
              <w:jc w:val="left"/>
            </w:pPr>
            <w:r>
              <w:rPr>
                <w:rFonts w:ascii="Times New Roman" w:hAnsi="Times New Roman"/>
                <w:b/>
                <w:i w:val="0"/>
                <w:color w:val="000000"/>
                <w:sz w:val="18"/>
              </w:rPr>
              <w:t>(2) Tỷ lệ NPL (Hợp nhất)</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−0,412*</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i w:val="0"/>
                <w:color w:val="000000"/>
                <w:sz w:val="18"/>
              </w:rPr>
              <w:t>1,000</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+0,684***</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+0,112</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+0,345*</w:t>
            </w:r>
          </w:p>
        </w:tc>
      </w:tr>
      <w:tr>
        <w:trPr>
          <w:cantSplit/>
        </w:trPr>
        <w:tc>
          <w:tcPr>
            <w:tcW w:type="dxa" w:w="3168"/>
            <w:shd w:fill="F2F5F9"/>
            <w:tcMar>
              <w:top w:w="80" w:type="dxa"/>
              <w:bottom w:w="80" w:type="dxa"/>
              <w:left w:w="100" w:type="dxa"/>
              <w:right w:w="100" w:type="dxa"/>
            </w:tcMar>
          </w:tcPr>
          <w:p>
            <w:pPr>
              <w:spacing w:before="40" w:after="40" w:line="252" w:lineRule="auto"/>
              <w:jc w:val="left"/>
            </w:pPr>
            <w:r>
              <w:rPr>
                <w:rFonts w:ascii="Times New Roman" w:hAnsi="Times New Roman"/>
                <w:b/>
                <w:i w:val="0"/>
                <w:color w:val="000000"/>
                <w:sz w:val="18"/>
              </w:rPr>
              <w:t>(3) Tỷ lệ Nợ nhóm 2</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+0,185</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+0,684***</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i w:val="0"/>
                <w:color w:val="000000"/>
                <w:sz w:val="18"/>
              </w:rPr>
              <w:t>1,000</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−0,518**</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+0,421*</w:t>
            </w:r>
          </w:p>
        </w:tc>
      </w:tr>
      <w:tr>
        <w:trPr>
          <w:cantSplit/>
        </w:trPr>
        <w:tc>
          <w:tcPr>
            <w:tcW w:type="dxa" w:w="3168"/>
            <w:shd w:fill="FFFFFF"/>
            <w:tcMar>
              <w:top w:w="80" w:type="dxa"/>
              <w:bottom w:w="80" w:type="dxa"/>
              <w:left w:w="100" w:type="dxa"/>
              <w:right w:w="100" w:type="dxa"/>
            </w:tcMar>
          </w:tcPr>
          <w:p>
            <w:pPr>
              <w:spacing w:before="40" w:after="40" w:line="252" w:lineRule="auto"/>
              <w:jc w:val="left"/>
            </w:pPr>
            <w:r>
              <w:rPr>
                <w:rFonts w:ascii="Times New Roman" w:hAnsi="Times New Roman"/>
                <w:b/>
                <w:i w:val="0"/>
                <w:color w:val="000000"/>
                <w:sz w:val="18"/>
              </w:rPr>
              <w:t>(4) Tỷ lệ bao phủ nợ xấu LLCR</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−0,324</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+0,112</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−0,518**</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i w:val="0"/>
                <w:color w:val="000000"/>
                <w:sz w:val="18"/>
              </w:rPr>
              <w:t>1,000</w:t>
            </w:r>
          </w:p>
        </w:tc>
        <w:tc>
          <w:tcPr>
            <w:tcW w:type="dxa" w:w="1584"/>
            <w:shd w:fill="FFFFFF"/>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+0,287</w:t>
            </w:r>
          </w:p>
        </w:tc>
      </w:tr>
      <w:tr>
        <w:trPr>
          <w:cantSplit/>
        </w:trPr>
        <w:tc>
          <w:tcPr>
            <w:tcW w:type="dxa" w:w="3168"/>
            <w:shd w:fill="F2F5F9"/>
            <w:tcMar>
              <w:top w:w="80" w:type="dxa"/>
              <w:bottom w:w="80" w:type="dxa"/>
              <w:left w:w="100" w:type="dxa"/>
              <w:right w:w="100" w:type="dxa"/>
            </w:tcMar>
          </w:tcPr>
          <w:p>
            <w:pPr>
              <w:spacing w:before="40" w:after="40" w:line="252" w:lineRule="auto"/>
              <w:jc w:val="left"/>
            </w:pPr>
            <w:r>
              <w:rPr>
                <w:rFonts w:ascii="Times New Roman" w:hAnsi="Times New Roman"/>
                <w:b/>
                <w:i w:val="0"/>
                <w:color w:val="000000"/>
                <w:sz w:val="18"/>
              </w:rPr>
              <w:t>(5) Chi phí tín dụng (Credit Cost)</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−0,158</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+0,345*</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+0,421*</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val="0"/>
                <w:i w:val="0"/>
                <w:color w:val="000000"/>
                <w:sz w:val="18"/>
              </w:rPr>
              <w:t>+0,287</w:t>
            </w:r>
          </w:p>
        </w:tc>
        <w:tc>
          <w:tcPr>
            <w:tcW w:type="dxa" w:w="1584"/>
            <w:shd w:fill="F2F5F9"/>
            <w:tcMar>
              <w:top w:w="80" w:type="dxa"/>
              <w:bottom w:w="80" w:type="dxa"/>
              <w:left w:w="100" w:type="dxa"/>
              <w:right w:w="100" w:type="dxa"/>
            </w:tcMar>
          </w:tcPr>
          <w:p>
            <w:pPr>
              <w:spacing w:before="40" w:after="40" w:line="252" w:lineRule="auto"/>
              <w:jc w:val="center"/>
            </w:pPr>
            <w:r>
              <w:rPr>
                <w:rFonts w:ascii="Times New Roman" w:hAnsi="Times New Roman"/>
                <w:b/>
                <w:i w:val="0"/>
                <w:color w:val="000000"/>
                <w:sz w:val="18"/>
              </w:rPr>
              <w:t>1,000</w:t>
            </w:r>
          </w:p>
        </w:tc>
      </w:tr>
    </w:tbl>
    <w:p>
      <w:pPr>
        <w:spacing w:before="60" w:after="240"/>
      </w:pPr>
      <w:r>
        <w:rPr>
          <w:rFonts w:ascii="Times New Roman" w:hAnsi="Times New Roman"/>
          <w:b w:val="0"/>
          <w:i/>
          <w:color w:val="505050"/>
          <w:sz w:val="18"/>
        </w:rPr>
        <w:t>Ghi chú: *** p&lt;0,01; ** p&lt;0,05; * p&lt;0,10. Tương quan dương mạnh giữa Nợ nhóm 2 và NPL (+0,684) khẳng định Nợ nhóm 2 là biến báo động sớm (Early Warning Indicator) có độ nhạy rất cao đối với nợ xấu kỳ kế tiếp.</w:t>
      </w:r>
    </w:p>
    <w:p>
      <w:pPr>
        <w:keepNext/>
        <w:spacing w:before="200" w:after="80"/>
      </w:pPr>
      <w:r>
        <w:rPr>
          <w:rFonts w:ascii="Times New Roman" w:hAnsi="Times New Roman"/>
          <w:b/>
          <w:i w:val="0"/>
          <w:color w:val="002060"/>
          <w:sz w:val="22"/>
        </w:rPr>
        <w:t>Phụ lục 3. Hướng dẫn kỹ thuật cập nhật Mục lục và Bảng biểu tự động trên Microsoft Word</w:t>
      </w:r>
    </w:p>
    <w:p>
      <w:pPr>
        <w:spacing w:before="80" w:after="280" w:line="276" w:lineRule="auto"/>
      </w:pPr>
      <w:r>
        <w:rPr>
          <w:rFonts w:ascii="Times New Roman" w:hAnsi="Times New Roman"/>
          <w:b w:val="0"/>
          <w:i w:val="0"/>
          <w:color w:val="000000"/>
          <w:sz w:val="21"/>
        </w:rPr>
        <w:t>Để cập nhật lại toàn bộ Mục lục nội dung, Danh mục bảng biểu và Danh mục hình vẽ khi văn bản có sự thay đổi phân trang:</w:t>
        <w:br/>
        <w:t xml:space="preserve">  1. Cập nhật tự động khi mở tệp: Tệp văn bản đã được cấu hình cờ w:updateFields = true. Khi mở tệp trên Microsoft Word, phần mềm sẽ tự động hiển thị thông báo nhắc nhở cập nhật toàn bộ trường trường dữ liệu và số trang.</w:t>
        <w:br/>
        <w:t xml:space="preserve">  2. Cập nhật thủ công nhanh bằng phím tắt: Nhấn tổ hợp phím Ctrl + A để chọn toàn bộ văn bản, sau đó nhấn phím F9 trên bàn phím. Khi hộp thoại xuất hiện, chọn 'Update entire table' (Cập nhật toàn bộ bảng) và nhấn OK.</w:t>
        <w:br/>
        <w:t xml:space="preserve">  3. Cập nhật qua thanh công cụ: Nhấp chuột phải trực tiếp vào vùng Mục lục, chọn 'Update Field' (Cập nhật trường) -&gt; chọn 'Update entire table'.</w:t>
      </w:r>
    </w:p>
    <w:sectPr w:rsidR="00F67131"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668825">
    <w:abstractNumId w:val="8"/>
  </w:num>
  <w:num w:numId="2" w16cid:durableId="2035568046">
    <w:abstractNumId w:val="6"/>
  </w:num>
  <w:num w:numId="3" w16cid:durableId="992371459">
    <w:abstractNumId w:val="5"/>
  </w:num>
  <w:num w:numId="4" w16cid:durableId="173150109">
    <w:abstractNumId w:val="4"/>
  </w:num>
  <w:num w:numId="5" w16cid:durableId="705102134">
    <w:abstractNumId w:val="7"/>
  </w:num>
  <w:num w:numId="6" w16cid:durableId="1794590664">
    <w:abstractNumId w:val="3"/>
  </w:num>
  <w:num w:numId="7" w16cid:durableId="2007172217">
    <w:abstractNumId w:val="2"/>
  </w:num>
  <w:num w:numId="8" w16cid:durableId="510409935">
    <w:abstractNumId w:val="1"/>
  </w:num>
  <w:num w:numId="9" w16cid:durableId="203615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F8E"/>
    <w:rsid w:val="00034616"/>
    <w:rsid w:val="0006063C"/>
    <w:rsid w:val="000770B1"/>
    <w:rsid w:val="001400D5"/>
    <w:rsid w:val="0015074B"/>
    <w:rsid w:val="0029639D"/>
    <w:rsid w:val="00326F90"/>
    <w:rsid w:val="004B291A"/>
    <w:rsid w:val="00AA1D8D"/>
    <w:rsid w:val="00B35C01"/>
    <w:rsid w:val="00B47730"/>
    <w:rsid w:val="00CB0664"/>
    <w:rsid w:val="00EF197F"/>
    <w:rsid w:val="00F671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D03C4"/>
  <w14:defaultImageDpi w14:val="300"/>
  <w15:docId w15:val="{0BD5ED08-C46C-4553-BDFA-01178FFBA73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770B1"/>
    <w:pPr>
      <w:spacing w:after="100"/>
    </w:pPr>
  </w:style>
  <w:style w:type="paragraph" w:styleId="TOC2">
    <w:name w:val="toc 2"/>
    <w:basedOn w:val="Normal"/>
    <w:next w:val="Normal"/>
    <w:autoRedefine/>
    <w:uiPriority w:val="39"/>
    <w:unhideWhenUsed/>
    <w:rsid w:val="000770B1"/>
    <w:pPr>
      <w:spacing w:after="100"/>
      <w:ind w:left="220"/>
    </w:pPr>
  </w:style>
  <w:style w:type="character" w:styleId="Hyperlink">
    <w:name w:val="Hyperlink"/>
    <w:basedOn w:val="DefaultParagraphFont"/>
    <w:uiPriority w:val="99"/>
    <w:unhideWhenUsed/>
    <w:rsid w:val="000770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36</Pages>
  <Words>14252</Words>
  <Characters>81239</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Thang Langg</cp:lastModifiedBy>
  <cp:revision>4</cp:revision>
  <dcterms:created xsi:type="dcterms:W3CDTF">2013-12-23T23:15:00Z</dcterms:created>
  <dcterms:modified xsi:type="dcterms:W3CDTF">2026-10-28T17:24:00Z</dcterms:modified>
  <cp:category/>
</cp:coreProperties>
</file>