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3A29"/>
          <w:sz w:val="56"/>
          <w:szCs w:val="56"/>
        </w:rPr>
        <w:t xml:space="preserve">HỆ THỐNG KIẾN THỨC KINH TẾ HỌC</w:t>
      </w:r>
    </w:p>
    <w:p>
      <w:pPr>
        <w:spacing w:after="200" w:before="200"/>
        <w:jc w:val="center"/>
      </w:pPr>
      <w:r>
        <w:rPr>
          <w:color w:val="555555"/>
          <w:sz w:val="30"/>
          <w:szCs w:val="30"/>
        </w:rPr>
        <w:t xml:space="preserve">Phần A: Nền tảng  ·  Phần B: Nâng cao (trình độ tiến sĩ)</w:t>
      </w:r>
    </w:p>
    <w:p>
      <w:pPr>
        <w:spacing w:before="500"/>
        <w:jc w:val="center"/>
      </w:pPr>
      <w:r>
        <w:rPr>
          <w:i/>
          <w:iCs/>
          <w:color w:val="777777"/>
          <w:sz w:val="20"/>
          <w:szCs w:val="20"/>
        </w:rPr>
        <w:t xml:space="preserve">Phần A — Chi phí chìm · Lợi thế so sánh · Thông tin bất cân xứng · Cân bằng Nash · Ác cảm mất mát · Vĩ mô</w:t>
      </w:r>
    </w:p>
    <w:p>
      <w:pPr>
        <w:spacing w:before="120"/>
        <w:jc w:val="center"/>
      </w:pPr>
      <w:r>
        <w:rPr>
          <w:i/>
          <w:iCs/>
          <w:color w:val="777777"/>
          <w:sz w:val="20"/>
          <w:szCs w:val="20"/>
        </w:rPr>
        <w:t xml:space="preserve">Phần B — Cân bằng tổng quát · Định lý phúc lợi · Tăng trưởng nội sinh · DSGE · (đang mở rộng...)</w:t>
      </w:r>
    </w:p>
    <w:p>
      <w:r>
        <w:br w:type="page"/>
      </w:r>
    </w:p>
    <w:p>
      <w:pPr>
        <w:spacing w:after="160" w:before="240"/>
      </w:pPr>
      <w:r>
        <w:rPr>
          <w:b/>
          <w:bCs/>
          <w:color w:val="5B3A29"/>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hd w:fill="2B2B2B" w:color="auto" w:val="clear"/>
        <w:spacing w:after="200" w:before="160"/>
        <w:outlineLvl w:val="0"/>
      </w:pPr>
      <w:r>
        <w:rPr>
          <w:color w:val="FFFFFF"/>
        </w:rPr>
        <w:t xml:space="preserve">PHẦN A — NỀN TẢNG</w:t>
      </w:r>
    </w:p>
    <w:p>
      <w:pPr>
        <w:spacing w:after="300"/>
      </w:pPr>
      <w:r>
        <w:rPr>
          <w:i/>
          <w:iCs/>
          <w:color w:val="666666"/>
        </w:rPr>
        <w:t xml:space="preserve">Bảy nhóm khái niệm kinh tế học nền tảng, hệ thống theo "điểm mù" — tình huống thực tế dễ khiến ta quên nhận ra đây là lúc áp dụng khái niệm đã biết.</w:t>
      </w:r>
    </w:p>
    <w:p>
      <w:r>
        <w:br w:type="page"/>
      </w:r>
    </w:p>
    <w:p>
      <w:pPr>
        <w:pStyle w:val="Heading2"/>
        <w:shd w:fill="F5E6A8" w:color="auto" w:val="clear"/>
        <w:spacing w:after="200" w:before="120"/>
        <w:outlineLvl w:val="1"/>
      </w:pPr>
      <w:r>
        <w:rPr>
          <w:color w:val="5B3A29"/>
        </w:rPr>
        <w:t xml:space="preserve">1. Thị trường &amp; Giá</w:t>
      </w:r>
    </w:p>
    <w:p>
      <w:pPr>
        <w:spacing w:after="240"/>
      </w:pPr>
      <w:r>
        <w:rPr>
          <w:i/>
          <w:iCs/>
          <w:color w:val="444444"/>
        </w:rPr>
        <w:t xml:space="preserve">Nhóm nền tảng nhất: giải thích giá cả hình thành thế nào và vì sao thị trường tự do thường phân bổ nguồn lực hiệu quả. Đây là bộ công cụ để đọc mọi biến động giá trong đời sống — từ giá xăng, giá nhà đến lương nhân sự.</w:t>
      </w:r>
    </w:p>
    <w:p>
      <w:pPr>
        <w:pStyle w:val="Heading3"/>
        <w:spacing w:after="120" w:before="240"/>
        <w:outlineLvl w:val="2"/>
      </w:pPr>
      <w:r>
        <w:t xml:space="preserve">Cung – Cầu (Supply &amp; Demand)</w:t>
      </w:r>
    </w:p>
    <w:p>
      <w:pPr>
        <w:spacing w:after="160"/>
      </w:pPr>
      <w:r>
        <w:rPr>
          <w:b/>
          <w:bCs/>
          <w:color w:val="5B3A29"/>
        </w:rPr>
        <w:t xml:space="preserve">Cốt lõi: </w:t>
      </w:r>
      <w:r>
        <w:t xml:space="preserve">Giá và sản lượng cân bằng của một thị trường được xác định tại giao điểm giữa đường cung (lượng người bán sẵn sàng bán ở mỗi mức giá) và đường cầu (lượng người mua sẵn sàng mua ở mỗi mức giá). Khi một trong hai đường dịch chuyển do các yếu tố ngoài giá (thu nhập, thị hiếu, chi phí đầu vào, kỳ vọng...), điểm cân bằng mới sẽ hình thành.</w:t>
      </w:r>
    </w:p>
    <w:p>
      <w:pPr>
        <w:spacing w:after="160"/>
      </w:pPr>
      <w:r>
        <w:rPr>
          <w:b/>
          <w:bCs/>
          <w:color w:val="5B3A29"/>
        </w:rPr>
        <w:t xml:space="preserve">Điểm mù thường gặp: </w:t>
      </w:r>
      <w:r>
        <w:t xml:space="preserve">Khi đọc một tin biến động giá (xăng tăng, nhà đất sốt...), phản xạ đầu tiên thường là kết luận cảm tính ngay ("chắc do nhu cầu tăng") mà quên dừng lại đặt đúng câu hỏi phân tích: yếu tố nào đang dịch chuyển — đường cung hay đường cầu — trước khi suy ra nguyên nhân thực sự.</w:t>
      </w:r>
    </w:p>
    <w:p>
      <w:pPr>
        <w:spacing w:after="160"/>
      </w:pPr>
      <w:r>
        <w:rPr>
          <w:b/>
          <w:bCs/>
          <w:color w:val="5B3A29"/>
        </w:rPr>
        <w:t xml:space="preserve">Ứng dụng thực tế: </w:t>
      </w:r>
      <w:r>
        <w:t xml:space="preserve">Khi giá xăng thế giới tăng đột biến, chi phí vận chuyển (một đầu vào) tăng khiến đường cung nhiều loại hàng hóa dịch trái — giá bán lẻ tăng dù nhu cầu tiêu dùng không đổi. Phân biệt đúng nguyên nhân giúp doanh nghiệp chọn đúng biện pháp ứng phó: đàm phán lại nhà cung cấp thay vì cắt giảm marketing.</w:t>
      </w:r>
    </w:p>
    <w:p>
      <w:pPr>
        <w:pStyle w:val="Heading3"/>
        <w:spacing w:after="120" w:before="240"/>
        <w:outlineLvl w:val="2"/>
      </w:pPr>
      <w:r>
        <w:t xml:space="preserve">Độ co giãn (Elasticity)</w:t>
      </w:r>
    </w:p>
    <w:p>
      <w:pPr>
        <w:spacing w:after="160"/>
      </w:pPr>
      <w:r>
        <w:rPr>
          <w:b/>
          <w:bCs/>
          <w:color w:val="5B3A29"/>
        </w:rPr>
        <w:t xml:space="preserve">Cốt lõi: </w:t>
      </w:r>
      <w:r>
        <w:t xml:space="preserve">Đo mức độ nhạy cảm của lượng cầu (hoặc cung) khi giá thay đổi 1%. Cầu co giãn nhiều (|E|&gt;1) nghĩa là người mua dễ dàng chuyển sang lựa chọn khác khi giá tăng; cầu co giãn ít (|E|&lt;1) nghĩa là người mua vẫn mua gần như cũ dù giá đổi — thường gặp ở hàng thiết yếu, ít hàng thay thế.</w:t>
      </w:r>
    </w:p>
    <w:p>
      <w:pPr>
        <w:spacing w:after="160"/>
      </w:pPr>
      <w:r>
        <w:rPr>
          <w:b/>
          <w:bCs/>
          <w:color w:val="5B3A29"/>
        </w:rPr>
        <w:t xml:space="preserve">Điểm mù thường gặp: </w:t>
      </w:r>
      <w:r>
        <w:t xml:space="preserve">Khi chi phí đầu vào tăng và cần điều chỉnh giá bán, phản xạ thường là tăng giá đồng loạt mọi sản phẩm mà quên dừng lại hỏi: sản phẩm nào khách hàng dễ tìm được lựa chọn thay thế? Bỏ qua câu hỏi này khiến chiến lược giá phản tác dụng đúng ở những sản phẩm co giãn nhiều nhất.</w:t>
      </w:r>
    </w:p>
    <w:p>
      <w:pPr>
        <w:spacing w:after="160"/>
      </w:pPr>
      <w:r>
        <w:rPr>
          <w:b/>
          <w:bCs/>
          <w:color w:val="5B3A29"/>
        </w:rPr>
        <w:t xml:space="preserve">Ứng dụng thực tế: </w:t>
      </w:r>
      <w:r>
        <w:t xml:space="preserve">Một quán cà phê có thể tăng giá cà phê đặc sản (cầu co giãn ít, khách trung thành, ít nơi thay thế) nhưng nên giữ nguyên giá nước lọc/trà đá (cầu co giãn nhiều, dễ bị so sánh) để tối ưu tổng doanh thu thay vì tăng đều mọi món.</w:t>
      </w:r>
    </w:p>
    <w:p>
      <w:pPr>
        <w:pStyle w:val="Heading3"/>
        <w:spacing w:after="120" w:before="240"/>
        <w:outlineLvl w:val="2"/>
      </w:pPr>
      <w:r>
        <w:t xml:space="preserve">Thặng dư tiêu dùng / sản xuất</w:t>
      </w:r>
    </w:p>
    <w:p>
      <w:pPr>
        <w:spacing w:after="160"/>
      </w:pPr>
      <w:r>
        <w:rPr>
          <w:b/>
          <w:bCs/>
          <w:color w:val="5B3A29"/>
        </w:rPr>
        <w:t xml:space="preserve">Cốt lõi: </w:t>
      </w:r>
      <w:r>
        <w:t xml:space="preserve">Thặng dư tiêu dùng là phần chênh lệch giữa mức giá người mua sẵn sàng trả và mức giá thực trả (họ được lợi). Thặng dư sản xuất là chênh lệch giữa giá bán thực nhận và chi phí tối thiểu người bán chấp nhận. Tổng hai loại thặng dư đo phúc lợi xã hội tạo ra từ một giao dịch.</w:t>
      </w:r>
    </w:p>
    <w:p>
      <w:pPr>
        <w:spacing w:after="160"/>
      </w:pPr>
      <w:r>
        <w:rPr>
          <w:b/>
          <w:bCs/>
          <w:color w:val="5B3A29"/>
        </w:rPr>
        <w:t xml:space="preserve">Điểm mù thường gặp: </w:t>
      </w:r>
      <w:r>
        <w:t xml:space="preserve">Khi đánh giá một chính sách (áp trần giá, đánh thuế, trợ giá), phản xạ thường dừng lại ở câu hỏi "ai được lợi" mà quên đi tìm phần "tổn thất vô ích" (deadweight loss) — phần thặng dư biến mất hoàn toàn chứ không chuyển từ bên này sang bên kia.</w:t>
      </w:r>
    </w:p>
    <w:p>
      <w:pPr>
        <w:spacing w:after="160"/>
      </w:pPr>
      <w:r>
        <w:rPr>
          <w:b/>
          <w:bCs/>
          <w:color w:val="5B3A29"/>
        </w:rPr>
        <w:t xml:space="preserve">Ứng dụng thực tế: </w:t>
      </w:r>
      <w:r>
        <w:t xml:space="preserve">Áp trần giá thuê nhà giúp người thuê hiện tại được lợi (thặng dư tiêu dùng cao hơn) nhưng làm giảm nguồn cung nhà cho thuê mới, tạo tổn thất vô ích cho cả xã hội — đây là lý do nhiều nhà kinh tế cảnh báo về hệ quả dài hạn của kiểm soát giá.</w:t>
      </w:r>
    </w:p>
    <w:p>
      <w:pPr>
        <w:pBdr>
          <w:bottom w:val="single" w:color="CCCCCC" w:sz="6" w:space="1"/>
        </w:pBdr>
        <w:spacing w:after="200"/>
      </w:pPr>
    </w:p>
    <w:p>
      <w:r>
        <w:br w:type="page"/>
      </w:r>
    </w:p>
    <w:p>
      <w:pPr>
        <w:pStyle w:val="Heading2"/>
        <w:shd w:fill="F3B9B9" w:color="auto" w:val="clear"/>
        <w:spacing w:after="200" w:before="120"/>
        <w:outlineLvl w:val="1"/>
      </w:pPr>
      <w:r>
        <w:rPr>
          <w:color w:val="5B3A29"/>
        </w:rPr>
        <w:t xml:space="preserve">2. Thất bại thị trường</w:t>
      </w:r>
    </w:p>
    <w:p>
      <w:pPr>
        <w:spacing w:after="240"/>
      </w:pPr>
      <w:r>
        <w:rPr>
          <w:i/>
          <w:iCs/>
          <w:color w:val="444444"/>
        </w:rPr>
        <w:t xml:space="preserve">Thị trường tự do không phải lúc nào cũng hiệu quả. Nhóm này hệ thống 4 lý do kinh điển khiến thị trường "thất bại" — và cũng là lý do chính đáng cho sự can thiệp của nhà nước hoặc thiết kế hợp đồng/thể chế.</w:t>
      </w:r>
    </w:p>
    <w:p>
      <w:pPr>
        <w:pStyle w:val="Heading3"/>
        <w:spacing w:after="120" w:before="240"/>
        <w:outlineLvl w:val="2"/>
      </w:pPr>
      <w:r>
        <w:t xml:space="preserve">Ngoại tác (Externalities)</w:t>
      </w:r>
    </w:p>
    <w:p>
      <w:pPr>
        <w:spacing w:after="160"/>
      </w:pPr>
      <w:r>
        <w:rPr>
          <w:b/>
          <w:bCs/>
          <w:color w:val="5B3A29"/>
        </w:rPr>
        <w:t xml:space="preserve">Cốt lõi: </w:t>
      </w:r>
      <w:r>
        <w:t xml:space="preserve">Xảy ra khi hành động của một bên tạo ra chi phí hoặc lợi ích cho bên thứ ba không tham gia giao dịch, mà không được phản ánh vào giá. Ngoại tác tiêu cực (ô nhiễm) khiến thị trường sản xuất quá nhiều; ngoại tác tích cực (giáo dục, tiêm chủng) khiến thị trường cung cấp quá ít so với mức tối ưu xã hội.</w:t>
      </w:r>
    </w:p>
    <w:p>
      <w:pPr>
        <w:spacing w:after="160"/>
      </w:pPr>
      <w:r>
        <w:rPr>
          <w:b/>
          <w:bCs/>
          <w:color w:val="5B3A29"/>
        </w:rPr>
        <w:t xml:space="preserve">Điểm mù thường gặp: </w:t>
      </w:r>
      <w:r>
        <w:t xml:space="preserve">Chỉ nghĩ ngay đến ngoại tác môi trường mà quên nhận ra ngoại tác cũng xảy ra trong công việc hằng ngày — một nhân viên trễ deadline tạo ngoại tác tiêu cực lên cả nhóm, nhưng vì không mang tên "ô nhiễm" nên hiếm khi được nhận diện và tính chi phí đúng như bản chất của nó.</w:t>
      </w:r>
    </w:p>
    <w:p>
      <w:pPr>
        <w:spacing w:after="160"/>
      </w:pPr>
      <w:r>
        <w:rPr>
          <w:b/>
          <w:bCs/>
          <w:color w:val="5B3A29"/>
        </w:rPr>
        <w:t xml:space="preserve">Ứng dụng thực tế: </w:t>
      </w:r>
      <w:r>
        <w:t xml:space="preserve">Thuế carbon là công cụ kinh điển để "nội hóa" ngoại tác tiêu cực — buộc người gây ô nhiễm trả đúng chi phí xã hội họ tạo ra, thay vì đẩy chi phí đó cho cộng đồng gánh chịu miễn phí.</w:t>
      </w:r>
    </w:p>
    <w:p>
      <w:pPr>
        <w:pStyle w:val="Heading3"/>
        <w:spacing w:after="120" w:before="240"/>
        <w:outlineLvl w:val="2"/>
      </w:pPr>
      <w:r>
        <w:t xml:space="preserve">Thông tin bất cân xứng</w:t>
      </w:r>
    </w:p>
    <w:p>
      <w:pPr>
        <w:spacing w:after="160"/>
      </w:pPr>
      <w:r>
        <w:rPr>
          <w:b/>
          <w:bCs/>
          <w:color w:val="5B3A29"/>
        </w:rPr>
        <w:t xml:space="preserve">Cốt lõi: </w:t>
      </w:r>
      <w:r>
        <w:t xml:space="preserve">Một bên trong giao dịch có nhiều thông tin hơn bên kia, dẫn đến lựa chọn ngược (adverse selection — bên thiếu thông tin dễ chọn phải hàng/đối tác kém chất lượng) hoặc rủi ro đạo đức (moral hazard — bên được bảo vệ hành động liều lĩnh hơn).</w:t>
      </w:r>
    </w:p>
    <w:p>
      <w:pPr>
        <w:spacing w:after="160"/>
      </w:pPr>
      <w:r>
        <w:rPr>
          <w:b/>
          <w:bCs/>
          <w:color w:val="5B3A29"/>
        </w:rPr>
        <w:t xml:space="preserve">Điểm mù thường gặp: </w:t>
      </w:r>
      <w:r>
        <w:t xml:space="preserve">Trong đàm phán M&amp;A hoặc mua nhà đất, người mua thường tin lời người bán mà quên nhận ra một sự thật cấu trúc: bên bán LUÔN có động cơ và thông tin để che giấu nhược điểm — đây chính là lý do due diligence, bảo hành (warranty), và tài khoản ký quỹ (escrow) tồn tại như công cụ bắt buộc chứ không phải thủ tục hình thức.</w:t>
      </w:r>
    </w:p>
    <w:p>
      <w:pPr>
        <w:spacing w:after="160"/>
      </w:pPr>
      <w:r>
        <w:rPr>
          <w:b/>
          <w:bCs/>
          <w:color w:val="5B3A29"/>
        </w:rPr>
        <w:t xml:space="preserve">Ứng dụng thực tế: </w:t>
      </w:r>
      <w:r>
        <w:t xml:space="preserve">Bảo hiểm y tế tự nguyện dễ gặp lựa chọn ngược: người biết mình có nguy cơ sức khỏe cao có xu hướng mua bảo hiểm nhiều hơn người khỏe mạnh, đẩy chi phí trung bình của quỹ bảo hiểm lên cao — buộc công ty bảo hiểm phải sàng lọc hoặc tăng phí.</w:t>
      </w:r>
    </w:p>
    <w:p>
      <w:pPr>
        <w:pStyle w:val="Heading3"/>
        <w:spacing w:after="120" w:before="240"/>
        <w:outlineLvl w:val="2"/>
      </w:pPr>
      <w:r>
        <w:t xml:space="preserve">Hàng hóa công (Public goods)</w:t>
      </w:r>
    </w:p>
    <w:p>
      <w:pPr>
        <w:spacing w:after="160"/>
      </w:pPr>
      <w:r>
        <w:rPr>
          <w:b/>
          <w:bCs/>
          <w:color w:val="5B3A29"/>
        </w:rPr>
        <w:t xml:space="preserve">Cốt lõi: </w:t>
      </w:r>
      <w:r>
        <w:t xml:space="preserve">Hàng hóa có hai đặc tính: không cạnh tranh trong tiêu dùng (người này dùng không làm giảm phần người khác) và không loại trừ được (không thể ngăn người không trả tiền vẫn hưởng lợi). Vì vậy thị trường tư nhân có xu hướng cung cấp dưới mức cần thiết — gọi là vấn đề "kẻ ăn theo" (free-rider).</w:t>
      </w:r>
    </w:p>
    <w:p>
      <w:pPr>
        <w:spacing w:after="160"/>
      </w:pPr>
      <w:r>
        <w:rPr>
          <w:b/>
          <w:bCs/>
          <w:color w:val="5B3A29"/>
        </w:rPr>
        <w:t xml:space="preserve">Điểm mù thường gặp: </w:t>
      </w:r>
      <w:r>
        <w:t xml:space="preserve">Trước một vấn đề tập thể (ô nhiễm không khí, an ninh khu phố, nghiên cứu cơ bản), phản xạ "để thị trường/tư nhân tự lo" thường xuất hiện trước khi kịp nhận ra bản chất hàng hoá công của vấn đề — không cạnh tranh và không loại trừ được — khiến cơ chế giá tự nó không thể hoạt động.</w:t>
      </w:r>
    </w:p>
    <w:p>
      <w:pPr>
        <w:spacing w:after="160"/>
      </w:pPr>
      <w:r>
        <w:rPr>
          <w:b/>
          <w:bCs/>
          <w:color w:val="5B3A29"/>
        </w:rPr>
        <w:t xml:space="preserve">Ứng dụng thực tế: </w:t>
      </w:r>
      <w:r>
        <w:t xml:space="preserve">Nghiên cứu khoa học cơ bản (không tạo sản phẩm bán được ngay) thường do nhà nước hoặc quỹ phi lợi nhuận tài trợ, vì doanh nghiệp tư nhân không thể thu phí từ tất cả những ai hưởng lợi từ tri thức đó sau này.</w:t>
      </w:r>
    </w:p>
    <w:p>
      <w:pPr>
        <w:pStyle w:val="Heading3"/>
        <w:spacing w:after="120" w:before="240"/>
        <w:outlineLvl w:val="2"/>
      </w:pPr>
      <w:r>
        <w:t xml:space="preserve">Sức mạnh độc quyền (Market power)</w:t>
      </w:r>
    </w:p>
    <w:p>
      <w:pPr>
        <w:spacing w:after="160"/>
      </w:pPr>
      <w:r>
        <w:rPr>
          <w:b/>
          <w:bCs/>
          <w:color w:val="5B3A29"/>
        </w:rPr>
        <w:t xml:space="preserve">Cốt lõi: </w:t>
      </w:r>
      <w:r>
        <w:t xml:space="preserve">Khi một doanh nghiệp (độc quyền) hoặc một nhóm nhỏ doanh nghiệp (độc quyền nhóm) có khả năng định giá cao hơn chi phí biên mà không mất hết khách hàng, sản lượng thị trường sẽ thấp hơn và giá cao hơn mức cạnh tranh — tạo tổn thất vô ích cho xã hội.</w:t>
      </w:r>
    </w:p>
    <w:p>
      <w:pPr>
        <w:spacing w:after="160"/>
      </w:pPr>
      <w:r>
        <w:rPr>
          <w:b/>
          <w:bCs/>
          <w:color w:val="5B3A29"/>
        </w:rPr>
        <w:t xml:space="preserve">Điểm mù thường gặp: </w:t>
      </w:r>
      <w:r>
        <w:t xml:space="preserve">Khi đánh giá một ngành hay một thương vụ M&amp;A, dễ chỉ nhìn vào QUY MÔ doanh nghiệp mà quên kiểm tra đúng hai yếu tố quyết định sức mạnh định giá thực sự: rào cản gia nhập ngành và mức độ thay thế của sản phẩm — một công ty nhỏ trong thị trường ngách không đối thủ vẫn có thể có sức mạnh định giá cao.</w:t>
      </w:r>
    </w:p>
    <w:p>
      <w:pPr>
        <w:spacing w:after="160"/>
      </w:pPr>
      <w:r>
        <w:rPr>
          <w:b/>
          <w:bCs/>
          <w:color w:val="5B3A29"/>
        </w:rPr>
        <w:t xml:space="preserve">Ứng dụng thực tế: </w:t>
      </w:r>
      <w:r>
        <w:t xml:space="preserve">Cơ quan quản lý cạnh tranh thường chặn các thương vụ M&amp;A giữa hai đối thủ trực tiếp lớn trong cùng ngành hẹp (ví dụ hai hãng viễn thông) vì lo ngại giảm số người chơi sẽ làm tăng sức mạnh định giá chung của ngành, dù mỗi công ty trước sáp nhập không hẳn đã "độc quyền".</w:t>
      </w:r>
    </w:p>
    <w:p>
      <w:pPr>
        <w:pBdr>
          <w:bottom w:val="single" w:color="CCCCCC" w:sz="6" w:space="1"/>
        </w:pBdr>
        <w:spacing w:after="200"/>
      </w:pPr>
    </w:p>
    <w:p>
      <w:r>
        <w:br w:type="page"/>
      </w:r>
    </w:p>
    <w:p>
      <w:pPr>
        <w:pStyle w:val="Heading2"/>
        <w:shd w:fill="CFE3F7" w:color="auto" w:val="clear"/>
        <w:spacing w:after="200" w:before="120"/>
        <w:outlineLvl w:val="1"/>
      </w:pPr>
      <w:r>
        <w:rPr>
          <w:color w:val="5B3A29"/>
        </w:rPr>
        <w:t xml:space="preserve">3. Ra quyết định</w:t>
      </w:r>
    </w:p>
    <w:p>
      <w:pPr>
        <w:spacing w:after="240"/>
      </w:pPr>
      <w:r>
        <w:rPr>
          <w:i/>
          <w:iCs/>
          <w:color w:val="444444"/>
        </w:rPr>
        <w:t xml:space="preserve">Nhóm công cụ tư duy cá nhân — cách một nhà kinh tế "lý tính" cân nhắc lựa chọn. Đây là nhóm dễ nhớ về mặt lý thuyết nhưng khó áp dụng nhất trong thực tế, vì nó đi ngược lại nhiều bản năng tâm lý tự nhiên (xem thêm Nhóm 6).</w:t>
      </w:r>
    </w:p>
    <w:p>
      <w:pPr>
        <w:pStyle w:val="Heading3"/>
        <w:spacing w:after="120" w:before="240"/>
        <w:outlineLvl w:val="2"/>
      </w:pPr>
      <w:r>
        <w:t xml:space="preserve">Chi phí cơ hội (Opportunity cost)</w:t>
      </w:r>
    </w:p>
    <w:p>
      <w:pPr>
        <w:spacing w:after="160"/>
      </w:pPr>
      <w:r>
        <w:rPr>
          <w:b/>
          <w:bCs/>
          <w:color w:val="5B3A29"/>
        </w:rPr>
        <w:t xml:space="preserve">Cốt lõi: </w:t>
      </w:r>
      <w:r>
        <w:t xml:space="preserve">Giá trị của lựa chọn tốt nhất bị bỏ qua khi ta chọn một phương án. Đây là chi phí thực sự cần cân nhắc khi ra quyết định — không chỉ là tiền bỏ ra, mà cả thời gian, công sức, và những gì lẽ ra có thể đạt được nếu chọn hướng khác.</w:t>
      </w:r>
    </w:p>
    <w:p>
      <w:pPr>
        <w:spacing w:after="160"/>
      </w:pPr>
      <w:r>
        <w:rPr>
          <w:b/>
          <w:bCs/>
          <w:color w:val="5B3A29"/>
        </w:rPr>
        <w:t xml:space="preserve">Điểm mù thường gặp: </w:t>
      </w:r>
      <w:r>
        <w:t xml:space="preserve">Chỉ tính chi phí bằng tiền mặt bỏ ra mà quên tính thời gian hoặc nguồn lực đã dùng vào việc khác — ví dụ tự làm một việc "để tiết kiệm tiền thuê ngoài" trong khi thời gian đó lẽ ra tạo ra giá trị lớn hơn nếu dùng vào chuyên môn chính.</w:t>
      </w:r>
    </w:p>
    <w:p>
      <w:pPr>
        <w:spacing w:after="160"/>
      </w:pPr>
      <w:r>
        <w:rPr>
          <w:b/>
          <w:bCs/>
          <w:color w:val="5B3A29"/>
        </w:rPr>
        <w:t xml:space="preserve">Ứng dụng thực tế: </w:t>
      </w:r>
      <w:r>
        <w:t xml:space="preserve">Một nhà sáng lập tự làm kế toán để "tiết kiệm chi phí" — nhưng nếu 5 giờ mỗi tuần đó dùng để gặp khách hàng có thể mang lại doanh thu lớn hơn nhiều lần phí thuê kế toán, thì việc tự làm đang tốn chi phí cơ hội cao hơn lợi ích tưởng tượng.</w:t>
      </w:r>
    </w:p>
    <w:p>
      <w:pPr>
        <w:pStyle w:val="Heading3"/>
        <w:spacing w:after="120" w:before="240"/>
        <w:outlineLvl w:val="2"/>
      </w:pPr>
      <w:r>
        <w:t xml:space="preserve">Chi phí chìm (Sunk cost)</w:t>
      </w:r>
    </w:p>
    <w:p>
      <w:pPr>
        <w:spacing w:after="160"/>
      </w:pPr>
      <w:r>
        <w:rPr>
          <w:b/>
          <w:bCs/>
          <w:color w:val="5B3A29"/>
        </w:rPr>
        <w:t xml:space="preserve">Cốt lõi: </w:t>
      </w:r>
      <w:r>
        <w:t xml:space="preserve">Chi phí đã bỏ ra và không thể thu hồi, dù có tiếp tục hay dừng lại. Nguyên tắc ra quyết định hợp lý (chiết khấu dòng tiền, relevant costing) là chỉ dòng tiền và lợi ích trong tương lai mới nên ảnh hưởng đến quyết định — chi phí chìm không nên xuất hiện trong phép tính.</w:t>
      </w:r>
    </w:p>
    <w:p>
      <w:pPr>
        <w:spacing w:after="160"/>
      </w:pPr>
      <w:r>
        <w:rPr>
          <w:b/>
          <w:bCs/>
          <w:color w:val="5B3A29"/>
        </w:rPr>
        <w:t xml:space="preserve">Điểm mù thường gặp: </w:t>
      </w:r>
      <w:r>
        <w:t xml:space="preserve">Ngay tại thời điểm cân nhắc có nên tiếp tục một dự án đang lỗ, ta hiếm khi dừng lại để nhận ra đây chính là một tình huống "chi phí chìm" — cảm giác "đã đầu tư quá nhiều để bỏ giữa chừng" xuất hiện trước, và phép tính lý tính chỉ được gọi ra (nếu có) sau khi quyết định cảm tính đã hình thành.</w:t>
      </w:r>
    </w:p>
    <w:p>
      <w:pPr>
        <w:spacing w:after="160"/>
      </w:pPr>
      <w:r>
        <w:rPr>
          <w:b/>
          <w:bCs/>
          <w:color w:val="5B3A29"/>
        </w:rPr>
        <w:t xml:space="preserve">Ứng dụng thực tế: </w:t>
      </w:r>
      <w:r>
        <w:t xml:space="preserve">Một công ty đã chi 2 tỷ đồng phát triển một sản phẩm nhưng nghiên cứu thị trường mới cho thấy sản phẩm sẽ không bán được — quyết định đúng là dừng lại ngay, đánh giá dựa trên chi phí hoàn thiện còn lại so với doanh thu kỳ vọng, không phải dựa trên 2 tỷ đã mất.</w:t>
      </w:r>
    </w:p>
    <w:p>
      <w:pPr>
        <w:pStyle w:val="Heading3"/>
        <w:spacing w:after="120" w:before="240"/>
        <w:outlineLvl w:val="2"/>
      </w:pPr>
      <w:r>
        <w:t xml:space="preserve">Tư duy biên (Marginal thinking)</w:t>
      </w:r>
    </w:p>
    <w:p>
      <w:pPr>
        <w:spacing w:after="160"/>
      </w:pPr>
      <w:r>
        <w:rPr>
          <w:b/>
          <w:bCs/>
          <w:color w:val="5B3A29"/>
        </w:rPr>
        <w:t xml:space="preserve">Cốt lõi: </w:t>
      </w:r>
      <w:r>
        <w:t xml:space="preserve">So sánh lợi ích tăng thêm (marginal benefit) với chi phí tăng thêm (marginal cost) của MỘT đơn vị quyết định tiếp theo, thay vì so sánh tổng lợi ích với tổng chi phí. Quyết định tối ưu là tiếp tục cho đến khi lợi ích biên bằng chi phí biên.</w:t>
      </w:r>
    </w:p>
    <w:p>
      <w:pPr>
        <w:spacing w:after="160"/>
      </w:pPr>
      <w:r>
        <w:rPr>
          <w:b/>
          <w:bCs/>
          <w:color w:val="5B3A29"/>
        </w:rPr>
        <w:t xml:space="preserve">Điểm mù thường gặp: </w:t>
      </w:r>
      <w:r>
        <w:t xml:space="preserve">Khi cân nhắc có nên nhận thêm một đơn hàng/khách hàng/ca làm việc, phản xạ thường là nhìn vào chi phí hoặc lợi nhuận TRUNG BÌNH đã biết, mà quên dừng lại tính đúng chi phí và lợi ích BIÊN của riêng quyết định tiếp theo đó.</w:t>
      </w:r>
    </w:p>
    <w:p>
      <w:pPr>
        <w:spacing w:after="160"/>
      </w:pPr>
      <w:r>
        <w:rPr>
          <w:b/>
          <w:bCs/>
          <w:color w:val="5B3A29"/>
        </w:rPr>
        <w:t xml:space="preserve">Ứng dụng thực tế: </w:t>
      </w:r>
      <w:r>
        <w:t xml:space="preserve">Một hãng hàng không sẵn sàng bán vé giờ chót với giá rất thấp — vì chi phí biên của một hành khách thêm trên chuyến bay đã lên lịch gần như bằng 0 (ghế trống vẫn bay), nên bất kỳ giá nào cao hơn chi phí biên đó đều có lợi, dù thấp hơn nhiều giá vé trung bình.</w:t>
      </w:r>
    </w:p>
    <w:p>
      <w:pPr>
        <w:pStyle w:val="Heading3"/>
        <w:spacing w:after="120" w:before="240"/>
        <w:outlineLvl w:val="2"/>
      </w:pPr>
      <w:r>
        <w:t xml:space="preserve">Lợi ích biên giảm dần</w:t>
      </w:r>
    </w:p>
    <w:p>
      <w:pPr>
        <w:spacing w:after="160"/>
      </w:pPr>
      <w:r>
        <w:rPr>
          <w:b/>
          <w:bCs/>
          <w:color w:val="5B3A29"/>
        </w:rPr>
        <w:t xml:space="preserve">Cốt lõi: </w:t>
      </w:r>
      <w:r>
        <w:t xml:space="preserve">Mỗi đơn vị tiêu dùng thêm của cùng một hàng hóa mang lại lợi ích (thỏa dụng) tăng thêm ít hơn đơn vị trước đó. Đây là lý do đường cầu dốc xuống, và cũng lý giải vì sao đa dạng hóa thường tốt hơn dồn hết vào một thứ.</w:t>
      </w:r>
    </w:p>
    <w:p>
      <w:pPr>
        <w:spacing w:after="160"/>
      </w:pPr>
      <w:r>
        <w:rPr>
          <w:b/>
          <w:bCs/>
          <w:color w:val="5B3A29"/>
        </w:rPr>
        <w:t xml:space="preserve">Điểm mù thường gặp: </w:t>
      </w:r>
      <w:r>
        <w:t xml:space="preserve">Khi có thêm ngân sách hoặc nguồn lực, phản xạ "nhiều hơn luôn tốt hơn" thường xuất hiện trước khi kịp nhận ra lợi ích biên đang giảm dần rất nhanh — ví dụ tăng gấp đôi ngân sách quảng cáo không có nghĩa doanh thu tăng gấp đôi, vì các kênh/đối tượng hiệu quả nhất đã được khai thác ở lượt chi tiêu đầu.</w:t>
      </w:r>
    </w:p>
    <w:p>
      <w:pPr>
        <w:spacing w:after="160"/>
      </w:pPr>
      <w:r>
        <w:rPr>
          <w:b/>
          <w:bCs/>
          <w:color w:val="5B3A29"/>
        </w:rPr>
        <w:t xml:space="preserve">Ứng dụng thực tế: </w:t>
      </w:r>
      <w:r>
        <w:t xml:space="preserve">Trong đầu tư tài chính, lợi ích biên giảm dần của tài sản là nền tảng lý thuyết cho việc đa dạng hóa danh mục thay vì dồn toàn bộ vốn vào một cổ phiếu, dù cổ phiếu đó có kỳ vọng sinh lời cao nhất.</w:t>
      </w:r>
    </w:p>
    <w:p>
      <w:pPr>
        <w:pBdr>
          <w:bottom w:val="single" w:color="CCCCCC" w:sz="6" w:space="1"/>
        </w:pBdr>
        <w:spacing w:after="200"/>
      </w:pPr>
    </w:p>
    <w:p>
      <w:r>
        <w:br w:type="page"/>
      </w:r>
    </w:p>
    <w:p>
      <w:pPr>
        <w:pStyle w:val="Heading2"/>
        <w:shd w:fill="D6F0DE" w:color="auto" w:val="clear"/>
        <w:spacing w:after="200" w:before="120"/>
        <w:outlineLvl w:val="1"/>
      </w:pPr>
      <w:r>
        <w:rPr>
          <w:color w:val="5B3A29"/>
        </w:rPr>
        <w:t xml:space="preserve">4. Thương mại &amp; Vĩ mô quốc tế</w:t>
      </w:r>
    </w:p>
    <w:p>
      <w:pPr>
        <w:spacing w:after="240"/>
      </w:pPr>
      <w:r>
        <w:rPr>
          <w:i/>
          <w:iCs/>
          <w:color w:val="444444"/>
        </w:rPr>
        <w:t xml:space="preserve">Nhóm giải thích vì sao các quốc gia giao thương với nhau, và điều gì xảy ra khi dòng hàng hóa, vốn, và tiền tệ di chuyển qua biên giới.</w:t>
      </w:r>
    </w:p>
    <w:p>
      <w:pPr>
        <w:pStyle w:val="Heading3"/>
        <w:spacing w:after="120" w:before="240"/>
        <w:outlineLvl w:val="2"/>
      </w:pPr>
      <w:r>
        <w:t xml:space="preserve">Lợi thế so sánh (Comparative advantage)</w:t>
      </w:r>
    </w:p>
    <w:p>
      <w:pPr>
        <w:spacing w:after="160"/>
      </w:pPr>
      <w:r>
        <w:rPr>
          <w:b/>
          <w:bCs/>
          <w:color w:val="5B3A29"/>
        </w:rPr>
        <w:t xml:space="preserve">Cốt lõi: </w:t>
      </w:r>
      <w:r>
        <w:t xml:space="preserve">Một quốc gia (hoặc cá nhân, doanh nghiệp) nên chuyên môn hóa vào lĩnh vực mà mình có chi phí cơ hội tương đối thấp hơn — kể cả khi kém hiệu quả hơn đối tác ở MỌI mặt (không có lợi thế tuyệt đối). Thương mại dựa trên lợi thế so sánh vẫn làm cả hai bên cùng có lợi.</w:t>
      </w:r>
    </w:p>
    <w:p>
      <w:pPr>
        <w:spacing w:after="160"/>
      </w:pPr>
      <w:r>
        <w:rPr>
          <w:b/>
          <w:bCs/>
          <w:color w:val="5B3A29"/>
        </w:rPr>
        <w:t xml:space="preserve">Điểm mù thường gặp: </w:t>
      </w:r>
      <w:r>
        <w:t xml:space="preserve">Trong tranh luận về mở cửa thương mại, dễ dừng lại ở câu hỏi "ai giỏi hơn tuyệt đối" mà quên đây luôn là bài toán so sánh TƯƠNG ĐỐI (chi phí cơ hội) — đồng thời cũng dễ quên rằng lý thuyết cổ điển giả định công nghệ tĩnh, nên các lập luận "capability capture" (mất năng lực công nghệ dài hạn) là phản biện có cơ sở học thuật, không phải nói suông.</w:t>
      </w:r>
    </w:p>
    <w:p>
      <w:pPr>
        <w:spacing w:after="160"/>
      </w:pPr>
      <w:r>
        <w:rPr>
          <w:b/>
          <w:bCs/>
          <w:color w:val="5B3A29"/>
        </w:rPr>
        <w:t xml:space="preserve">Ứng dụng thực tế: </w:t>
      </w:r>
      <w:r>
        <w:t xml:space="preserve">Trong tranh luận về CPTPP/EVFTA, câu hỏi không chỉ là "Việt Nam có lợi thế so sánh ở đâu hiện tại" (thường là gia công, chi phí lao động thấp) mà còn là liệu chuyên môn hóa dài hạn vào các khâu giá trị thấp có làm chậm quá trình nâng cấp công nghệ và năng lực nội địa hay không.</w:t>
      </w:r>
    </w:p>
    <w:p>
      <w:pPr>
        <w:pStyle w:val="Heading3"/>
        <w:spacing w:after="120" w:before="240"/>
        <w:outlineLvl w:val="2"/>
      </w:pPr>
      <w:r>
        <w:t xml:space="preserve">Cán cân thanh toán (Balance of payments)</w:t>
      </w:r>
    </w:p>
    <w:p>
      <w:pPr>
        <w:spacing w:after="160"/>
      </w:pPr>
      <w:r>
        <w:rPr>
          <w:b/>
          <w:bCs/>
          <w:color w:val="5B3A29"/>
        </w:rPr>
        <w:t xml:space="preserve">Cốt lõi: </w:t>
      </w:r>
      <w:r>
        <w:t xml:space="preserve">Bản ghi tổng hợp mọi giao dịch kinh tế giữa một quốc gia với phần còn lại thế giới, gồm cán cân vãng lai (thương mại hàng hóa/dịch vụ, thu nhập) và cán cân vốn (đầu tư, vay nợ). Về nguyên tắc kế toán, tổng cán cân luôn cân bằng — thâm hụt phần này phải được bù bằng thặng dư phần khác.</w:t>
      </w:r>
    </w:p>
    <w:p>
      <w:pPr>
        <w:spacing w:after="160"/>
      </w:pPr>
      <w:r>
        <w:rPr>
          <w:b/>
          <w:bCs/>
          <w:color w:val="5B3A29"/>
        </w:rPr>
        <w:t xml:space="preserve">Điểm mù thường gặp: </w:t>
      </w:r>
      <w:r>
        <w:t xml:space="preserve">Nghe tin "thâm hụt thương mại" thường kích hoạt phản xạ đánh giá xấu ngay lập tức, mà quên đi tìm phần bù trừ ở cán cân vốn (dòng vốn đầu tư nước ngoài chảy vào) — với một nền kinh tế đang phát triển thu hút FDI mạnh, thâm hụt thương mại có thể là dấu hiệu tăng trưởng chứ không phải yếu kém.</w:t>
      </w:r>
    </w:p>
    <w:p>
      <w:pPr>
        <w:spacing w:after="160"/>
      </w:pPr>
      <w:r>
        <w:rPr>
          <w:b/>
          <w:bCs/>
          <w:color w:val="5B3A29"/>
        </w:rPr>
        <w:t xml:space="preserve">Ứng dụng thực tế: </w:t>
      </w:r>
      <w:r>
        <w:t xml:space="preserve">Mỹ thường xuyên thâm hụt thương mại lớn nhưng đồng thời là điểm đến hàng đầu của dòng vốn đầu tư toàn cầu (mua trái phiếu, cổ phiếu, bất động sản Mỹ) — hai dòng này bù trừ nhau trong cán cân thanh toán tổng thể.</w:t>
      </w:r>
    </w:p>
    <w:p>
      <w:pPr>
        <w:pStyle w:val="Heading3"/>
        <w:spacing w:after="120" w:before="240"/>
        <w:outlineLvl w:val="2"/>
      </w:pPr>
      <w:r>
        <w:t xml:space="preserve">Tỷ giá hối đoái (Exchange rate)</w:t>
      </w:r>
    </w:p>
    <w:p>
      <w:pPr>
        <w:spacing w:after="160"/>
      </w:pPr>
      <w:r>
        <w:rPr>
          <w:b/>
          <w:bCs/>
          <w:color w:val="5B3A29"/>
        </w:rPr>
        <w:t xml:space="preserve">Cốt lõi: </w:t>
      </w:r>
      <w:r>
        <w:t xml:space="preserve">Giá trị một đồng tiền tính theo đồng tiền khác, chịu ảnh hưởng bởi chênh lệch lãi suất, lạm phát, cán cân thương mại, và kỳ vọng thị trường. Đồng nội tệ mất giá làm hàng xuất khẩu rẻ hơn (cạnh tranh hơn) nhưng hàng nhập khẩu đắt hơn (nhập khẩu lạm phát).</w:t>
      </w:r>
    </w:p>
    <w:p>
      <w:pPr>
        <w:spacing w:after="160"/>
      </w:pPr>
      <w:r>
        <w:rPr>
          <w:b/>
          <w:bCs/>
          <w:color w:val="5B3A29"/>
        </w:rPr>
        <w:t xml:space="preserve">Điểm mù thường gặp: </w:t>
      </w:r>
      <w:r>
        <w:t xml:space="preserve">Khi nghe tin đồng nội tệ mất giá, phản xạ thường là đánh giá ngay "tốt" hay "xấu" mà quên bước đầu tiên: kiểm tra cơ cấu xuất/nhập khẩu của chính doanh nghiệp hay nền kinh tế đang xét — cùng một biến động tỷ giá có thể lợi cho bên này và hại cho bên kia.</w:t>
      </w:r>
    </w:p>
    <w:p>
      <w:pPr>
        <w:spacing w:after="160"/>
      </w:pPr>
      <w:r>
        <w:rPr>
          <w:b/>
          <w:bCs/>
          <w:color w:val="5B3A29"/>
        </w:rPr>
        <w:t xml:space="preserve">Ứng dụng thực tế: </w:t>
      </w:r>
      <w:r>
        <w:t xml:space="preserve">Khi VND mất giá so với USD, doanh nghiệp xuất khẩu dệt may hưởng lợi vì hàng hóa Việt Nam rẻ hơn tương đối trên thị trường quốc tế, nhưng doanh nghiệp nhập khẩu máy móc, nguyên liệu từ nước ngoài phải trả nhiều VND hơn cho cùng một lô hàng.</w:t>
      </w:r>
    </w:p>
    <w:p>
      <w:pPr>
        <w:pStyle w:val="Heading3"/>
        <w:spacing w:after="120" w:before="240"/>
        <w:outlineLvl w:val="2"/>
      </w:pPr>
      <w:r>
        <w:t xml:space="preserve">FDI &amp; chuyển giao công nghệ</w:t>
      </w:r>
    </w:p>
    <w:p>
      <w:pPr>
        <w:spacing w:after="160"/>
      </w:pPr>
      <w:r>
        <w:rPr>
          <w:b/>
          <w:bCs/>
          <w:color w:val="5B3A29"/>
        </w:rPr>
        <w:t xml:space="preserve">Cốt lõi: </w:t>
      </w:r>
      <w:r>
        <w:t xml:space="preserve">Đầu tư trực tiếp nước ngoài (FDI) mang vốn, công nghệ, và kỹ năng quản lý vào nền kinh tế nhận đầu tư. Mức độ chuyển giao công nghệ thực sự phụ thuộc vào việc doanh nghiệp nội địa có đủ năng lực hấp thụ (absorptive capacity) hay chỉ dừng ở vai trò gia công, lắp ráp.</w:t>
      </w:r>
    </w:p>
    <w:p>
      <w:pPr>
        <w:spacing w:after="160"/>
      </w:pPr>
      <w:r>
        <w:rPr>
          <w:b/>
          <w:bCs/>
          <w:color w:val="5B3A29"/>
        </w:rPr>
        <w:t xml:space="preserve">Điểm mù thường gặp: </w:t>
      </w:r>
      <w:r>
        <w:t xml:space="preserve">Con số FDI giải ngân tăng thường được mặc định là tín hiệu tốt, khiến người ta quên đặt câu hỏi tiếp theo: doanh nghiệp nội địa có đang đầu tư đủ R&amp;D và nhân lực kỹ thuật để THỰC SỰ hấp thụ công nghệ đi kèm hay không — nếu không, FDI có thể tạo ra các "ốc đảo công nghệ" tách biệt khỏi nền kinh tế trong nước.</w:t>
      </w:r>
    </w:p>
    <w:p>
      <w:pPr>
        <w:spacing w:after="160"/>
      </w:pPr>
      <w:r>
        <w:rPr>
          <w:b/>
          <w:bCs/>
          <w:color w:val="5B3A29"/>
        </w:rPr>
        <w:t xml:space="preserve">Ứng dụng thực tế: </w:t>
      </w:r>
      <w:r>
        <w:t xml:space="preserve">Đây chính là điểm mà lập luận "capability capture" cảnh báo: nếu Việt Nam chỉ giữ vai trò lắp ráp trong chuỗi cung ứng điện tử toàn cầu mà không đầu tư đủ vào R&amp;D nội địa, lợi thế so sánh ngắn hạn (chi phí lao động thấp) có thể đi kèm rủi ro bị "khóa" ở khâu giá trị thấp dài hạn.</w:t>
      </w:r>
    </w:p>
    <w:p>
      <w:pPr>
        <w:pBdr>
          <w:bottom w:val="single" w:color="CCCCCC" w:sz="6" w:space="1"/>
        </w:pBdr>
        <w:spacing w:after="200"/>
      </w:pPr>
    </w:p>
    <w:p>
      <w:r>
        <w:br w:type="page"/>
      </w:r>
    </w:p>
    <w:p>
      <w:pPr>
        <w:pStyle w:val="Heading2"/>
        <w:shd w:fill="E3D9F5" w:color="auto" w:val="clear"/>
        <w:spacing w:after="200" w:before="120"/>
        <w:outlineLvl w:val="1"/>
      </w:pPr>
      <w:r>
        <w:rPr>
          <w:color w:val="5B3A29"/>
        </w:rPr>
        <w:t xml:space="preserve">5. Tương tác chiến lược</w:t>
      </w:r>
    </w:p>
    <w:p>
      <w:pPr>
        <w:spacing w:after="240"/>
      </w:pPr>
      <w:r>
        <w:rPr>
          <w:i/>
          <w:iCs/>
          <w:color w:val="444444"/>
        </w:rPr>
        <w:t xml:space="preserve">Khi kết quả của quyết định phụ thuộc vào việc người khác quyết định gì — lý thuyết trò chơi. Nhóm này quan trọng trong đàm phán, cạnh tranh kinh doanh, và mọi tình huống có nhiều bên cùng tối ưu lợi ích riêng. (Xem thêm Phần B, mục 11 để có bản hình thức hóa đầy đủ.)</w:t>
      </w:r>
    </w:p>
    <w:p>
      <w:pPr>
        <w:pStyle w:val="Heading3"/>
        <w:spacing w:after="120" w:before="240"/>
        <w:outlineLvl w:val="2"/>
      </w:pPr>
      <w:r>
        <w:t xml:space="preserve">Cân bằng Nash</w:t>
      </w:r>
    </w:p>
    <w:p>
      <w:pPr>
        <w:spacing w:after="160"/>
      </w:pPr>
      <w:r>
        <w:rPr>
          <w:b/>
          <w:bCs/>
          <w:color w:val="5B3A29"/>
        </w:rPr>
        <w:t xml:space="preserve">Cốt lõi: </w:t>
      </w:r>
      <w:r>
        <w:t xml:space="preserve">Trạng thái mà không bên nào có động cơ đơn phương thay đổi chiến lược của mình, vì mỗi bên đã chọn phản ứng tối ưu trước chiến lược của bên còn lại. Cân bằng Nash không nhất thiết là kết quả tốt nhất cho tất cả các bên — nó chỉ là điểm ổn định.</w:t>
      </w:r>
    </w:p>
    <w:p>
      <w:pPr>
        <w:spacing w:after="160"/>
      </w:pPr>
      <w:r>
        <w:rPr>
          <w:b/>
          <w:bCs/>
          <w:color w:val="5B3A29"/>
        </w:rPr>
        <w:t xml:space="preserve">Điểm mù thường gặp: </w:t>
      </w:r>
      <w:r>
        <w:t xml:space="preserve">Khi thấy một chiến lược đang là "phản ứng tốt nhất" của mỗi bên, dễ dừng lại ở đó và quên hỏi tiếp: liệu có một kết quả khác tốt hơn cho CẢ HAI bên nếu họ hợp tác? Một cân bằng Nash ổn định không đồng nghĩa với một kết quả tối ưu — đây chính là bài học của thế lưỡng nan tù nhân bên dưới.</w:t>
      </w:r>
    </w:p>
    <w:p>
      <w:pPr>
        <w:spacing w:after="160"/>
      </w:pPr>
      <w:r>
        <w:rPr>
          <w:b/>
          <w:bCs/>
          <w:color w:val="5B3A29"/>
        </w:rPr>
        <w:t xml:space="preserve">Ứng dụng thực tế: </w:t>
      </w:r>
      <w:r>
        <w:t xml:space="preserve">Ép giá nhà cung cấp xuống mức tối đa mỗi kỳ đàm phán có thể là chiến lược tối ưu ngắn hạn cho người mua, nhưng nếu đây là một cân bằng Nash lặp lại không tính đến hợp tác dài hạn, nhà cung cấp sẽ giảm chất lượng dịch vụ hoặc rời bỏ quan hệ — tối ưu cục bộ không bằng tối ưu toàn cục.</w:t>
      </w:r>
    </w:p>
    <w:p>
      <w:pPr>
        <w:pStyle w:val="Heading3"/>
        <w:spacing w:after="120" w:before="240"/>
        <w:outlineLvl w:val="2"/>
      </w:pPr>
      <w:r>
        <w:t xml:space="preserve">Thế lưỡng nan của người tù (Prisoner's dilemma)</w:t>
      </w:r>
    </w:p>
    <w:p>
      <w:pPr>
        <w:spacing w:after="160"/>
      </w:pPr>
      <w:r>
        <w:rPr>
          <w:b/>
          <w:bCs/>
          <w:color w:val="5B3A29"/>
        </w:rPr>
        <w:t xml:space="preserve">Cốt lõi: </w:t>
      </w:r>
      <w:r>
        <w:t xml:space="preserve">Tình huống hai bên đều có lợi hơn nếu hợp tác, nhưng động cơ cá nhân lại khiến mỗi bên chọn phản bội (không hợp tác) vì đó là chiến lược tối ưu bất kể đối phương làm gì — dẫn đến kết quả cân bằng Nash tệ hơn cho cả hai so với khi cùng hợp tác.</w:t>
      </w:r>
    </w:p>
    <w:p>
      <w:pPr>
        <w:spacing w:after="160"/>
      </w:pPr>
      <w:r>
        <w:rPr>
          <w:b/>
          <w:bCs/>
          <w:color w:val="5B3A29"/>
        </w:rPr>
        <w:t xml:space="preserve">Điểm mù thường gặp: </w:t>
      </w:r>
      <w:r>
        <w:t xml:space="preserve">Coi đây chỉ là bài toán lý thuyết trừu tượng, không nhận ra nó xuất hiện thường xuyên trong cạnh tranh giá giữa doanh nghiệp (chiến tranh giá), trong quan hệ đồng nghiệp (ai cũng giữ thông tin cho riêng mình), hay trong hợp tác quốc tế (biến đổi khí hậu, thuế quan trả đũa).</w:t>
      </w:r>
    </w:p>
    <w:p>
      <w:pPr>
        <w:spacing w:after="160"/>
      </w:pPr>
      <w:r>
        <w:rPr>
          <w:b/>
          <w:bCs/>
          <w:color w:val="5B3A29"/>
        </w:rPr>
        <w:t xml:space="preserve">Ứng dụng thực tế: </w:t>
      </w:r>
      <w:r>
        <w:t xml:space="preserve">Hai chuỗi cà phê cạnh tranh trên cùng một khu vực đều có lợi hơn nếu giữ giá ổn định, nhưng mỗi bên đều có động cơ giảm giá để giành khách trước — kết quả là cả hai cùng giảm giá, biên lợi nhuận ngành giảm, dù không ai "thắng" thực sự.</w:t>
      </w:r>
    </w:p>
    <w:p>
      <w:pPr>
        <w:pStyle w:val="Heading3"/>
        <w:spacing w:after="120" w:before="240"/>
        <w:outlineLvl w:val="2"/>
      </w:pPr>
      <w:r>
        <w:t xml:space="preserve">Phát tín hiệu (Signaling)</w:t>
      </w:r>
    </w:p>
    <w:p>
      <w:pPr>
        <w:spacing w:after="160"/>
      </w:pPr>
      <w:r>
        <w:rPr>
          <w:b/>
          <w:bCs/>
          <w:color w:val="5B3A29"/>
        </w:rPr>
        <w:t xml:space="preserve">Cốt lõi: </w:t>
      </w:r>
      <w:r>
        <w:t xml:space="preserve">Trong thị trường có thông tin bất cân xứng, bên có thông tin tốt hơn dùng một hành động tốn kém và khó bắt chước để "chứng minh" chất lượng của mình cho bên còn lại — vì lời nói suông không đáng tin khi các bên có động cơ nói dối.</w:t>
      </w:r>
    </w:p>
    <w:p>
      <w:pPr>
        <w:spacing w:after="160"/>
      </w:pPr>
      <w:r>
        <w:rPr>
          <w:b/>
          <w:bCs/>
          <w:color w:val="5B3A29"/>
        </w:rPr>
        <w:t xml:space="preserve">Điểm mù thường gặp: </w:t>
      </w:r>
      <w:r>
        <w:t xml:space="preserve">Khi nghe một tuyên bố/cam kết, phản xạ thường là đánh giá nội dung của nó mà quên đặt câu hỏi cốt lõi: tín hiệu này có TỐN KÉM đủ để phân biệt người thật với kẻ giả không? Một tín hiệu chỉ đáng tin nếu nó tốn kém hơn với người có chất lượng thấp so với người có chất lượng cao — nếu không, nó chỉ là quảng cáo suông ai cũng bắt chước được.</w:t>
      </w:r>
    </w:p>
    <w:p>
      <w:pPr>
        <w:spacing w:after="160"/>
      </w:pPr>
      <w:r>
        <w:rPr>
          <w:b/>
          <w:bCs/>
          <w:color w:val="5B3A29"/>
        </w:rPr>
        <w:t xml:space="preserve">Ứng dụng thực tế: </w:t>
      </w:r>
      <w:r>
        <w:t xml:space="preserve">Bằng cấp đại học hoạt động một phần như tín hiệu: nó tốn thời gian và công sức hơn với người có năng lực thấp để hoàn thành, nên nhà tuyển dụng dùng nó như một cách sàng lọc gián tiếp năng lực ứng viên, dù nội dung học không trực tiếp dùng trong công việc.</w:t>
      </w:r>
    </w:p>
    <w:p>
      <w:pPr>
        <w:pBdr>
          <w:bottom w:val="single" w:color="CCCCCC" w:sz="6" w:space="1"/>
        </w:pBdr>
        <w:spacing w:after="200"/>
      </w:pPr>
    </w:p>
    <w:p>
      <w:r>
        <w:br w:type="page"/>
      </w:r>
    </w:p>
    <w:p>
      <w:pPr>
        <w:pStyle w:val="Heading2"/>
        <w:shd w:fill="F7D4E7" w:color="auto" w:val="clear"/>
        <w:spacing w:after="200" w:before="120"/>
        <w:outlineLvl w:val="1"/>
      </w:pPr>
      <w:r>
        <w:rPr>
          <w:color w:val="5B3A29"/>
        </w:rPr>
        <w:t xml:space="preserve">6. Kinh tế học hành vi</w:t>
      </w:r>
    </w:p>
    <w:p>
      <w:pPr>
        <w:spacing w:after="240"/>
      </w:pPr>
      <w:r>
        <w:rPr>
          <w:i/>
          <w:iCs/>
          <w:color w:val="444444"/>
        </w:rPr>
        <w:t xml:space="preserve">Con người thực tế không luôn ra quyết định "lý tính" như mô hình kinh tế cổ điển giả định. Nhóm này hệ thống các thiên kiến tâm lý lặp lại có thể dự đoán được — và thường là nguyên nhân trực tiếp khiến ta "biết lý thuyết nhưng vẫn hành động sai" ở Nhóm 3. (Xem thêm Phần B, mục 16 để có bản hình thức hóa đầy đủ.)</w:t>
      </w:r>
    </w:p>
    <w:p>
      <w:pPr>
        <w:pStyle w:val="Heading3"/>
        <w:spacing w:after="120" w:before="240"/>
        <w:outlineLvl w:val="2"/>
      </w:pPr>
      <w:r>
        <w:t xml:space="preserve">Ác cảm mất mát (Loss aversion)</w:t>
      </w:r>
    </w:p>
    <w:p>
      <w:pPr>
        <w:spacing w:after="160"/>
      </w:pPr>
      <w:r>
        <w:rPr>
          <w:b/>
          <w:bCs/>
          <w:color w:val="5B3A29"/>
        </w:rPr>
        <w:t xml:space="preserve">Cốt lõi: </w:t>
      </w:r>
      <w:r>
        <w:t xml:space="preserve">Cảm giác đau khi mất một khoản giá trị X lớn hơn khoảng gấp đôi cảm giác vui khi được một khoản giá trị X tương đương (theo nghiên cứu của Kahneman và Tversky). Con người vì vậy có xu hướng né rủi ro khi đối diện lợi ích, nhưng lại chấp nhận rủi ro khi đối diện thua lỗ để tránh "chốt lỗ".</w:t>
      </w:r>
    </w:p>
    <w:p>
      <w:pPr>
        <w:spacing w:after="160"/>
      </w:pPr>
      <w:r>
        <w:rPr>
          <w:b/>
          <w:bCs/>
          <w:color w:val="5B3A29"/>
        </w:rPr>
        <w:t xml:space="preserve">Điểm mù thường gặp: </w:t>
      </w:r>
      <w:r>
        <w:t xml:space="preserve">Ngay tại thời điểm cân nhắc bán một tài sản đang mất giá, ta hiếm khi nhận ra chính cảm giác "chưa bán thì chưa lỗ thật" đang chi phối quyết định — trong khi quyết định đúng đắn (theo tư duy biên ở Nhóm 3) là đánh giá tài sản đó từ thời điểm hiện tại có còn đáng giữ hay không, bất kể giá mua ban đầu.</w:t>
      </w:r>
    </w:p>
    <w:p>
      <w:pPr>
        <w:spacing w:after="160"/>
      </w:pPr>
      <w:r>
        <w:rPr>
          <w:b/>
          <w:bCs/>
          <w:color w:val="5B3A29"/>
        </w:rPr>
        <w:t xml:space="preserve">Ứng dụng thực tế: </w:t>
      </w:r>
      <w:r>
        <w:t xml:space="preserve">Nhà đầu tư thường bán quá sớm cổ phiếu đang lời (chốt lời để "khóa" cảm giác vui) nhưng giữ quá lâu cổ phiếu đang lỗ (né cảm giác đau khi chốt lỗ) — hành vi ngược với chiến lược tối ưu "cắt lỗ sớm, để lợi nhuận chạy dài".</w:t>
      </w:r>
    </w:p>
    <w:p>
      <w:pPr>
        <w:pStyle w:val="Heading3"/>
        <w:spacing w:after="120" w:before="240"/>
        <w:outlineLvl w:val="2"/>
      </w:pPr>
      <w:r>
        <w:t xml:space="preserve">Thiên kiến hiện tại (Present bias)</w:t>
      </w:r>
    </w:p>
    <w:p>
      <w:pPr>
        <w:spacing w:after="160"/>
      </w:pPr>
      <w:r>
        <w:rPr>
          <w:b/>
          <w:bCs/>
          <w:color w:val="5B3A29"/>
        </w:rPr>
        <w:t xml:space="preserve">Cốt lõi: </w:t>
      </w:r>
      <w:r>
        <w:t xml:space="preserve">Xu hướng đánh giá quá cao phần thưởng/chi phí ở hiện tại so với tương lai, vượt xa mức chiết khấu hợp lý theo thời gian — khiến con người trì hoãn những việc có lợi dài hạn (tiết kiệm, tập thể dục) để ưu tiên thỏa mãn tức thì.</w:t>
      </w:r>
    </w:p>
    <w:p>
      <w:pPr>
        <w:spacing w:after="160"/>
      </w:pPr>
      <w:r>
        <w:rPr>
          <w:b/>
          <w:bCs/>
          <w:color w:val="5B3A29"/>
        </w:rPr>
        <w:t xml:space="preserve">Điểm mù thường gặp: </w:t>
      </w:r>
      <w:r>
        <w:t xml:space="preserve">Khi lập kế hoạch dài hạn, ta thường quên rằng "con người tương lai" của chính mình sẽ đối mặt với đúng thiên kiến hiện tại y hệt lúc này — nên hay lập kế hoạch dựa trên giả định ngầm "mình sẽ kỷ luật hơn sau này" thay vì thiết kế cơ chế ràng buộc ngay từ bây giờ.</w:t>
      </w:r>
    </w:p>
    <w:p>
      <w:pPr>
        <w:spacing w:after="160"/>
      </w:pPr>
      <w:r>
        <w:rPr>
          <w:b/>
          <w:bCs/>
          <w:color w:val="5B3A29"/>
        </w:rPr>
        <w:t xml:space="preserve">Ứng dụng thực tế: </w:t>
      </w:r>
      <w:r>
        <w:t xml:space="preserve">Các chương trình tiết kiệm hưu trí tự động trích lương (opt-out thay vì opt-in) tận dụng chính thiên kiến hiện tại: một khi tiền đã bị trích tự động, người lao động không phải chủ động ra quyết định tiết kiệm mỗi tháng — né được đúng điểm yếu tâm lý.</w:t>
      </w:r>
    </w:p>
    <w:p>
      <w:pPr>
        <w:pStyle w:val="Heading3"/>
        <w:spacing w:after="120" w:before="240"/>
        <w:outlineLvl w:val="2"/>
      </w:pPr>
      <w:r>
        <w:t xml:space="preserve">Hiệu ứng mỏ neo (Anchoring)</w:t>
      </w:r>
    </w:p>
    <w:p>
      <w:pPr>
        <w:spacing w:after="160"/>
      </w:pPr>
      <w:r>
        <w:rPr>
          <w:b/>
          <w:bCs/>
          <w:color w:val="5B3A29"/>
        </w:rPr>
        <w:t xml:space="preserve">Cốt lõi: </w:t>
      </w:r>
      <w:r>
        <w:t xml:space="preserve">Con người có xu hướng bị ảnh hưởng quá mức bởi con số đầu tiên tiếp xúc ("mỏ neo") khi ước lượng hoặc đàm phán một giá trị, kể cả khi con số đó không liên quan logic đến quyết định.</w:t>
      </w:r>
    </w:p>
    <w:p>
      <w:pPr>
        <w:spacing w:after="160"/>
      </w:pPr>
      <w:r>
        <w:rPr>
          <w:b/>
          <w:bCs/>
          <w:color w:val="5B3A29"/>
        </w:rPr>
        <w:t xml:space="preserve">Điểm mù thường gặp: </w:t>
      </w:r>
      <w:r>
        <w:t xml:space="preserve">Trong đàm phán hoặc định giá, ta hiếm khi dừng lại để nhận ra mình đang bị "neo" bởi con số đầu tiên nghe được — kể cả khi biết rõ con số đó không hề liên quan logic đến giá trị thực.</w:t>
      </w:r>
    </w:p>
    <w:p>
      <w:pPr>
        <w:spacing w:after="160"/>
      </w:pPr>
      <w:r>
        <w:rPr>
          <w:b/>
          <w:bCs/>
          <w:color w:val="5B3A29"/>
        </w:rPr>
        <w:t xml:space="preserve">Ứng dụng thực tế: </w:t>
      </w:r>
      <w:r>
        <w:t xml:space="preserve">Giá niêm yết cao rồi giảm giá mạnh ("giá gốc 2 triệu, giảm còn 800 nghìn") là ứng dụng trực tiếp của hiệu ứng mỏ neo trong bán lẻ — con số 2 triệu neo cảm nhận về giá trị, khiến 800 nghìn có vẻ rất hời dù giá trị thực của sản phẩm chưa chắc đã cao.</w:t>
      </w:r>
    </w:p>
    <w:p>
      <w:pPr>
        <w:pStyle w:val="Heading3"/>
        <w:spacing w:after="120" w:before="240"/>
        <w:outlineLvl w:val="2"/>
      </w:pPr>
      <w:r>
        <w:t xml:space="preserve">Hiệu ứng sở hữu (Endowment effect)</w:t>
      </w:r>
    </w:p>
    <w:p>
      <w:pPr>
        <w:spacing w:after="160"/>
      </w:pPr>
      <w:r>
        <w:rPr>
          <w:b/>
          <w:bCs/>
          <w:color w:val="5B3A29"/>
        </w:rPr>
        <w:t xml:space="preserve">Cốt lõi: </w:t>
      </w:r>
      <w:r>
        <w:t xml:space="preserve">Con người có xu hướng định giá một thứ mình đang sở hữu cao hơn đáng kể so với khi chưa sở hữu nó — dù đó là cùng một món đồ. Đây là hệ quả của ác cảm mất mát: từ bỏ một thứ đang có cảm giác như một khoản "mất", chứ không phải chỉ đơn thuần bỏ lỡ một khoản "được".</w:t>
      </w:r>
    </w:p>
    <w:p>
      <w:pPr>
        <w:spacing w:after="160"/>
      </w:pPr>
      <w:r>
        <w:rPr>
          <w:b/>
          <w:bCs/>
          <w:color w:val="5B3A29"/>
        </w:rPr>
        <w:t xml:space="preserve">Điểm mù thường gặp: </w:t>
      </w:r>
      <w:r>
        <w:t xml:space="preserve">Khi định giá tài sản của chính mình để bán (nhà, xe, cổ phần công ty), dễ neo vào mức giá cảm tính cao hơn giá trị thị trường khách quan — và diễn giải sự khác biệt đó là "thị trường trả giá thấp" thay vì nhận ra đó là thiên kiến của chính người bán.</w:t>
      </w:r>
    </w:p>
    <w:p>
      <w:pPr>
        <w:spacing w:after="160"/>
      </w:pPr>
      <w:r>
        <w:rPr>
          <w:b/>
          <w:bCs/>
          <w:color w:val="5B3A29"/>
        </w:rPr>
        <w:t xml:space="preserve">Ứng dụng thực tế: </w:t>
      </w:r>
      <w:r>
        <w:t xml:space="preserve">Người bán nhà thường đặt giá kỳ vọng cao hơn giá trị thẩm định thị trường vì gắn bó tình cảm hoặc kỷ niệm với căn nhà — môi giới bất động sản chuyên nghiệp thường phải dùng dữ liệu giao dịch khách quan để "neo lại" kỳ vọng của người bán về mức giá thực tế.</w:t>
      </w:r>
    </w:p>
    <w:p>
      <w:pPr>
        <w:pBdr>
          <w:bottom w:val="single" w:color="CCCCCC" w:sz="6" w:space="1"/>
        </w:pBdr>
        <w:spacing w:after="200"/>
      </w:pPr>
    </w:p>
    <w:p>
      <w:r>
        <w:br w:type="page"/>
      </w:r>
    </w:p>
    <w:p>
      <w:pPr>
        <w:pStyle w:val="Heading2"/>
        <w:shd w:fill="E4E4E4" w:color="auto" w:val="clear"/>
        <w:spacing w:after="200" w:before="120"/>
        <w:outlineLvl w:val="1"/>
      </w:pPr>
      <w:r>
        <w:rPr>
          <w:color w:val="5B3A29"/>
        </w:rPr>
        <w:t xml:space="preserve">7. Vĩ mô tổng quát</w:t>
      </w:r>
    </w:p>
    <w:p>
      <w:pPr>
        <w:spacing w:after="240"/>
      </w:pPr>
      <w:r>
        <w:rPr>
          <w:i/>
          <w:iCs/>
          <w:color w:val="444444"/>
        </w:rPr>
        <w:t xml:space="preserve">Bức tranh toàn cảnh nền kinh tế: giá cả chung, chi phí vốn, chu kỳ tăng trưởng, và công cụ điều hành của chính phủ/ngân hàng trung ương. (Xem thêm Phần B, mục 9 để có bản hình thức hóa đầy đủ.)</w:t>
      </w:r>
    </w:p>
    <w:p>
      <w:pPr>
        <w:pStyle w:val="Heading3"/>
        <w:spacing w:after="120" w:before="240"/>
        <w:outlineLvl w:val="2"/>
      </w:pPr>
      <w:r>
        <w:t xml:space="preserve">Lạm phát &amp; kỳ vọng</w:t>
      </w:r>
    </w:p>
    <w:p>
      <w:pPr>
        <w:spacing w:after="160"/>
      </w:pPr>
      <w:r>
        <w:rPr>
          <w:b/>
          <w:bCs/>
          <w:color w:val="5B3A29"/>
        </w:rPr>
        <w:t xml:space="preserve">Cốt lõi: </w:t>
      </w:r>
      <w:r>
        <w:t xml:space="preserve">Lạm phát là mức tăng chung của giá cả theo thời gian. Kỳ vọng lạm phát của người dân và doanh nghiệp có thể tự trở thành hiện thực (self-fulfilling): nếu ai cũng tin giá sẽ tăng, họ sẽ tăng giá/lương trước, thực sự đẩy lạm phát lên — đây là lý do ngân hàng trung ương coi việc "neo kỳ vọng" là công cụ quan trọng ngang với chính sách tiền tệ thực tế.</w:t>
      </w:r>
    </w:p>
    <w:p>
      <w:pPr>
        <w:spacing w:after="160"/>
      </w:pPr>
      <w:r>
        <w:rPr>
          <w:b/>
          <w:bCs/>
          <w:color w:val="5B3A29"/>
        </w:rPr>
        <w:t xml:space="preserve">Điểm mù thường gặp: </w:t>
      </w:r>
      <w:r>
        <w:t xml:space="preserve">Chỉ nhìn lạm phát qua con số CPI công bố mà quên rằng bản thân niềm tin của thị trường vào cam kết kiểm soát lạm phát của ngân hàng trung ương cũng là một biến số quyết định — mất niềm tin có thể gây lạm phát ngay cả khi các yếu tố cung cầu thực chưa thay đổi.</w:t>
      </w:r>
    </w:p>
    <w:p>
      <w:pPr>
        <w:spacing w:after="160"/>
      </w:pPr>
      <w:r>
        <w:rPr>
          <w:b/>
          <w:bCs/>
          <w:color w:val="5B3A29"/>
        </w:rPr>
        <w:t xml:space="preserve">Ứng dụng thực tế: </w:t>
      </w:r>
      <w:r>
        <w:t xml:space="preserve">Khi ngân hàng trung ương một nước liên tục thất hứa về mục tiêu lạm phát, doanh nghiệp bắt đầu định giá hợp đồng dài hạn với mức lạm phát kỳ vọng cao hơn mục tiêu chính thức — khiến lạm phát thực tế khó hạ xuống dù chính sách tiền tệ đã thắt chặt.</w:t>
      </w:r>
    </w:p>
    <w:p>
      <w:pPr>
        <w:pStyle w:val="Heading3"/>
        <w:spacing w:after="120" w:before="240"/>
        <w:outlineLvl w:val="2"/>
      </w:pPr>
      <w:r>
        <w:t xml:space="preserve">Lãi suất</w:t>
      </w:r>
    </w:p>
    <w:p>
      <w:pPr>
        <w:spacing w:after="160"/>
      </w:pPr>
      <w:r>
        <w:rPr>
          <w:b/>
          <w:bCs/>
          <w:color w:val="5B3A29"/>
        </w:rPr>
        <w:t xml:space="preserve">Cốt lõi: </w:t>
      </w:r>
      <w:r>
        <w:t xml:space="preserve">Giá của việc vay/cho vay tiền theo thời gian, phản ánh chi phí cơ hội của vốn. Ngân hàng trung ương dùng lãi suất điều hành để tác động đến chi phí vay toàn nền kinh tế: tăng lãi suất làm chậm tiêu dùng/đầu tư (chống lạm phát), giảm lãi suất kích thích tăng trưởng.</w:t>
      </w:r>
    </w:p>
    <w:p>
      <w:pPr>
        <w:spacing w:after="160"/>
      </w:pPr>
      <w:r>
        <w:rPr>
          <w:b/>
          <w:bCs/>
          <w:color w:val="5B3A29"/>
        </w:rPr>
        <w:t xml:space="preserve">Điểm mù thường gặp: </w:t>
      </w:r>
      <w:r>
        <w:t xml:space="preserve">Đánh giá quyết định đầu tư/vay nợ chỉ dựa trên lãi suất danh nghĩa mà quên trừ lạm phát kỳ vọng để ra lãi suất thực — lãi suất danh nghĩa cao trong môi trường lạm phát cao có thể vẫn tương đương "tiền rẻ" về mặt thực tế.</w:t>
      </w:r>
    </w:p>
    <w:p>
      <w:pPr>
        <w:spacing w:after="160"/>
      </w:pPr>
      <w:r>
        <w:rPr>
          <w:b/>
          <w:bCs/>
          <w:color w:val="5B3A29"/>
        </w:rPr>
        <w:t xml:space="preserve">Ứng dụng thực tế: </w:t>
      </w:r>
      <w:r>
        <w:t xml:space="preserve">Khi Fed tăng lãi suất mạnh để chống lạm phát, chi phí vay thế chấp mua nhà ở Mỹ tăng theo, làm giảm nhu cầu mua nhà — đây là kênh truyền dẫn trực tiếp từ chính sách tiền tệ vĩ mô đến quyết định tài chính của từng hộ gia đình.</w:t>
      </w:r>
    </w:p>
    <w:p>
      <w:pPr>
        <w:pStyle w:val="Heading3"/>
        <w:spacing w:after="120" w:before="240"/>
        <w:outlineLvl w:val="2"/>
      </w:pPr>
      <w:r>
        <w:t xml:space="preserve">Chu kỳ kinh tế</w:t>
      </w:r>
    </w:p>
    <w:p>
      <w:pPr>
        <w:spacing w:after="160"/>
      </w:pPr>
      <w:r>
        <w:rPr>
          <w:b/>
          <w:bCs/>
          <w:color w:val="5B3A29"/>
        </w:rPr>
        <w:t xml:space="preserve">Cốt lõi: </w:t>
      </w:r>
      <w:r>
        <w:t xml:space="preserve">Nền kinh tế thường không tăng trưởng theo đường thẳng mà dao động qua các giai đoạn: mở rộng (tăng trưởng, việc làm tăng) → đỉnh → suy thoái (sản lượng giảm, thất nghiệp tăng) → đáy → phục hồi. Chính sách tài khóa/tiền tệ nghịch chu kỳ (kích thích khi suy thoái, thắt chặt khi tăng trưởng nóng) nhằm làm mượt biên độ dao động này.</w:t>
      </w:r>
    </w:p>
    <w:p>
      <w:pPr>
        <w:spacing w:after="160"/>
      </w:pPr>
      <w:r>
        <w:rPr>
          <w:b/>
          <w:bCs/>
          <w:color w:val="5B3A29"/>
        </w:rPr>
        <w:t xml:space="preserve">Điểm mù thường gặp: </w:t>
      </w:r>
      <w:r>
        <w:t xml:space="preserve">Giữa một giai đoạn tăng trưởng tốt, phản xạ tự nhiên là ngoại suy tuyến tính xu hướng gần nhất ("đang tăng trưởng tốt thì sẽ tiếp tục tăng") mà quên đặt lại câu hỏi: hiện đang ở đâu trong chu kỳ? Đây là lỗi phổ biến trong lập kế hoạch kinh doanh và đầu tư ngay trước các cuộc suy thoái lớn.</w:t>
      </w:r>
    </w:p>
    <w:p>
      <w:pPr>
        <w:spacing w:after="160"/>
      </w:pPr>
      <w:r>
        <w:rPr>
          <w:b/>
          <w:bCs/>
          <w:color w:val="5B3A29"/>
        </w:rPr>
        <w:t xml:space="preserve">Ứng dụng thực tế: </w:t>
      </w:r>
      <w:r>
        <w:t xml:space="preserve">Doanh nghiệp mở rộng quy mô mạnh (tuyển dụng, vay nợ đầu tư) đúng vào đỉnh chu kỳ kinh tế thường là nhóm chịu tổn thương nặng nhất khi suy thoái đến, vì chi phí cố định cao trong khi doanh thu sụt giảm đột ngột.</w:t>
      </w:r>
    </w:p>
    <w:p>
      <w:pPr>
        <w:pStyle w:val="Heading3"/>
        <w:spacing w:after="120" w:before="240"/>
        <w:outlineLvl w:val="2"/>
      </w:pPr>
      <w:r>
        <w:t xml:space="preserve">Chính sách tiền tệ / tài khóa</w:t>
      </w:r>
    </w:p>
    <w:p>
      <w:pPr>
        <w:spacing w:after="160"/>
      </w:pPr>
      <w:r>
        <w:rPr>
          <w:b/>
          <w:bCs/>
          <w:color w:val="5B3A29"/>
        </w:rPr>
        <w:t xml:space="preserve">Cốt lõi: </w:t>
      </w:r>
      <w:r>
        <w:t xml:space="preserve">Chính sách tiền tệ (do ngân hàng trung ương điều hành: lãi suất, cung tiền) và chính sách tài khóa (do chính phủ điều hành: chi tiêu công, thuế) là hai công cụ chính để điều tiết tổng cầu nền kinh tế. Chúng có thể bổ trợ hoặc triệt tiêu lẫn nhau nếu không phối hợp.</w:t>
      </w:r>
    </w:p>
    <w:p>
      <w:pPr>
        <w:spacing w:after="160"/>
      </w:pPr>
      <w:r>
        <w:rPr>
          <w:b/>
          <w:bCs/>
          <w:color w:val="5B3A29"/>
        </w:rPr>
        <w:t xml:space="preserve">Điểm mù thường gặp: </w:t>
      </w:r>
      <w:r>
        <w:t xml:space="preserve">Khi phân tích tác động của một gói kích thích hay thắt chặt, dễ quên đặt câu hỏi phối hợp: chính sách tài khóa và tiền tệ đang cùng chiều hay ngược chiều nhau? Bỏ qua câu hỏi này dễ đánh giá sai độ lớn thực của tác động — hai chính sách ngược chiều có thể triệt tiêu lẫn nhau.</w:t>
      </w:r>
    </w:p>
    <w:p>
      <w:pPr>
        <w:spacing w:after="160"/>
      </w:pPr>
      <w:r>
        <w:rPr>
          <w:b/>
          <w:bCs/>
          <w:color w:val="5B3A29"/>
        </w:rPr>
        <w:t xml:space="preserve">Ứng dụng thực tế: </w:t>
      </w:r>
      <w:r>
        <w:t xml:space="preserve">Trong đại dịch, nhiều chính phủ vừa tăng chi tiêu công mạnh (tài khóa mở rộng) vừa được ngân hàng trung ương hạ lãi suất gần 0 và mua trái phiếu (tiền tệ nới lỏng) — sự phối hợp đồng bộ này giúp khuếch đại hiệu quả kích thích kinh tế, nhưng cũng là nguyên nhân góp phần vào đợt lạm phát cao ngay sau đó.</w:t>
      </w:r>
    </w:p>
    <w:p>
      <w:pPr>
        <w:pBdr>
          <w:bottom w:val="single" w:color="CCCCCC" w:sz="6" w:space="1"/>
        </w:pBdr>
        <w:spacing w:after="200"/>
      </w:pPr>
    </w:p>
    <w:p>
      <w:r>
        <w:br w:type="page"/>
      </w:r>
    </w:p>
    <w:p>
      <w:pPr>
        <w:pStyle w:val="Heading1"/>
        <w:shd w:fill="2B2B2B" w:color="auto" w:val="clear"/>
        <w:spacing w:after="200" w:before="160"/>
        <w:outlineLvl w:val="0"/>
      </w:pPr>
      <w:r>
        <w:rPr>
          <w:color w:val="FFFFFF"/>
        </w:rPr>
        <w:t xml:space="preserve">PHẦN B — NÂNG CAO</w:t>
      </w:r>
    </w:p>
    <w:p>
      <w:pPr>
        <w:spacing w:after="300"/>
      </w:pPr>
      <w:r>
        <w:rPr>
          <w:i/>
          <w:iCs/>
          <w:color w:val="666666"/>
        </w:rPr>
        <w:t xml:space="preserve">Các chuyên đề lý thuyết &amp; nghiên cứu ở trình độ tiến sĩ kinh tế học. Mỗi khái niệm trình bày mô hình/định lý chính thức, giả định then chốt &amp; giới hạn, và ứng dụng/mở rộng trong nghiên cứu.</w:t>
      </w:r>
    </w:p>
    <w:p>
      <w:r>
        <w:br w:type="page"/>
      </w:r>
    </w:p>
    <w:p>
      <w:pPr>
        <w:pStyle w:val="Heading2"/>
        <w:shd w:fill="B8CCE0" w:color="auto" w:val="clear"/>
        <w:spacing w:after="200" w:before="120"/>
        <w:outlineLvl w:val="1"/>
      </w:pPr>
      <w:r>
        <w:rPr>
          <w:color w:val="1F3B5C"/>
        </w:rPr>
        <w:t xml:space="preserve">8. Lý thuyết Vi mô nâng cao</w:t>
      </w:r>
    </w:p>
    <w:p>
      <w:pPr>
        <w:spacing w:after="240"/>
      </w:pPr>
      <w:r>
        <w:rPr>
          <w:i/>
          <w:iCs/>
          <w:color w:val="444444"/>
        </w:rPr>
        <w:t xml:space="preserve">Bộ khung hình thức hóa đầy đủ cho toàn bộ lý thuyết lựa chọn cá nhân và cân bằng thị trường — nền tảng bắt buộc trước khi học bất kỳ chuyên đề ứng dụng nào (Tổ chức ngành, Kinh tế công, Tài chính...).</w:t>
      </w:r>
    </w:p>
    <w:p>
      <w:pPr>
        <w:pStyle w:val="Heading3"/>
        <w:spacing w:after="120" w:before="240"/>
        <w:outlineLvl w:val="2"/>
      </w:pPr>
      <w:r>
        <w:t xml:space="preserve">8.1 Tiên đề lựa chọn duy lý &amp; biểu diễn hàm thỏa dụng</w:t>
      </w:r>
    </w:p>
    <w:p>
      <w:pPr>
        <w:spacing w:after="160"/>
      </w:pPr>
      <w:r>
        <w:rPr>
          <w:b/>
          <w:bCs/>
          <w:color w:val="1F3B5C"/>
        </w:rPr>
        <w:t xml:space="preserve">Mô hình / Phát biểu chính thức: </w:t>
      </w:r>
      <w:r>
        <w:t xml:space="preserve">Một quan hệ ưa thích ≥ trên tập phương án X được gọi là hợp lý (rational) nếu thỏa hai tiên đề: đầy đủ (completeness — với mọi x, y ∈ X, luôn có x ≥ y hoặc y ≥ x) và bắc cầu (transitivity — nếu x ≥ y và y ≥ z thì suy ra x ≥ z). Định lý biểu diễn (Debreu, 1954) chứng minh: nếu quan hệ này liên tục thì tồn tại một hàm thỏa dụng u: X → ℝ liên tục biểu diễn nó, sao cho x ≥ y khi và chỉ khi u(x) ≥ u(y).</w:t>
      </w:r>
    </w:p>
    <w:p>
      <w:pPr>
        <w:spacing w:after="160"/>
      </w:pPr>
      <w:r>
        <w:rPr>
          <w:b/>
          <w:bCs/>
          <w:color w:val="1F3B5C"/>
        </w:rPr>
        <w:t xml:space="preserve">Giả định &amp; giới hạn: </w:t>
      </w:r>
      <w:r>
        <w:t xml:space="preserve">Tính bắc cầu là giả định mạnh nhất và dễ bị vi phạm nhất trong thực nghiệm — hiện tượng đảo ngược sở thích (preference reversal, Lichtenstein–Slovic 1971) cho thấy con người thật có thể vi phạm bắc cầu một cách hệ thống chứ không ngẫu nhiên. Ngoài ra, hàm thỏa dụng biểu diễn chỉ duy nhất sai khác một phép biến đổi đơn điệu dương (thứ bậc — ordinal, không phải đo lường được — cardinal), nên về mặt lý thuyết KHÔNG thể cộng hoặc so sánh trực tiếp độ lớn thỏa dụng giữa hai người — một điểm hay bị bỏ qua khi dùng thỏa dụng để bàn về phúc lợi liên cá nhân.</w:t>
      </w:r>
    </w:p>
    <w:p>
      <w:pPr>
        <w:spacing w:after="160"/>
      </w:pPr>
      <w:r>
        <w:rPr>
          <w:b/>
          <w:bCs/>
          <w:color w:val="1F3B5C"/>
        </w:rPr>
        <w:t xml:space="preserve">Ứng dụng &amp; mở rộng nghiên cứu: </w:t>
      </w:r>
      <w:r>
        <w:t xml:space="preserve">Là nền tảng để mọi mô hình kinh tế vi mô chuẩn tắc (từ cân bằng tổng quát đến lý thuyết trò chơi) giả định "tác nhân duy lý". Kinh tế học hành vi (mục 16) ra đời chính từ việc kiểm định thực nghiệm các tiên đề này và phát hiện các vi phạm có hệ thống, không ngẫu nhiên.</w:t>
      </w:r>
    </w:p>
    <w:p>
      <w:pPr>
        <w:pStyle w:val="Heading3"/>
        <w:spacing w:after="120" w:before="240"/>
        <w:outlineLvl w:val="2"/>
      </w:pPr>
      <w:r>
        <w:t xml:space="preserve">8.2 Đối ngẫu trong lý thuyết tiêu dùng</w:t>
      </w:r>
    </w:p>
    <w:p>
      <w:pPr>
        <w:spacing w:after="160"/>
      </w:pPr>
      <w:r>
        <w:rPr>
          <w:b/>
          <w:bCs/>
          <w:color w:val="1F3B5C"/>
        </w:rPr>
        <w:t xml:space="preserve">Mô hình / Phát biểu chính thức: </w:t>
      </w:r>
      <w:r>
        <w:t xml:space="preserve">Bài toán sơ cấp (primal) tối đa hoá thỏa dụng — max u(x) với ràng buộc p·x ≤ m — có bài toán đối ngẫu (dual) là tối thiểu hoá chi tiêu: min p·x với ràng buộc u(x) ≥ ū. Hàm chi tiêu e(p, ū) và hàm thỏa dụng gián tiếp v(p, m) liên hệ qua đồng nhất thức e(p, v(p,m)) = m. Bổ đề Shephard: ∂e(p,ū)/∂p_i = h_i(p,ū) — đạo hàm của hàm chi tiêu theo giá cho ra đúng hàm cầu Hicks (compensated demand).</w:t>
      </w:r>
    </w:p>
    <w:p>
      <w:pPr>
        <w:spacing w:after="160"/>
      </w:pPr>
      <w:r>
        <w:rPr>
          <w:b/>
          <w:bCs/>
          <w:color w:val="1F3B5C"/>
        </w:rPr>
        <w:t xml:space="preserve">Giả định &amp; giới hạn: </w:t>
      </w:r>
      <w:r>
        <w:t xml:space="preserve">Đối ngẫu chỉ "sạch" về mặt toán học khi hàm thỏa dụng tựa lõm (quasi-concave) và liên tục — với thỏa dụng không lồi (ví dụ do hàng hoá rời rạc hoặc chi phí cố định), cầu Marshall có thể không liên tục và các kết quả đối ngẫu chuẩn cần điều chỉnh. Một điểm khác hay bị bỏ qua: phân rã Slutsky (hiệu ứng thay thế + hiệu ứng thu nhập) tách bạch rõ ràng trên lý thuyết nhưng KHÔNG quan sát được trực tiếp từ dữ liệu — chỉ suy ra được qua ước lượng thực nghiệm với thêm giả định về dạng hàm.</w:t>
      </w:r>
    </w:p>
    <w:p>
      <w:pPr>
        <w:spacing w:after="160"/>
      </w:pPr>
      <w:r>
        <w:rPr>
          <w:b/>
          <w:bCs/>
          <w:color w:val="1F3B5C"/>
        </w:rPr>
        <w:t xml:space="preserve">Ứng dụng &amp; mở rộng nghiên cứu: </w:t>
      </w:r>
      <w:r>
        <w:t xml:space="preserve">Đối ngẫu là công cụ chuẩn để ước lượng hệ phương trình cầu (ví dụ hệ AIDS — Almost Ideal Demand System của Deaton–Muellbauer, 1980) và tính các chỉ số phúc lợi (compensating variation, equivalent variation) khi đánh giá tác động của thuế hoặc trợ giá.</w:t>
      </w:r>
    </w:p>
    <w:p>
      <w:pPr>
        <w:pStyle w:val="Heading3"/>
        <w:spacing w:after="120" w:before="240"/>
        <w:outlineLvl w:val="2"/>
      </w:pPr>
      <w:r>
        <w:t xml:space="preserve">8.3 Lý thuyết hãng &amp; đối ngẫu chi phí</w:t>
      </w:r>
    </w:p>
    <w:p>
      <w:pPr>
        <w:spacing w:after="160"/>
      </w:pPr>
      <w:r>
        <w:rPr>
          <w:b/>
          <w:bCs/>
          <w:color w:val="1F3B5C"/>
        </w:rPr>
        <w:t xml:space="preserve">Mô hình / Phát biểu chính thức: </w:t>
      </w:r>
      <w:r>
        <w:t xml:space="preserve">Hàm chi phí c(w, y) = min w·x với ràng buộc f(x) ≥ y là đối ngẫu của hàm sản xuất f. Bổ đề Shephard cho hãng: ∂c(w,y)/∂w_i = x_i(w,y) — cầu yếu tố đầu vào có điều kiện. Hàm chi phí có ba tính chất đặc trưng: thuần nhất bậc 1 theo giá đầu vào, lõm theo giá, và không giảm theo sản lượng.</w:t>
      </w:r>
    </w:p>
    <w:p>
      <w:pPr>
        <w:spacing w:after="160"/>
      </w:pPr>
      <w:r>
        <w:rPr>
          <w:b/>
          <w:bCs/>
          <w:color w:val="1F3B5C"/>
        </w:rPr>
        <w:t xml:space="preserve">Giả định &amp; giới hạn: </w:t>
      </w:r>
      <w:r>
        <w:t xml:space="preserve">Đối ngẫu chi phí giả định hãng là người nhận giá (price taker) trên thị trường đầu vào và công nghệ lồi (convex technology) — hai giả định thường bị vi phạm khi có lợi suất tăng dần theo quy mô (increasing returns to scale) hoặc quyền lực đàm phán một phía (monopsony) trên thị trường lao động, những tình huống ngày càng được chú ý trong kinh tế lao động thực nghiệm gần đây.</w:t>
      </w:r>
    </w:p>
    <w:p>
      <w:pPr>
        <w:spacing w:after="160"/>
      </w:pPr>
      <w:r>
        <w:rPr>
          <w:b/>
          <w:bCs/>
          <w:color w:val="1F3B5C"/>
        </w:rPr>
        <w:t xml:space="preserve">Ứng dụng &amp; mở rộng nghiên cứu: </w:t>
      </w:r>
      <w:r>
        <w:t xml:space="preserve">Là nền tảng ước lượng hàm sản xuất/chi phí thực nghiệm trong kinh tế lượng vi mô — ví dụ phương pháp Olley–Pakes (1996) xử lý vấn đề nội sinh giữa lựa chọn đầu vào và năng suất chưa quan sát được của doanh nghiệp.</w:t>
      </w:r>
    </w:p>
    <w:p>
      <w:pPr>
        <w:pStyle w:val="Heading3"/>
        <w:spacing w:after="120" w:before="240"/>
        <w:outlineLvl w:val="2"/>
      </w:pPr>
      <w:r>
        <w:t xml:space="preserve">8.4 Cân bằng tổng quát Arrow–Debreu</w:t>
      </w:r>
    </w:p>
    <w:p>
      <w:pPr>
        <w:spacing w:after="160"/>
      </w:pPr>
      <w:r>
        <w:rPr>
          <w:b/>
          <w:bCs/>
          <w:color w:val="1F3B5C"/>
        </w:rPr>
        <w:t xml:space="preserve">Mô hình / Phát biểu chính thức: </w:t>
      </w:r>
      <w:r>
        <w:t xml:space="preserve">Một nền kinh tế trao đổi/sản xuất đạt cân bằng cạnh tranh (competitive equilibrium) khi tồn tại một véc-tơ giá p* sao cho mọi thị trường cân bằng (cung = cầu) đồng thời. Định lý Arrow–Debreu (1954) chứng minh sự tồn tại của cân bằng này bằng định lý điểm bất động Kakutani, với các điều kiện: tập phương án lồi, hàm thỏa dụng liên tục và tựa lõm, công nghệ lồi.</w:t>
      </w:r>
    </w:p>
    <w:p>
      <w:pPr>
        <w:spacing w:after="160"/>
      </w:pPr>
      <w:r>
        <w:rPr>
          <w:b/>
          <w:bCs/>
          <w:color w:val="1F3B5C"/>
        </w:rPr>
        <w:t xml:space="preserve">Giả định &amp; giới hạn: </w:t>
      </w:r>
      <w:r>
        <w:t xml:space="preserve">Mô hình giả định thị trường đầy đủ (complete markets — tồn tại thị trường cho mọi hàng hoá ở mọi trạng thái tự nhiên và mọi thời điểm) và không có chi phí giao dịch — hai giả định gần như không bao giờ đúng trong thực tế, và chính là điểm khởi đầu cho toàn bộ lý thuyết thất bại thị trường (Phần A, mục 2) và kinh tế học thông tin. Ngoài ra định lý chỉ chứng minh TỒN TẠI, không chứng minh DUY NHẤT hay ỔN ĐỊNH — có thể có nhiều cân bằng, một số không ổn định dưới động lực điều chỉnh giá kiểu tatônnement.</w:t>
      </w:r>
    </w:p>
    <w:p>
      <w:pPr>
        <w:spacing w:after="160"/>
      </w:pPr>
      <w:r>
        <w:rPr>
          <w:b/>
          <w:bCs/>
          <w:color w:val="1F3B5C"/>
        </w:rPr>
        <w:t xml:space="preserve">Ứng dụng &amp; mở rộng nghiên cứu: </w:t>
      </w:r>
      <w:r>
        <w:t xml:space="preserve">Là khung nền cho các mô hình cân bằng tổng quát khả toán (CGE — Computable General Equilibrium) dùng để mô phỏng tác động chính sách thương mại và thuế ở cấp quốc gia.</w:t>
      </w:r>
    </w:p>
    <w:p>
      <w:pPr>
        <w:pStyle w:val="Heading3"/>
        <w:spacing w:after="120" w:before="240"/>
        <w:outlineLvl w:val="2"/>
      </w:pPr>
      <w:r>
        <w:t xml:space="preserve">8.5 Hai định lý cơ bản của kinh tế học phúc lợi</w:t>
      </w:r>
    </w:p>
    <w:p>
      <w:pPr>
        <w:spacing w:after="160"/>
      </w:pPr>
      <w:r>
        <w:rPr>
          <w:b/>
          <w:bCs/>
          <w:color w:val="1F3B5C"/>
        </w:rPr>
        <w:t xml:space="preserve">Mô hình / Phát biểu chính thức: </w:t>
      </w:r>
      <w:r>
        <w:t xml:space="preserve">Định lý thứ nhất: mọi cân bằng cạnh tranh (với thị trường đầy đủ, không ngoại tác) đều hiệu quả Pareto. Định lý thứ hai: mọi phân bổ hiệu quả Pareto đều có thể đạt được như một cân bằng cạnh tranh, thông qua việc phân phối lại nguồn lực ban đầu (lump-sum transfer) phù hợp trước khi để thị trường vận hành.</w:t>
      </w:r>
    </w:p>
    <w:p>
      <w:pPr>
        <w:spacing w:after="160"/>
      </w:pPr>
      <w:r>
        <w:rPr>
          <w:b/>
          <w:bCs/>
          <w:color w:val="1F3B5C"/>
        </w:rPr>
        <w:t xml:space="preserve">Giả định &amp; giới hạn: </w:t>
      </w:r>
      <w:r>
        <w:t xml:space="preserve">Định lý thứ nhất sụp đổ ngay khi có ngoại tác, hàng hoá công, hoặc thông tin bất cân xứng (Phần A, mục 2) — đây chính là nền tảng lý thuyết cho sự can thiệp của nhà nước. Định lý thứ hai đòi hỏi khả năng chuyển giao lump-sum KHÔNG méo mó (non-distortionary) — trong thực tế mọi công cụ thuế đều gây méo mó, nên định lý này mang tính chuẩn tắc/lý tưởng hơn là công cụ thực thi trực tiếp, một điểm hay bị bỏ qua khi trích dẫn nó để biện minh cho chính sách tái phân phối.</w:t>
      </w:r>
    </w:p>
    <w:p>
      <w:pPr>
        <w:spacing w:after="160"/>
      </w:pPr>
      <w:r>
        <w:rPr>
          <w:b/>
          <w:bCs/>
          <w:color w:val="1F3B5C"/>
        </w:rPr>
        <w:t xml:space="preserve">Ứng dụng &amp; mở rộng nghiên cứu: </w:t>
      </w:r>
      <w:r>
        <w:t xml:space="preserve">Là cơ sở triết học cho quan điểm "hiệu quả và công bằng có thể tách rời" (efficiency-equity separation) trong kinh tế học phúc lợi — một luận điểm gây tranh cãi, bị phê phán bởi các nhà kinh tế học thiết kế cơ chế do tính phi thực tế của lump-sum transfer.</w:t>
      </w:r>
    </w:p>
    <w:p>
      <w:pPr>
        <w:pStyle w:val="Heading3"/>
        <w:spacing w:after="120" w:before="240"/>
        <w:outlineLvl w:val="2"/>
      </w:pPr>
      <w:r>
        <w:t xml:space="preserve">8.6 Lựa chọn trong bất định &amp; Kỳ vọng thỏa dụng</w:t>
      </w:r>
    </w:p>
    <w:p>
      <w:pPr>
        <w:spacing w:after="160"/>
      </w:pPr>
      <w:r>
        <w:rPr>
          <w:b/>
          <w:bCs/>
          <w:color w:val="1F3B5C"/>
        </w:rPr>
        <w:t xml:space="preserve">Mô hình / Phát biểu chính thức: </w:t>
      </w:r>
      <w:r>
        <w:t xml:space="preserve">Định lý von Neumann–Morgenstern (1944): nếu quan hệ ưa thích trên các phân phối xác suất (lottery) thỏa bốn tiên đề (đầy đủ, bắc cầu, liên tục, độc lập), thì tồn tại một hàm thỏa dụng u sao cho các lottery được xếp hạng theo kỳ vọng thỏa dụng E[u(x)]. Mức độ ngại rủi ro được đo bằng hệ số ngại rủi ro tuyệt đối Arrow–Pratt: A(x) = −u''(x)/u'(x).</w:t>
      </w:r>
    </w:p>
    <w:p>
      <w:pPr>
        <w:spacing w:after="160"/>
      </w:pPr>
      <w:r>
        <w:rPr>
          <w:b/>
          <w:bCs/>
          <w:color w:val="1F3B5C"/>
        </w:rPr>
        <w:t xml:space="preserve">Giả định &amp; giới hạn: </w:t>
      </w:r>
      <w:r>
        <w:t xml:space="preserve">Tiên đề độc lập (independence axiom) là điểm yếu nhất trong bộ bốn tiên đề — nghịch lý Allais (1953) cho thấy con người có xu hướng vi phạm nó một cách hệ thống khi so sánh các lottery gần như chắc chắn với các lottery có rủi ro nhỏ. Đây chính là động lực trực tiếp dẫn đến lý thuyết triển vọng của Kahneman–Tversky (Phần B, mục 16) như một mô hình thay thế mô tả hành vi thực tế tốt hơn.</w:t>
      </w:r>
    </w:p>
    <w:p>
      <w:pPr>
        <w:spacing w:after="160"/>
      </w:pPr>
      <w:r>
        <w:rPr>
          <w:b/>
          <w:bCs/>
          <w:color w:val="1F3B5C"/>
        </w:rPr>
        <w:t xml:space="preserve">Ứng dụng &amp; mở rộng nghiên cứu: </w:t>
      </w:r>
      <w:r>
        <w:t xml:space="preserve">Là nền tảng của toàn bộ kinh tế học tài chính (Phần B, mục 15) và kinh tế học bảo hiểm — hầu hết các mô hình định giá rủi ro chuẩn (CAPM, Black–Scholes) đều được xây dựng trên giả định kỳ vọng thỏa dụng hoặc một biến thể của nó.</w:t>
      </w:r>
    </w:p>
    <w:p>
      <w:pPr>
        <w:pStyle w:val="Heading3"/>
        <w:spacing w:after="120" w:before="240"/>
        <w:outlineLvl w:val="2"/>
      </w:pPr>
      <w:r>
        <w:t xml:space="preserve">8.7 Định lý bất khả thi Arrow</w:t>
      </w:r>
    </w:p>
    <w:p>
      <w:pPr>
        <w:spacing w:after="160"/>
      </w:pPr>
      <w:r>
        <w:rPr>
          <w:b/>
          <w:bCs/>
          <w:color w:val="1F3B5C"/>
        </w:rPr>
        <w:t xml:space="preserve">Mô hình / Phát biểu chính thức: </w:t>
      </w:r>
      <w:r>
        <w:t xml:space="preserve">Arrow (1951) chứng minh: không tồn tại một hàm phúc lợi xã hội (social welfare function) nào tổng hợp thứ tự ưa thích của nhiều cá nhân (với từ 3 phương án trở lên) thành một thứ tự xã hội, mà đồng thời thỏa mãn cả bốn điều kiện hợp lý: miền không giới hạn (unrestricted domain), hiệu quả Pareto, độc lập với phương án không liên quan (IIA), và không có nhà độc tài (non-dictatorship).</w:t>
      </w:r>
    </w:p>
    <w:p>
      <w:pPr>
        <w:spacing w:after="160"/>
      </w:pPr>
      <w:r>
        <w:rPr>
          <w:b/>
          <w:bCs/>
          <w:color w:val="1F3B5C"/>
        </w:rPr>
        <w:t xml:space="preserve">Giả định &amp; giới hạn: </w:t>
      </w:r>
      <w:r>
        <w:t xml:space="preserve">Kết quả "bất khả thi" chỉ đúng khi đòi hỏi CẢ BỐN điều kiện cùng lúc — nới lỏng bất kỳ điều kiện nào (ví dụ cho phép thông tin liên độ - cardinal information, như trong hàm phúc lợi Bergson–Samuelson) sẽ thoát khỏi định lý. Một hiểu nhầm phổ biến là coi đây là bằng chứng "dân chủ là bất khả thi" — thực ra định lý chỉ nói về việc tổng hợp THỨ TỰ ưa thích thuần túy (ordinal), một phạm vi hẹp hơn nhiều so với toàn bộ lý thuyết dân chủ.</w:t>
      </w:r>
    </w:p>
    <w:p>
      <w:pPr>
        <w:spacing w:after="160"/>
      </w:pPr>
      <w:r>
        <w:rPr>
          <w:b/>
          <w:bCs/>
          <w:color w:val="1F3B5C"/>
        </w:rPr>
        <w:t xml:space="preserve">Ứng dụng &amp; mở rộng nghiên cứu: </w:t>
      </w:r>
      <w:r>
        <w:t xml:space="preserve">Mở đường cho lý thuyết lựa chọn xã hội hiện đại (social choice theory) và thiết kế cơ chế bỏ phiếu — ví dụ định lý Gibbard–Satterthwaite (1973) chứng minh mọi cơ chế bỏ phiếu không độc tài với từ 3 phương án trở lên đều có thể bị thao túng chiến lược (strategic manipulation).</w:t>
      </w:r>
    </w:p>
    <w:p>
      <w:pPr>
        <w:pBdr>
          <w:bottom w:val="single" w:color="CCCCCC" w:sz="6" w:space="1"/>
        </w:pBdr>
        <w:spacing w:after="200"/>
      </w:pPr>
    </w:p>
    <w:p>
      <w:r>
        <w:br w:type="page"/>
      </w:r>
    </w:p>
    <w:p>
      <w:pPr>
        <w:pStyle w:val="Heading2"/>
        <w:shd w:fill="E0C9B8" w:color="auto" w:val="clear"/>
        <w:spacing w:after="200" w:before="120"/>
        <w:outlineLvl w:val="1"/>
      </w:pPr>
      <w:r>
        <w:rPr>
          <w:color w:val="1F3B5C"/>
        </w:rPr>
        <w:t xml:space="preserve">9. Lý thuyết Vĩ mô nâng cao</w:t>
      </w:r>
    </w:p>
    <w:p>
      <w:pPr>
        <w:spacing w:after="240"/>
      </w:pPr>
      <w:r>
        <w:rPr>
          <w:i/>
          <w:iCs/>
          <w:color w:val="444444"/>
        </w:rPr>
        <w:t xml:space="preserve">Từ mô hình tăng trưởng ngoại sinh đến các khung DSGE hiện đại — bộ khung chuẩn mà mọi nghiên cứu vĩ mô định lượng ngày nay đều xây dựng trên đó.</w:t>
      </w:r>
    </w:p>
    <w:p>
      <w:pPr>
        <w:pStyle w:val="Heading3"/>
        <w:spacing w:after="120" w:before="240"/>
        <w:outlineLvl w:val="2"/>
      </w:pPr>
      <w:r>
        <w:t xml:space="preserve">9.1 Mô hình Solow–Swan</w:t>
      </w:r>
    </w:p>
    <w:p>
      <w:pPr>
        <w:spacing w:after="160"/>
      </w:pPr>
      <w:r>
        <w:rPr>
          <w:b/>
          <w:bCs/>
          <w:color w:val="1F3B5C"/>
        </w:rPr>
        <w:t xml:space="preserve">Mô hình / Phát biểu chính thức: </w:t>
      </w:r>
      <w:r>
        <w:t xml:space="preserve">Với hàm sản xuất Y = F(K, AL) và tiến bộ công nghệ tăng dạng Harrod-trung lập, phương trình động học cơ bản là: dk/dt = s·f(k) − (n + g + δ)·k, với k là vốn trên một đơn vị lao động hiệu quả. Trạng thái dừng (steady state) k* thỏa s·f(k*) = (n + g + δ)·k*. Tốc độ tăng trưởng thu nhập bình quân đầu người dài hạn đúng bằng g — tốc độ tiến bộ công nghệ ngoại sinh.</w:t>
      </w:r>
    </w:p>
    <w:p>
      <w:pPr>
        <w:spacing w:after="160"/>
      </w:pPr>
      <w:r>
        <w:rPr>
          <w:b/>
          <w:bCs/>
          <w:color w:val="1F3B5C"/>
        </w:rPr>
        <w:t xml:space="preserve">Giả định &amp; giới hạn: </w:t>
      </w:r>
      <w:r>
        <w:t xml:space="preserve">Tỷ lệ tiết kiệm s là ngoại sinh/cố định — không được suy ra từ tối ưu hoá liên thời gian của hộ gia đình, đây chính là điểm mô hình Ramsey (mục 9.2) khắc phục. Quan trọng hơn: tiến bộ công nghệ ngoại sinh nghĩa là mô hình KHÔNG giải thích được động lực thực sự của tăng trưởng dài hạn, chỉ mô tả động lực hội tụ về trạng thái dừng. Hội tụ tuyệt đối giữa các nước chỉ đúng có điều kiện (conditional convergence) trên thực nghiệm — mỗi nước hội tụ về steady state RIÊNG của mình, không phải cùng một điểm chung.</w:t>
      </w:r>
    </w:p>
    <w:p>
      <w:pPr>
        <w:spacing w:after="160"/>
      </w:pPr>
      <w:r>
        <w:rPr>
          <w:b/>
          <w:bCs/>
          <w:color w:val="1F3B5C"/>
        </w:rPr>
        <w:t xml:space="preserve">Ứng dụng &amp; mở rộng nghiên cứu: </w:t>
      </w:r>
      <w:r>
        <w:t xml:space="preserve">Kiểm định thực nghiệm hội tụ có điều kiện (Barro và Sala-i-Martin; Mankiw–Romer–Weil 1992 mở rộng thêm vốn con người) là một trong những chương trình nghiên cứu thực nghiệm lớn nhất của kinh tế vĩ mô tăng trưởng.</w:t>
      </w:r>
    </w:p>
    <w:p>
      <w:pPr>
        <w:pStyle w:val="Heading3"/>
        <w:spacing w:after="120" w:before="240"/>
        <w:outlineLvl w:val="2"/>
      </w:pPr>
      <w:r>
        <w:t xml:space="preserve">9.2 Mô hình Ramsey–Cass–Koopmans</w:t>
      </w:r>
    </w:p>
    <w:p>
      <w:pPr>
        <w:spacing w:after="160"/>
      </w:pPr>
      <w:r>
        <w:rPr>
          <w:b/>
          <w:bCs/>
          <w:color w:val="1F3B5C"/>
        </w:rPr>
        <w:t xml:space="preserve">Mô hình / Phát biểu chính thức: </w:t>
      </w:r>
      <w:r>
        <w:t xml:space="preserve">Hộ gia đình đại diện tối đa hoá tích phân từ 0 đến vô cùng của e^(−ρt)·u(c(t)) dt, với ràng buộc tích luỹ vốn dk/dt = f(k) − c − (n+δ)k. Điều kiện bậc nhất cho ra phương trình Euler: (dc/dt)/c = (1/θ)·[f'(k) − δ − ρ], với θ là hệ số ngại rủi ro tương đối không đổi (CRRA).</w:t>
      </w:r>
    </w:p>
    <w:p>
      <w:pPr>
        <w:spacing w:after="160"/>
      </w:pPr>
      <w:r>
        <w:rPr>
          <w:b/>
          <w:bCs/>
          <w:color w:val="1F3B5C"/>
        </w:rPr>
        <w:t xml:space="preserve">Giả định &amp; giới hạn: </w:t>
      </w:r>
      <w:r>
        <w:t xml:space="preserve">Giả định "hộ gia đình đại diện" (representative agent) sống vô hạn (infinitely-lived, thực chất là các thế hệ nối tiếp với di sản thừa kế liên tục) bỏ qua hoàn toàn dị biệt hoá giữa các thế hệ — một giả định mà mô hình OLG (mục 9.3) từ bỏ hoàn toàn. Nghiệm trạng thái dừng còn phụ thuộc vào điều kiện kỹ thuật ρ &gt; n (tỷ lệ chiết khấu chủ quan phải lớn hơn tốc độ tăng dân số) để tích phân hội tụ — vi phạm điều kiện này mô hình không có nghiệm hữu hạn, một chi tiết kỹ thuật hay bị bỏ sót khi thiết lập mô hình.</w:t>
      </w:r>
    </w:p>
    <w:p>
      <w:pPr>
        <w:spacing w:after="160"/>
      </w:pPr>
      <w:r>
        <w:rPr>
          <w:b/>
          <w:bCs/>
          <w:color w:val="1F3B5C"/>
        </w:rPr>
        <w:t xml:space="preserve">Ứng dụng &amp; mở rộng nghiên cứu: </w:t>
      </w:r>
      <w:r>
        <w:t xml:space="preserve">Là khung chuẩn (workhorse) của toàn bộ kinh tế vĩ mô hiện đại — nền tảng trực tiếp cho các mô hình RBC (mục 9.5) và New Keynesian (mục 9.6), về bản chất chỉ thêm các "khối" khác nhau vào bộ khung Ramsey cơ bản.</w:t>
      </w:r>
    </w:p>
    <w:p>
      <w:pPr>
        <w:pStyle w:val="Heading3"/>
        <w:spacing w:after="120" w:before="240"/>
        <w:outlineLvl w:val="2"/>
      </w:pPr>
      <w:r>
        <w:t xml:space="preserve">9.3 Mô hình thế hệ chồng lấp (OLG – Diamond)</w:t>
      </w:r>
    </w:p>
    <w:p>
      <w:pPr>
        <w:spacing w:after="160"/>
      </w:pPr>
      <w:r>
        <w:rPr>
          <w:b/>
          <w:bCs/>
          <w:color w:val="1F3B5C"/>
        </w:rPr>
        <w:t xml:space="preserve">Mô hình / Phát biểu chính thức: </w:t>
      </w:r>
      <w:r>
        <w:t xml:space="preserve">Diamond (1965) mở rộng mô hình thế hệ chồng lấp của Samuelson (1958) sang có sản xuất: mỗi cá nhân sống hai giai đoạn — trẻ (làm việc, tiết kiệm) và già (tiêu dùng bằng tiết kiệm tích luỹ). Vì các thế hệ chồng lấp không thể đàm phán trực tiếp với nhau, cân bằng thị trường trong mô hình này có thể KHÔNG hiệu quả Pareto — khác biệt căn bản so với mô hình hộ gia đình đại diện.</w:t>
      </w:r>
    </w:p>
    <w:p>
      <w:pPr>
        <w:spacing w:after="160"/>
      </w:pPr>
      <w:r>
        <w:rPr>
          <w:b/>
          <w:bCs/>
          <w:color w:val="1F3B5C"/>
        </w:rPr>
        <w:t xml:space="preserve">Giả định &amp; giới hạn: </w:t>
      </w:r>
      <w:r>
        <w:t xml:space="preserve">Đây là mô hình vĩ mô DUY NHẤT trong đó Định lý phúc lợi thứ nhất (mục 8.5) có thể không đúng — tồn tại khả năng "tích luỹ vốn quá mức" (dynamic inefficiency) khi lãi suất dài hạn thấp hơn tốc độ tăng trưởng dân số, một kết quả không thể xảy ra trong mô hình Ramsey với hộ gia đình vô hạn đời. Đây là điểm hay bị bỏ sót khi áp dụng trực giác từ mô hình hộ gia đình đại diện sang phân tích chính sách liên thế hệ.</w:t>
      </w:r>
    </w:p>
    <w:p>
      <w:pPr>
        <w:spacing w:after="160"/>
      </w:pPr>
      <w:r>
        <w:rPr>
          <w:b/>
          <w:bCs/>
          <w:color w:val="1F3B5C"/>
        </w:rPr>
        <w:t xml:space="preserve">Ứng dụng &amp; mở rộng nghiên cứu: </w:t>
      </w:r>
      <w:r>
        <w:t xml:space="preserve">Là công cụ chuẩn để phân tích hệ thống hưu trí (thực chi thực hưởng pay-as-you-go so với tích luỹ vốn fully-funded), nợ công liên thế hệ, và các chính sách tái phân phối giữa các thế hệ.</w:t>
      </w:r>
    </w:p>
    <w:p>
      <w:pPr>
        <w:pStyle w:val="Heading3"/>
        <w:spacing w:after="120" w:before="240"/>
        <w:outlineLvl w:val="2"/>
      </w:pPr>
      <w:r>
        <w:t xml:space="preserve">9.4 Tăng trưởng nội sinh (Romer, Lucas)</w:t>
      </w:r>
    </w:p>
    <w:p>
      <w:pPr>
        <w:spacing w:after="160"/>
      </w:pPr>
      <w:r>
        <w:rPr>
          <w:b/>
          <w:bCs/>
          <w:color w:val="1F3B5C"/>
        </w:rPr>
        <w:t xml:space="preserve">Mô hình / Phát biểu chính thức: </w:t>
      </w:r>
      <w:r>
        <w:t xml:space="preserve">Romer (1990) mô hình hoá tiến bộ công nghệ như kết quả của đầu tư R&amp;D có chủ đích, với tri thức có tính phi cạnh tranh (non-rival) nhưng có thể loại trừ một phần qua bằng sáng chế — tạo ra cạnh tranh độc quyền ở khu vực sản xuất hàng hoá trung gian. Lucas (1988) nhấn mạnh thay vào đó ngoại tác của vốn con người tổng hợp (aggregate human capital externality) như động lực tăng trưởng.</w:t>
      </w:r>
    </w:p>
    <w:p>
      <w:pPr>
        <w:spacing w:after="160"/>
      </w:pPr>
      <w:r>
        <w:rPr>
          <w:b/>
          <w:bCs/>
          <w:color w:val="1F3B5C"/>
        </w:rPr>
        <w:t xml:space="preserve">Giả định &amp; giới hạn: </w:t>
      </w:r>
      <w:r>
        <w:t xml:space="preserve">Cần giả định lợi suất không giảm dần đối với các yếu tố có thể tích luỹ được (vốn tri thức, vốn con người) để tránh tăng trưởng dài hạn hội tụ về 0 — đây là khác biệt căn bản so với Solow. Việc mô hình hoá "tri thức" như một hàng hoá kinh tế vẫn còn nhiều tranh cãi chưa ngã ngũ về dạng hàm sản xuất tri thức phù hợp — liệu có lợi suất giảm dần theo số nhà nghiên cứu hay không (giả thuyết "fishing out" của Jones, 1995), một điểm hay bị bỏ qua khi trích dẫn mô hình Romer như lời giải cuối cùng cho tăng trưởng.</w:t>
      </w:r>
    </w:p>
    <w:p>
      <w:pPr>
        <w:spacing w:after="160"/>
      </w:pPr>
      <w:r>
        <w:rPr>
          <w:b/>
          <w:bCs/>
          <w:color w:val="1F3B5C"/>
        </w:rPr>
        <w:t xml:space="preserve">Ứng dụng &amp; mở rộng nghiên cứu: </w:t>
      </w:r>
      <w:r>
        <w:t xml:space="preserve">Là nền tảng lý thuyết cho chính sách công nghiệp hiện đại, bảo hộ sở hữu trí tuệ, và tranh luận về "bẫy thu nhập trung bình" — liên hệ trực tiếp với thảo luận FDI &amp; chuyển giao công nghệ ở Phần A, mục 4.4.</w:t>
      </w:r>
    </w:p>
    <w:p>
      <w:pPr>
        <w:pStyle w:val="Heading3"/>
        <w:spacing w:after="120" w:before="240"/>
        <w:outlineLvl w:val="2"/>
      </w:pPr>
      <w:r>
        <w:t xml:space="preserve">9.5 Mô hình chu kỳ kinh doanh thực (RBC)</w:t>
      </w:r>
    </w:p>
    <w:p>
      <w:pPr>
        <w:spacing w:after="160"/>
      </w:pPr>
      <w:r>
        <w:rPr>
          <w:b/>
          <w:bCs/>
          <w:color w:val="1F3B5C"/>
        </w:rPr>
        <w:t xml:space="preserve">Mô hình / Phát biểu chính thức: </w:t>
      </w:r>
      <w:r>
        <w:t xml:space="preserve">Kydland–Prescott (1982) mô hình hoá chu kỳ kinh tế như phản ứng TỐI ƯU của các tác nhân duy lý trước các cú sốc công nghệ ngoại sinh (đo bằng phần dư Solow — Solow residual), chứ KHÔNG phải do thất bại thị trường hay các yếu tố tiền tệ. Sản lượng, tiêu dùng, đầu tư dao động cùng nhịp vì hộ gia đình tối ưu hoá phản ứng của mình trước thay đổi năng suất.</w:t>
      </w:r>
    </w:p>
    <w:p>
      <w:pPr>
        <w:spacing w:after="160"/>
      </w:pPr>
      <w:r>
        <w:rPr>
          <w:b/>
          <w:bCs/>
          <w:color w:val="1F3B5C"/>
        </w:rPr>
        <w:t xml:space="preserve">Giả định &amp; giới hạn: </w:t>
      </w:r>
      <w:r>
        <w:t xml:space="preserve">Mô hình giả định thị trường luôn dọn sạch (market clearing liên tục) và giá cả hoàn toàn linh hoạt — bị phê phán mạnh vì không giải thích được tính "cứng nhắc danh nghĩa" (nominal rigidity) quan sát được trong dữ liệu thực tế, nơi giá và lương điều chỉnh chậm. Mô hình cũng bị phê phán vì cần các cú sốc công nghệ ÂM lớn và thường xuyên để khớp với các đợt suy thoái quan sát được — nhiều nhà kinh tế cho là khó biện minh về mặt đo lường thực nghiệm.</w:t>
      </w:r>
    </w:p>
    <w:p>
      <w:pPr>
        <w:spacing w:after="160"/>
      </w:pPr>
      <w:r>
        <w:rPr>
          <w:b/>
          <w:bCs/>
          <w:color w:val="1F3B5C"/>
        </w:rPr>
        <w:t xml:space="preserve">Ứng dụng &amp; mở rộng nghiên cứu: </w:t>
      </w:r>
      <w:r>
        <w:t xml:space="preserve">Phương pháp hiệu chỉnh tham số (calibration) và giải mô hình bằng tuyến tính hoá logarit quanh trạng thái dừng (log-linearization) mà RBC tiên phong nay là chuẩn mực kỹ thuật cho mọi mô hình DSGE hiện đại, kể cả New Keynesian.</w:t>
      </w:r>
    </w:p>
    <w:p>
      <w:pPr>
        <w:pStyle w:val="Heading3"/>
        <w:spacing w:after="120" w:before="240"/>
        <w:outlineLvl w:val="2"/>
      </w:pPr>
      <w:r>
        <w:t xml:space="preserve">9.6 Mô hình New Keynesian / DSGE</w:t>
      </w:r>
    </w:p>
    <w:p>
      <w:pPr>
        <w:spacing w:after="160"/>
      </w:pPr>
      <w:r>
        <w:rPr>
          <w:b/>
          <w:bCs/>
          <w:color w:val="1F3B5C"/>
        </w:rPr>
        <w:t xml:space="preserve">Mô hình / Phát biểu chính thức: </w:t>
      </w:r>
      <w:r>
        <w:t xml:space="preserve">Giữ nguyên khung Ramsey/RBC nhưng thêm cạnh tranh độc quyền và giá cả cứng nhắc (sticky prices, thường theo mô hình Calvo 1983 — mỗi kỳ chỉ một phần ngẫu nhiên doanh nghiệp được phép điều chỉnh giá). Kết quả trung tâm là đường Phillips New Keynesian (NKPC), liên hệ lạm phát hiện tại với kỳ vọng lạm phát tương lai và độ lệch sản lượng: π_t = β·E_t[π_(t+1)] + κ·x_t.</w:t>
      </w:r>
    </w:p>
    <w:p>
      <w:pPr>
        <w:spacing w:after="160"/>
      </w:pPr>
      <w:r>
        <w:rPr>
          <w:b/>
          <w:bCs/>
          <w:color w:val="1F3B5C"/>
        </w:rPr>
        <w:t xml:space="preserve">Giả định &amp; giới hạn: </w:t>
      </w:r>
      <w:r>
        <w:t xml:space="preserve">Mô hình Calvo giả định xác suất điều chỉnh giá là NGẪU NHIÊN, không phụ thuộc thời gian kể từ lần điều chỉnh trước — một giả định được biết là phản thực tế (counterfactual) nhưng vẫn được dùng rộng rãi vì tính dễ giải được (tractability). Đường Phillips New Keynesian thuần túy (không có thành phần "nhìn về quá khứ" — backward-looking) thường khớp kém với dữ liệu quán tính lạm phát thực tế, dẫn đến các biến thể "hybrid NKPC" — một điểm hay bị bỏ qua khi trình bày mô hình NK ở dạng đơn giản nhất.</w:t>
      </w:r>
    </w:p>
    <w:p>
      <w:pPr>
        <w:spacing w:after="160"/>
      </w:pPr>
      <w:r>
        <w:rPr>
          <w:b/>
          <w:bCs/>
          <w:color w:val="1F3B5C"/>
        </w:rPr>
        <w:t xml:space="preserve">Ứng dụng &amp; mở rộng nghiên cứu: </w:t>
      </w:r>
      <w:r>
        <w:t xml:space="preserve">Là mô hình nền tảng mà hầu hết ngân hàng trung ương lớn (Fed, ECB) dùng để mô phỏng và đánh giá chính sách tiền tệ tối ưu — quy tắc Taylor có thể được suy ra như một xấp xỉ của chính sách tối ưu trong khung New Keynesian.</w:t>
      </w:r>
    </w:p>
    <w:p>
      <w:pPr>
        <w:pStyle w:val="Heading3"/>
        <w:spacing w:after="120" w:before="240"/>
        <w:outlineLvl w:val="2"/>
      </w:pPr>
      <w:r>
        <w:t xml:space="preserve">9.7 Bất nhất quán thời gian &amp; uy tín ngân hàng trung ương</w:t>
      </w:r>
    </w:p>
    <w:p>
      <w:pPr>
        <w:spacing w:after="160"/>
      </w:pPr>
      <w:r>
        <w:rPr>
          <w:b/>
          <w:bCs/>
          <w:color w:val="1F3B5C"/>
        </w:rPr>
        <w:t xml:space="preserve">Mô hình / Phát biểu chính thức: </w:t>
      </w:r>
      <w:r>
        <w:t xml:space="preserve">Kydland–Prescott (1977) chứng minh: một chính sách "tối ưu" được công bố trước (ex-ante optimal) có thể không còn tối ưu khi đến lúc thực thi (ex-post), vì các tác nhân tư nhân đã điều chỉnh kỳ vọng dựa trên chính công bố đó. Barro–Gordon (1983) áp dụng kết quả này vào chính sách tiền tệ: ngân hàng trung ương có động cơ tạo lạm phát bất ngờ để giảm thất nghiệp tạm thời — nhưng nếu công chúng dự đoán được động cơ này, kỳ vọng lạm phát sẽ tự điều chỉnh lên, tạo ra "thiên lệch lạm phát" (inflationary bias) mà không có lợi ích thất nghiệp thực sự nào.</w:t>
      </w:r>
    </w:p>
    <w:p>
      <w:pPr>
        <w:spacing w:after="160"/>
      </w:pPr>
      <w:r>
        <w:rPr>
          <w:b/>
          <w:bCs/>
          <w:color w:val="1F3B5C"/>
        </w:rPr>
        <w:t xml:space="preserve">Giả định &amp; giới hạn: </w:t>
      </w:r>
      <w:r>
        <w:t xml:space="preserve">Kết quả này phụ thuộc vào giả định ngân hàng trung ương theo đuổi mục tiêu thất nghiệp THẤP HƠN mức tự nhiên (ví dụ do các méo mó thuế/trợ cấp trên thị trường lao động) — nếu ngân hàng trung ương chỉ theo đúng mục tiêu xã hội tối ưu, thiên lệch lạm phát này biến mất hoàn toàn. Đây cũng là điểm phân biệt cốt lõi, hay bị gộp chung, giữa lựa chọn chính sách theo "quy tắc" (rules) và theo "tuỳ nghi" (discretion).</w:t>
      </w:r>
    </w:p>
    <w:p>
      <w:pPr>
        <w:spacing w:after="160"/>
      </w:pPr>
      <w:r>
        <w:rPr>
          <w:b/>
          <w:bCs/>
          <w:color w:val="1F3B5C"/>
        </w:rPr>
        <w:t xml:space="preserve">Ứng dụng &amp; mở rộng nghiên cứu: </w:t>
      </w:r>
      <w:r>
        <w:t xml:space="preserve">Là cơ sở lý thuyết trực tiếp cho phong trào "ngân hàng trung ương độc lập" (central bank independence) và cơ chế "lạm phát mục tiêu" (inflation targeting) lan rộng toàn cầu từ thập niên 1990 — cả hai đều là công cụ CAM KẾT (commitment device) nhằm giải quyết bài toán bất nhất quán thời gian.</w:t>
      </w:r>
    </w:p>
    <w:p>
      <w:pPr>
        <w:pBdr>
          <w:bottom w:val="single" w:color="CCCCCC" w:sz="6" w:space="1"/>
        </w:pBdr>
        <w:spacing w:after="200"/>
      </w:pP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Hệ thống kiến thức Kinh tế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Calibri" w:cs="Calibri" w:eastAsia="Calibri" w:hAnsi="Calibri"/>
      <w:b/>
      <w:bCs/>
      <w:color w:val="5B3A29"/>
      <w:sz w:val="36"/>
      <w:szCs w:val="36"/>
    </w:rPr>
  </w:style>
  <w:style w:type="paragraph" w:styleId="Heading2">
    <w:name w:val="Heading 2"/>
    <w:basedOn w:val="Normal"/>
    <w:next w:val="Normal"/>
    <w:qFormat/>
    <w:pPr>
      <w:spacing w:after="140" w:before="200"/>
    </w:pPr>
    <w:rPr>
      <w:rFonts w:ascii="Calibri" w:cs="Calibri" w:eastAsia="Calibri" w:hAnsi="Calibri"/>
      <w:b/>
      <w:bCs/>
      <w:color w:val="5B3A29"/>
      <w:sz w:val="30"/>
      <w:szCs w:val="30"/>
    </w:rPr>
  </w:style>
  <w:style w:type="paragraph" w:styleId="Heading3">
    <w:name w:val="Heading 3"/>
    <w:basedOn w:val="Normal"/>
    <w:next w:val="Normal"/>
    <w:qFormat/>
    <w:pPr>
      <w:spacing w:after="100" w:before="200"/>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2026-07-21T09:30:44.051Z</dcterms:created>
  <dcterms:modified xsi:type="dcterms:W3CDTF">2026-07-21T09:30:44.053Z</dcterms:modified>
</cp:coreProperties>
</file>

<file path=docProps/custom.xml><?xml version="1.0" encoding="utf-8"?>
<Properties xmlns="http://schemas.openxmlformats.org/officeDocument/2006/custom-properties" xmlns:vt="http://schemas.openxmlformats.org/officeDocument/2006/docPropsVTypes"/>
</file>