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e293b"/>
          <w:sz w:val="36"/>
          <w:szCs w:val="36"/>
        </w:rPr>
        <w:t xml:space="preserve">HỆ THỐNG KIẾN THỨC KINH TẾ HỌC ỨNG DỤNG</w:t>
      </w:r>
    </w:p>
    <w:p>
      <w:pPr>
        <w:spacing w:after="400"/>
        <w:jc w:val="center"/>
      </w:pPr>
      <w:r>
        <w:rPr>
          <w:i/>
          <w:iCs/>
          <w:sz w:val="22"/>
          <w:szCs w:val="22"/>
        </w:rPr>
        <w:t xml:space="preserve">26 khái niệm, 7 nhóm vấn đề — trình bày ở mức độ chuyên sâu, kèm mô hình hình thức và tài liệu gốc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94a3b8" w:sz="6" w:space="4"/>
        </w:pBdr>
        <w:spacing w:after="200" w:before="480"/>
      </w:pPr>
      <w:r>
        <w:rPr>
          <w:b/>
          <w:bCs/>
          <w:color w:val="1e293b"/>
          <w:sz w:val="32"/>
          <w:szCs w:val="32"/>
        </w:rPr>
        <w:t xml:space="preserve">1. Ra quyết định</w:t>
      </w:r>
    </w:p>
    <w:p>
      <w:pPr>
        <w:pStyle w:val="Heading2"/>
        <w:spacing w:after="100" w:before="280"/>
      </w:pPr>
      <w:r>
        <w:rPr>
          <w:b/>
          <w:bCs/>
          <w:color w:val="1e293b"/>
          <w:sz w:val="26"/>
          <w:szCs w:val="26"/>
        </w:rPr>
        <w:t xml:space="preserve">1.1 Chi phí cơ hội</w:t>
      </w:r>
    </w:p>
    <w:p>
      <w:pPr>
        <w:spacing w:after="100"/>
      </w:pPr>
      <w:r>
        <w:rPr>
          <w:b/>
          <w:bCs/>
        </w:rPr>
        <w:t xml:space="preserve">Định nghĩa: </w:t>
      </w:r>
      <w:r>
        <w:t xml:space="preserve">Trong lý thuyết lựa chọn duy lý, chi phí cơ hội là giá trị của phương án tốt nhất bị từ bỏ — về bản chất là chi phí ẩn (implicit cost) cộng thêm vào chi phí kế toán hiển hiện (explicit cost) để có tổng chi phí kinh tế (economic cost). Khái niệm bắt nguồn từ trường phái Áo (Friedrich von Wieser, cuối thế kỷ 19, thuật ngữ "Opportunitätskosten") và là nền tảng của đường giới hạn khả năng sản xuất (production possibility frontier).</w:t>
      </w:r>
    </w:p>
    <w:p>
      <w:pPr>
        <w:spacing w:after="100"/>
      </w:pPr>
      <w:r>
        <w:rPr>
          <w:b/>
          <w:bCs/>
        </w:rPr>
        <w:t xml:space="preserve">Điểm mù / mở rộng học thuật: </w:t>
      </w:r>
      <w:r>
        <w:t xml:space="preserve">Chi phí cơ hội không ghi nhận trong báo cáo tài chính theo GAAP/IFRS (vốn chỉ ghi nhận explicit cost) — dẫn tới khoảng cách giữa lợi nhuận kế toán (accounting profit) và lợi nhuận kinh tế (economic profit = doanh thu trừ cả chi phí ẩn lẫn chi phí hiện). Một doanh nghiệp có lợi nhuận kế toán dương vẫn có thể đang hủy hoại giá trị kinh tế nếu ROIC thấp hơn chi phí vốn (WACC) — bản chất WACC chính là chi phí cơ hội của vốn.</w:t>
      </w:r>
    </w:p>
    <w:p>
      <w:pPr>
        <w:spacing w:after="100"/>
      </w:pPr>
      <w:r>
        <w:rPr>
          <w:b/>
          <w:bCs/>
        </w:rPr>
        <w:t xml:space="preserve">Ứng dụng: </w:t>
      </w:r>
      <w:r>
        <w:t xml:space="preserve">EVA (Economic Value Added) = NOPAT − (Vốn đầu tư × WACC) hình thức hóa trực tiếp chi phí cơ hội vào đo lường hiệu quả doanh nghiệp — khác về chất so với các chỉ số lợi nhuận kế toán thuần túy như EPS hay ROE.</w:t>
      </w:r>
    </w:p>
    <w:p>
      <w:pPr>
        <w:pStyle w:val="Heading2"/>
        <w:spacing w:after="100" w:before="280"/>
      </w:pPr>
      <w:r>
        <w:rPr>
          <w:b/>
          <w:bCs/>
          <w:color w:val="1e293b"/>
          <w:sz w:val="26"/>
          <w:szCs w:val="26"/>
        </w:rPr>
        <w:t xml:space="preserve">1.2 Chi phí chìm</w:t>
      </w:r>
    </w:p>
    <w:p>
      <w:pPr>
        <w:spacing w:after="100"/>
      </w:pPr>
      <w:r>
        <w:rPr>
          <w:b/>
          <w:bCs/>
        </w:rPr>
        <w:t xml:space="preserve">Định nghĩa: </w:t>
      </w:r>
      <w:r>
        <w:t xml:space="preserve">Chi phí đã phát sinh, không thể thu hồi trong bất kỳ trạng thái tương lai nào. Theo lý thuyết quyết định (decision theory) chuẩn tối đa hóa hữu dụng kỳ vọng, một tác nhân duy lý loại hoàn toàn chi phí chìm khỏi hàm mục tiêu vì nó là hằng số không phụ thuộc lựa chọn hành động.</w:t>
      </w:r>
    </w:p>
    <w:p>
      <w:pPr>
        <w:spacing w:after="100"/>
      </w:pPr>
      <w:r>
        <w:rPr>
          <w:b/>
          <w:bCs/>
        </w:rPr>
        <w:t xml:space="preserve">Điểm mù / mở rộng học thuật: </w:t>
      </w:r>
      <w:r>
        <w:t xml:space="preserve">Thiên kiến chi phí chìm (sunk cost fallacy) được chứng minh thực nghiệm bởi Arkes &amp; Blumer (1985), vi phạm tiên đề độc lập trong lý thuyết lựa chọn duy lý. Bằng chứng cho thấy hiện tượng này khá bền vững qua nhiều bối cảnh, gợi ý cơ chế "ác cảm lãng phí" (aversion to waste) hơn là thuần túy lỗi tính toán.</w:t>
      </w:r>
    </w:p>
    <w:p>
      <w:pPr>
        <w:spacing w:after="100"/>
      </w:pPr>
      <w:r>
        <w:rPr>
          <w:b/>
          <w:bCs/>
        </w:rPr>
        <w:t xml:space="preserve">Ứng dụng: </w:t>
      </w:r>
      <w:r>
        <w:t xml:space="preserve">Nguyên tắc "incremental cash flow only" trong NPV/DCF loại trừ hoàn toàn chi phí chìm — tương đương relevant costing trong kế toán quản trị. Trong M&amp;A, "escalation of commitment" — tiếp tục rót vốn vào thương vụ đã xấu đi chỉ vì chi phí giao dịch (due diligence, banker fee) đã chìm — là biểu hiện thực hành phổ biến của thiên kiến này.</w:t>
      </w:r>
    </w:p>
    <w:p>
      <w:pPr>
        <w:pStyle w:val="Heading2"/>
        <w:spacing w:after="100" w:before="280"/>
      </w:pPr>
      <w:r>
        <w:rPr>
          <w:b/>
          <w:bCs/>
          <w:color w:val="1e293b"/>
          <w:sz w:val="26"/>
          <w:szCs w:val="26"/>
        </w:rPr>
        <w:t xml:space="preserve">1.3 Tư duy biên</w:t>
      </w:r>
    </w:p>
    <w:p>
      <w:pPr>
        <w:spacing w:after="100"/>
      </w:pPr>
      <w:r>
        <w:rPr>
          <w:b/>
          <w:bCs/>
        </w:rPr>
        <w:t xml:space="preserve">Định nghĩa: </w:t>
      </w:r>
      <w:r>
        <w:t xml:space="preserve">Điều kiện bậc nhất (first-order condition) cho cực trị trong tối ưu hóa cổ điển: lợi ích biên bằng chi phí biên (MB = MC). Đây là nền tảng vi tích phân của toàn bộ lý thuyết vi mô tân cổ điển, từ lý thuyết hãng đến lý thuyết tiêu dùng.</w:t>
      </w:r>
    </w:p>
    <w:p>
      <w:pPr>
        <w:spacing w:after="100"/>
      </w:pPr>
      <w:r>
        <w:rPr>
          <w:b/>
          <w:bCs/>
        </w:rPr>
        <w:t xml:space="preserve">Điểm mù / mở rộng học thuật: </w:t>
      </w:r>
      <w:r>
        <w:t xml:space="preserve">Con người có xu hướng dùng tư duy trung bình (average thinking) thay vì biên. Trong lý thuyết hãng, định giá theo chi phí bình quân toàn phần (full-cost/average-cost pricing) hệ thống sai lệch so với định giá tối ưu MR = MC khi chi phí cố định lớn — một khác biệt định lượng được, không chỉ định tính.</w:t>
      </w:r>
    </w:p>
    <w:p>
      <w:pPr>
        <w:spacing w:after="100"/>
      </w:pPr>
      <w:r>
        <w:rPr>
          <w:b/>
          <w:bCs/>
        </w:rPr>
        <w:t xml:space="preserve">Ứng dụng: </w:t>
      </w:r>
      <w:r>
        <w:t xml:space="preserve">Định giá động (dynamic/yield pricing) hàng không, khách sạn ứng dụng trực tiếp MC = MB tại biên: chi phí biên một ghế trống gần bằng 0, nên bất kỳ giá nào trên 0 đều tăng lợi nhuận biên, bất kể thấp hơn nhiều so với ATC (average total cost).</w:t>
      </w:r>
    </w:p>
    <w:p>
      <w:pPr>
        <w:pStyle w:val="Heading2"/>
        <w:spacing w:after="100" w:before="280"/>
      </w:pPr>
      <w:r>
        <w:rPr>
          <w:b/>
          <w:bCs/>
          <w:color w:val="1e293b"/>
          <w:sz w:val="26"/>
          <w:szCs w:val="26"/>
        </w:rPr>
        <w:t xml:space="preserve">1.4 Lợi ích biên giảm dần</w:t>
      </w:r>
    </w:p>
    <w:p>
      <w:pPr>
        <w:spacing w:after="100"/>
      </w:pPr>
      <w:r>
        <w:rPr>
          <w:b/>
          <w:bCs/>
        </w:rPr>
        <w:t xml:space="preserve">Định nghĩa: </w:t>
      </w:r>
      <w:r>
        <w:t xml:space="preserve">Hàm hữu dụng U(x) có U' &gt; 0 nhưng U'' &lt; 0 — độ lõm (concavity) này là điều kiện toán học cho hành vi né tránh rủi ro (risk aversion) trong lý thuyết hữu dụng kỳ vọng von Neumann-Morgenstern.</w:t>
      </w:r>
    </w:p>
    <w:p>
      <w:pPr>
        <w:spacing w:after="100"/>
      </w:pPr>
      <w:r>
        <w:rPr>
          <w:b/>
          <w:bCs/>
        </w:rPr>
        <w:t xml:space="preserve">Điểm mù / mở rộng học thuật: </w:t>
      </w:r>
      <w:r>
        <w:t xml:space="preserve">Đây là nền tảng vi mô cho hệ số ngại rủi ro dùng trong định giá tài sản và lý thuyết danh mục, nhưng thường bị giản lược thành phát biểu định tính mà bỏ qua việc nó chi phối trực tiếp phần bù rủi ro (risk premium) yêu cầu.</w:t>
      </w:r>
    </w:p>
    <w:p>
      <w:pPr>
        <w:spacing w:after="100"/>
      </w:pPr>
      <w:r>
        <w:rPr>
          <w:b/>
          <w:bCs/>
        </w:rPr>
        <w:t xml:space="preserve">Ứng dụng: </w:t>
      </w:r>
      <w:r>
        <w:t xml:space="preserve">Công thức Arrow-Pratt đo hệ số ngại rủi ro tuyệt đối (ARA = −U''/U') và tương đối (RRA = −xU''/U') được dùng để định lượng phần bù rủi ro trong CAPM mở rộng và định giá quyền chọn thực (real options) khi dòng tiền có tính bất định cao.</w:t>
      </w:r>
    </w:p>
    <w:p>
      <w:pPr>
        <w:pStyle w:val="Heading1"/>
        <w:pBdr>
          <w:bottom w:val="single" w:color="94a3b8" w:sz="6" w:space="4"/>
        </w:pBdr>
        <w:spacing w:after="200" w:before="480"/>
      </w:pPr>
      <w:r>
        <w:rPr>
          <w:b/>
          <w:bCs/>
          <w:color w:val="1e293b"/>
          <w:sz w:val="32"/>
          <w:szCs w:val="32"/>
        </w:rPr>
        <w:t xml:space="preserve">2. Thị trường &amp; Giá</w:t>
      </w:r>
    </w:p>
    <w:p>
      <w:pPr>
        <w:pStyle w:val="Heading2"/>
        <w:spacing w:after="100" w:before="280"/>
      </w:pPr>
      <w:r>
        <w:rPr>
          <w:b/>
          <w:bCs/>
          <w:color w:val="1e293b"/>
          <w:sz w:val="26"/>
          <w:szCs w:val="26"/>
        </w:rPr>
        <w:t xml:space="preserve">2.1 Cung - Cầu</w:t>
      </w:r>
    </w:p>
    <w:p>
      <w:pPr>
        <w:spacing w:after="100"/>
      </w:pPr>
      <w:r>
        <w:rPr>
          <w:b/>
          <w:bCs/>
        </w:rPr>
        <w:t xml:space="preserve">Định nghĩa: </w:t>
      </w:r>
      <w:r>
        <w:t xml:space="preserve">Cân bằng Walras là mức giá p* mà QS(p*) = QD(p*) — nghiệm hệ phương trình cung-cầu, tồn tại và duy nhất dưới các điều kiện chuẩn (cầu dốc xuống, cung dốc lên, hàm liên tục).</w:t>
      </w:r>
    </w:p>
    <w:p>
      <w:pPr>
        <w:spacing w:after="100"/>
      </w:pPr>
      <w:r>
        <w:rPr>
          <w:b/>
          <w:bCs/>
        </w:rPr>
        <w:t xml:space="preserve">Điểm mù / mở rộng học thuật: </w:t>
      </w:r>
      <w:r>
        <w:t xml:space="preserve">Mô hình tĩnh (comparative statics) giả định điều chỉnh tức thời — bỏ qua động lực học điều chỉnh giá thực tế, tâm điểm phê phán của trường phái Áo (đặc biệt Hayek, về vai trò giá như tín hiệu thông tin phân tán, không phải trạng thái cân bằng có sẵn).</w:t>
      </w:r>
    </w:p>
    <w:p>
      <w:pPr>
        <w:spacing w:after="100"/>
      </w:pPr>
      <w:r>
        <w:rPr>
          <w:b/>
          <w:bCs/>
        </w:rPr>
        <w:t xml:space="preserve">Ứng dụng: </w:t>
      </w:r>
      <w:r>
        <w:t xml:space="preserve">Phân tích tổn thất phúc lợi (deadweight loss) từ trần giá/sàn giá dùng diện tích tam giác Harberger giữa đường cung-cầu — công cụ chuẩn định lượng chi phí xã hội của can thiệp giá trong kinh tế học phúc lợi.</w:t>
      </w:r>
    </w:p>
    <w:p>
      <w:pPr>
        <w:pStyle w:val="Heading2"/>
        <w:spacing w:after="100" w:before="280"/>
      </w:pPr>
      <w:r>
        <w:rPr>
          <w:b/>
          <w:bCs/>
          <w:color w:val="1e293b"/>
          <w:sz w:val="26"/>
          <w:szCs w:val="26"/>
        </w:rPr>
        <w:t xml:space="preserve">2.2 Độ co giãn</w:t>
      </w:r>
    </w:p>
    <w:p>
      <w:pPr>
        <w:spacing w:after="100"/>
      </w:pPr>
      <w:r>
        <w:rPr>
          <w:b/>
          <w:bCs/>
        </w:rPr>
        <w:t xml:space="preserve">Định nghĩa: </w:t>
      </w:r>
      <w:r>
        <w:t xml:space="preserve">Độ co giãn cầu theo giá Ed = (∂Q/∂P)×(P/Q), tương đương đạo hàm logarit ∂lnQ/∂lnP. Doanh thu biên liên hệ trực tiếp: MR = P×(1 + 1/Ed) — định lý Amoroso-Robinson.</w:t>
      </w:r>
    </w:p>
    <w:p>
      <w:pPr>
        <w:spacing w:after="100"/>
      </w:pPr>
      <w:r>
        <w:rPr>
          <w:b/>
          <w:bCs/>
        </w:rPr>
        <w:t xml:space="preserve">Điểm mù / mở rộng học thuật: </w:t>
      </w:r>
      <w:r>
        <w:t xml:space="preserve">Từ MR = P(1+1/Ed): một hãng tối đa hóa lợi nhuận (MR = MC &gt; 0) không bao giờ vận hành ở vùng cầu không co giãn (|Ed| &lt; 1), vì ở đó MR âm — hệ quả toán học mạnh nhưng ít được nhận diện trực quan.</w:t>
      </w:r>
    </w:p>
    <w:p>
      <w:pPr>
        <w:spacing w:after="100"/>
      </w:pPr>
      <w:r>
        <w:rPr>
          <w:b/>
          <w:bCs/>
        </w:rPr>
        <w:t xml:space="preserve">Ứng dụng: </w:t>
      </w:r>
      <w:r>
        <w:t xml:space="preserve">Định giá phân biệt bậc ba (third-degree price discrimination, Pigou) đặt giá tỷ lệ nghịch với (1+1/Ed) cho từng phân khúc — điều kiện bậc nhất chuẩn trong lý thuyết định giá độc quyền.</w:t>
      </w:r>
    </w:p>
    <w:p>
      <w:pPr>
        <w:pStyle w:val="Heading2"/>
        <w:spacing w:after="100" w:before="280"/>
      </w:pPr>
      <w:r>
        <w:rPr>
          <w:b/>
          <w:bCs/>
          <w:color w:val="1e293b"/>
          <w:sz w:val="26"/>
          <w:szCs w:val="26"/>
        </w:rPr>
        <w:t xml:space="preserve">2.3 Thặng dư tiêu dùng/sản xuất</w:t>
      </w:r>
    </w:p>
    <w:p>
      <w:pPr>
        <w:spacing w:after="100"/>
      </w:pPr>
      <w:r>
        <w:rPr>
          <w:b/>
          <w:bCs/>
        </w:rPr>
        <w:t xml:space="preserve">Định nghĩa: </w:t>
      </w:r>
      <w:r>
        <w:t xml:space="preserve">Thặng dư tiêu dùng Marshall là tích phân (đường cầu ngược trừ giá cân bằng) từ 0 đến Q* — xấp xỉ biến thiên bù (compensating variation) khi hiệu ứng thu nhập nhỏ; thặng dư sản xuất là tích phân (giá trừ chi phí biên).</w:t>
      </w:r>
    </w:p>
    <w:p>
      <w:pPr>
        <w:spacing w:after="100"/>
      </w:pPr>
      <w:r>
        <w:rPr>
          <w:b/>
          <w:bCs/>
        </w:rPr>
        <w:t xml:space="preserve">Điểm mù / mở rộng học thuật: </w:t>
      </w:r>
      <w:r>
        <w:t xml:space="preserve">Thặng dư tiêu dùng Marshall (giữ thu nhập danh nghĩa cố định) khác về lý thuyết với biến thiên tương đương dùng cầu Hicksian (giữ hữu dụng cố định) — hai độ đo chỉ trùng khi không có hiệu ứng thu nhập, giả định hay bị bỏ qua khi dùng CS làm thước đo phúc lợi.</w:t>
      </w:r>
    </w:p>
    <w:p>
      <w:pPr>
        <w:spacing w:after="100"/>
      </w:pPr>
      <w:r>
        <w:rPr>
          <w:b/>
          <w:bCs/>
        </w:rPr>
        <w:t xml:space="preserve">Ứng dụng: </w:t>
      </w:r>
      <w:r>
        <w:t xml:space="preserve">Phân tích chi phí-lợi ích chính sách công dùng tổng thặng dư (CS+PS) làm thước đo phúc lợi chuẩn — nền tảng của tiêu chuẩn hiệu quả Kaldor-Hicks khi so sánh phương án có kẻ thắng người thua.</w:t>
      </w:r>
    </w:p>
    <w:p>
      <w:pPr>
        <w:pStyle w:val="Heading1"/>
        <w:pBdr>
          <w:bottom w:val="single" w:color="94a3b8" w:sz="6" w:space="4"/>
        </w:pBdr>
        <w:spacing w:after="200" w:before="480"/>
      </w:pPr>
      <w:r>
        <w:rPr>
          <w:b/>
          <w:bCs/>
          <w:color w:val="1e293b"/>
          <w:sz w:val="32"/>
          <w:szCs w:val="32"/>
        </w:rPr>
        <w:t xml:space="preserve">3. Thất bại thị trường</w:t>
      </w:r>
    </w:p>
    <w:p>
      <w:pPr>
        <w:pStyle w:val="Heading2"/>
        <w:spacing w:after="100" w:before="280"/>
      </w:pPr>
      <w:r>
        <w:rPr>
          <w:b/>
          <w:bCs/>
          <w:color w:val="1e293b"/>
          <w:sz w:val="26"/>
          <w:szCs w:val="26"/>
        </w:rPr>
        <w:t xml:space="preserve">3.1 Ngoại tác</w:t>
      </w:r>
    </w:p>
    <w:p>
      <w:pPr>
        <w:spacing w:after="100"/>
      </w:pPr>
      <w:r>
        <w:rPr>
          <w:b/>
          <w:bCs/>
        </w:rPr>
        <w:t xml:space="preserve">Định nghĩa: </w:t>
      </w:r>
      <w:r>
        <w:t xml:space="preserve">Chênh lệch giữa chi phí biên tư nhân (MPC) và chi phí biên xã hội (MSC) khiến sản lượng cân bằng lệch khỏi tối ưu Pareto. Định lý Coase (1960): nếu chi phí giao dịch bằng 0 và quyền sở hữu rõ ràng, các bên tự thương lượng đến kết quả hiệu quả bất kể phân quyền ban đầu.</w:t>
      </w:r>
    </w:p>
    <w:p>
      <w:pPr>
        <w:spacing w:after="100"/>
      </w:pPr>
      <w:r>
        <w:rPr>
          <w:b/>
          <w:bCs/>
        </w:rPr>
        <w:t xml:space="preserve">Điểm mù / mở rộng học thuật: </w:t>
      </w:r>
      <w:r>
        <w:t xml:space="preserve">Định lý Coase thường bị hiểu nhầm thành "ngoại tác tự giải quyết được" — trong khi Coase nhấn mạnh chi phí giao dịch dương (thực tế phổ biến) là lý do cần can thiệp thể chế, không phải bỏ mặc thị trường.</w:t>
      </w:r>
    </w:p>
    <w:p>
      <w:pPr>
        <w:spacing w:after="100"/>
      </w:pPr>
      <w:r>
        <w:rPr>
          <w:b/>
          <w:bCs/>
        </w:rPr>
        <w:t xml:space="preserve">Ứng dụng: </w:t>
      </w:r>
      <w:r>
        <w:t xml:space="preserve">Thuế Pigou tối ưu đặt bằng đúng chênh lệch MSC−MPC tại sản lượng tối ưu xã hội; cap-and-trade là ứng dụng thực tế kết hợp cả hai hướng tiếp cận Pigou và Coase.</w:t>
      </w:r>
    </w:p>
    <w:p>
      <w:pPr>
        <w:pStyle w:val="Heading2"/>
        <w:spacing w:after="100" w:before="280"/>
      </w:pPr>
      <w:r>
        <w:rPr>
          <w:b/>
          <w:bCs/>
          <w:color w:val="1e293b"/>
          <w:sz w:val="26"/>
          <w:szCs w:val="26"/>
        </w:rPr>
        <w:t xml:space="preserve">3.2 Thông tin bất cân xứng</w:t>
      </w:r>
    </w:p>
    <w:p>
      <w:pPr>
        <w:spacing w:after="100"/>
      </w:pPr>
      <w:r>
        <w:rPr>
          <w:b/>
          <w:bCs/>
        </w:rPr>
        <w:t xml:space="preserve">Định nghĩa: </w:t>
      </w:r>
      <w:r>
        <w:t xml:space="preserve">Mô hình "thị trường chanh" của Akerlof (1970): khi người mua chỉ biết chất lượng trung bình còn người bán biết chất lượng thực, giá cân bằng phản ánh chất lượng trung bình khiến người bán hàng tốt rút lui — cơ chế "tan rã thị trường" (unraveling).</w:t>
      </w:r>
    </w:p>
    <w:p>
      <w:pPr>
        <w:spacing w:after="100"/>
      </w:pPr>
      <w:r>
        <w:rPr>
          <w:b/>
          <w:bCs/>
        </w:rPr>
        <w:t xml:space="preserve">Điểm mù / mở rộng học thuật: </w:t>
      </w:r>
      <w:r>
        <w:t xml:space="preserve">Lựa chọn ngược (adverse selection, trước giao dịch, do thông tin ẩn giấu) khác cơ chế với rủi ro đạo đức (moral hazard, sau giao dịch, do hành động ẩn giấu) — đòi hỏi công cụ khắc phục khác nhau (signaling/screening cho cái trước, hợp đồng khuyến khích cho cái sau).</w:t>
      </w:r>
    </w:p>
    <w:p>
      <w:pPr>
        <w:spacing w:after="100"/>
      </w:pPr>
      <w:r>
        <w:rPr>
          <w:b/>
          <w:bCs/>
        </w:rPr>
        <w:t xml:space="preserve">Ứng dụng: </w:t>
      </w:r>
      <w:r>
        <w:t xml:space="preserve">Cơ chế sàng lọc Rothschild-Stiglitz (1976) — hợp đồng bảo hiểm nhiều mức phí/miễn thường để khách hàng tự phân loại theo rủi ro — cùng due diligence và representations &amp; warranties trong M&amp;A nhằm giảm rent thông tin của bên nắm giữ thông tin.</w:t>
      </w:r>
    </w:p>
    <w:p>
      <w:pPr>
        <w:pStyle w:val="Heading2"/>
        <w:spacing w:after="100" w:before="280"/>
      </w:pPr>
      <w:r>
        <w:rPr>
          <w:b/>
          <w:bCs/>
          <w:color w:val="1e293b"/>
          <w:sz w:val="26"/>
          <w:szCs w:val="26"/>
        </w:rPr>
        <w:t xml:space="preserve">3.3 Hàng hóa công</w:t>
      </w:r>
    </w:p>
    <w:p>
      <w:pPr>
        <w:spacing w:after="100"/>
      </w:pPr>
      <w:r>
        <w:rPr>
          <w:b/>
          <w:bCs/>
        </w:rPr>
        <w:t xml:space="preserve">Định nghĩa: </w:t>
      </w:r>
      <w:r>
        <w:t xml:space="preserve">Không tranh giành và không loại trừ. Điều kiện Samuelson (1954): ΣMRS_i = MRT — tổng lợi ích biên của TẤT CẢ cá nhân, khác với hàng hóa tư nơi mỗi cá nhân tự cân bằng MRS = MRT riêng.</w:t>
      </w:r>
    </w:p>
    <w:p>
      <w:pPr>
        <w:spacing w:after="100"/>
      </w:pPr>
      <w:r>
        <w:rPr>
          <w:b/>
          <w:bCs/>
        </w:rPr>
        <w:t xml:space="preserve">Điểm mù / mở rộng học thuật: </w:t>
      </w:r>
      <w:r>
        <w:t xml:space="preserve">Bộc lộ sở thích (preference revelation) là vấn đề cốt lõi — mỗi cá nhân có động lực khai thấp sẵn lòng chi trả. Cơ chế Vickrey-Clarke-Groms (VCG) khiến khai thật là chiến lược trội về lý thuyết, nhưng khó triển khai do yêu cầu chuyển giao tiền tệ phức tạp.</w:t>
      </w:r>
    </w:p>
    <w:p>
      <w:pPr>
        <w:spacing w:after="100"/>
      </w:pPr>
      <w:r>
        <w:rPr>
          <w:b/>
          <w:bCs/>
        </w:rPr>
        <w:t xml:space="preserve">Ứng dụng: </w:t>
      </w:r>
      <w:r>
        <w:t xml:space="preserve">Tranh luận tài trợ R&amp;D cơ bản: lợi ích xã hội (spillover tri thức) vượt xa lợi ích tư nhân một hãng đơn lẻ chiếm dụng được, nên đầu tư tư nhân hệ thống thấp hơn mức tối ưu xã hội nếu thiếu trợ cấp/bằng sáng chế.</w:t>
      </w:r>
    </w:p>
    <w:p>
      <w:pPr>
        <w:pStyle w:val="Heading2"/>
        <w:spacing w:after="100" w:before="280"/>
      </w:pPr>
      <w:r>
        <w:rPr>
          <w:b/>
          <w:bCs/>
          <w:color w:val="1e293b"/>
          <w:sz w:val="26"/>
          <w:szCs w:val="26"/>
        </w:rPr>
        <w:t xml:space="preserve">3.4 Sức mạnh độc quyền</w:t>
      </w:r>
    </w:p>
    <w:p>
      <w:pPr>
        <w:spacing w:after="100"/>
      </w:pPr>
      <w:r>
        <w:rPr>
          <w:b/>
          <w:bCs/>
        </w:rPr>
        <w:t xml:space="preserve">Định nghĩa: </w:t>
      </w:r>
      <w:r>
        <w:t xml:space="preserve">Chỉ số Lerner L = (P−MC)/P đo sức mạnh thị trường trực tiếp — bằng 0 dưới cạnh tranh hoàn hảo, bằng −1/Ed tại điều kiện tối đa hóa lợi nhuận.</w:t>
      </w:r>
    </w:p>
    <w:p>
      <w:pPr>
        <w:spacing w:after="100"/>
      </w:pPr>
      <w:r>
        <w:rPr>
          <w:b/>
          <w:bCs/>
        </w:rPr>
        <w:t xml:space="preserve">Điểm mù / mở rộng học thuật: </w:t>
      </w:r>
      <w:r>
        <w:t xml:space="preserve">Nghịch lý Bertrand: với 2 hãng, sản phẩm đồng nhất, chi phí biên không đổi, cạnh tranh theo giá hội tụ về giá bằng chi phí biên dù chỉ 2 người bán — khác hẳn Cournot (cạnh tranh sản lượng) — cho thấy cấu trúc cạnh tranh (giá hay lượng), không chỉ số lượng đối thủ, mới quyết định sức mạnh thị trường.</w:t>
      </w:r>
    </w:p>
    <w:p>
      <w:pPr>
        <w:spacing w:after="100"/>
      </w:pPr>
      <w:r>
        <w:rPr>
          <w:b/>
          <w:bCs/>
        </w:rPr>
        <w:t xml:space="preserve">Ứng dụng: </w:t>
      </w:r>
      <w:r>
        <w:t xml:space="preserve">Cơ quan chống độc quyền dùng chỉ số HHI (tổng bình phương thị phần) sàng lọc M&amp;A tiềm ẩn rủi ro độc quyền hóa, kết hợp mô hình cạnh tranh phù hợp (Cournot/Bertrand/hãng chi phối) tùy đặc điểm ngành.</w:t>
      </w:r>
    </w:p>
    <w:p>
      <w:pPr>
        <w:pStyle w:val="Heading1"/>
        <w:pBdr>
          <w:bottom w:val="single" w:color="94a3b8" w:sz="6" w:space="4"/>
        </w:pBdr>
        <w:spacing w:after="200" w:before="480"/>
      </w:pPr>
      <w:r>
        <w:rPr>
          <w:b/>
          <w:bCs/>
          <w:color w:val="1e293b"/>
          <w:sz w:val="32"/>
          <w:szCs w:val="32"/>
        </w:rPr>
        <w:t xml:space="preserve">4. Thương mại &amp; Vĩ mô quốc tế</w:t>
      </w:r>
    </w:p>
    <w:p>
      <w:pPr>
        <w:pStyle w:val="Heading2"/>
        <w:spacing w:after="100" w:before="280"/>
      </w:pPr>
      <w:r>
        <w:rPr>
          <w:b/>
          <w:bCs/>
          <w:color w:val="1e293b"/>
          <w:sz w:val="26"/>
          <w:szCs w:val="26"/>
        </w:rPr>
        <w:t xml:space="preserve">4.1 Lợi thế so sánh</w:t>
      </w:r>
    </w:p>
    <w:p>
      <w:pPr>
        <w:spacing w:after="100"/>
      </w:pPr>
      <w:r>
        <w:rPr>
          <w:b/>
          <w:bCs/>
        </w:rPr>
        <w:t xml:space="preserve">Định nghĩa: </w:t>
      </w:r>
      <w:r>
        <w:t xml:space="preserve">Mô hình Ricardo (1817): hai nước, hai hàng hóa, một yếu tố sản xuất — nước có tỷ lệ chi phí lao động tương đối thấp hơn ở một hàng hóa nên chuyên môn hóa vào đó; tỷ giá trao đổi có lợi cho cả hai nằm giữa hai tỷ lệ chi phí cơ hội nội địa.</w:t>
      </w:r>
    </w:p>
    <w:p>
      <w:pPr>
        <w:spacing w:after="100"/>
      </w:pPr>
      <w:r>
        <w:rPr>
          <w:b/>
          <w:bCs/>
        </w:rPr>
        <w:t xml:space="preserve">Điểm mù / mở rộng học thuật: </w:t>
      </w:r>
      <w:r>
        <w:t xml:space="preserve">Mô hình Heckscher-Ohlin dự báo mô thức thương mại theo hàm lượng yếu tố dồi dào, nhưng nghịch lý Leontief (1953) cho thấy giả định công nghệ đồng nhất là điểm yếu. Lý thuyết thương mại chiến lược (Brander-Spencer, 1985) và New Trade Theory của Krugman (lợi suất tăng dần theo quy mô) tiếp tục thách thức tính tổng quát của mô hình tĩnh khi có externality công nghệ và learning-by-doing.</w:t>
      </w:r>
    </w:p>
    <w:p>
      <w:pPr>
        <w:spacing w:after="100"/>
      </w:pPr>
      <w:r>
        <w:rPr>
          <w:b/>
          <w:bCs/>
        </w:rPr>
        <w:t xml:space="preserve">Ứng dụng: </w:t>
      </w:r>
      <w:r>
        <w:t xml:space="preserve">Bảo hộ ngành non trẻ (List, 1841) và lập luận "capability capture" hiện đại đều dựa trên tiền đề: nếu có externality động mà thị trường tự do không tính đến, lợi thế so sánh tĩnh có thể "khóa" một nước vào phân công lao động cấp thấp hiệu quả ngắn hạn nhưng dưới tối ưu dài hạn.</w:t>
      </w:r>
    </w:p>
    <w:p>
      <w:pPr>
        <w:pStyle w:val="Heading2"/>
        <w:spacing w:after="100" w:before="280"/>
      </w:pPr>
      <w:r>
        <w:rPr>
          <w:b/>
          <w:bCs/>
          <w:color w:val="1e293b"/>
          <w:sz w:val="26"/>
          <w:szCs w:val="26"/>
        </w:rPr>
        <w:t xml:space="preserve">4.2 Cán cân thanh toán</w:t>
      </w:r>
    </w:p>
    <w:p>
      <w:pPr>
        <w:spacing w:after="100"/>
      </w:pPr>
      <w:r>
        <w:rPr>
          <w:b/>
          <w:bCs/>
        </w:rPr>
        <w:t xml:space="preserve">Định nghĩa: </w:t>
      </w:r>
      <w:r>
        <w:t xml:space="preserve">Đồng nhất thức: Cán cân vãng lai (CA) + Cán cân vốn/tài chính (KA) + sai số ≡ 0. CA về bản chất bằng Tiết kiệm quốc gia trừ Đầu tư quốc gia (S−I) — đồng nhất thức tài khoản quốc gia, không phải quan hệ nhân quả đơn thuần.</w:t>
      </w:r>
    </w:p>
    <w:p>
      <w:pPr>
        <w:spacing w:after="100"/>
      </w:pPr>
      <w:r>
        <w:rPr>
          <w:b/>
          <w:bCs/>
        </w:rPr>
        <w:t xml:space="preserve">Điểm mù / mở rộng học thuật: </w:t>
      </w:r>
      <w:r>
        <w:t xml:space="preserve">Vì CA ≡ S−I, thâm hụt vãng lai tương đương đầu tư nhiều hơn tiết kiệm nội địa — đánh giá tốt/xấu đòi hỏi phân tích I được tài trợ vào đâu (đầu tư năng suất hay tiêu dùng), không chỉ nhìn dấu của CA.</w:t>
      </w:r>
    </w:p>
    <w:p>
      <w:pPr>
        <w:spacing w:after="100"/>
      </w:pPr>
      <w:r>
        <w:rPr>
          <w:b/>
          <w:bCs/>
        </w:rPr>
        <w:t xml:space="preserve">Ứng dụng: </w:t>
      </w:r>
      <w:r>
        <w:t xml:space="preserve">Mô hình khủng hoảng BOP thế hệ thứ nhất (Krugman, 1979) xem xét tốc độ cạn kiệt dự trữ ngoại hối khi bảo vệ tỷ giá cố định trước thâm hụt tài khóa dai dẳng — khung chuẩn cho các nền kinh tế phụ thuộc dòng vốn ngắn hạn.</w:t>
      </w:r>
    </w:p>
    <w:p>
      <w:pPr>
        <w:pStyle w:val="Heading2"/>
        <w:spacing w:after="100" w:before="280"/>
      </w:pPr>
      <w:r>
        <w:rPr>
          <w:b/>
          <w:bCs/>
          <w:color w:val="1e293b"/>
          <w:sz w:val="26"/>
          <w:szCs w:val="26"/>
        </w:rPr>
        <w:t xml:space="preserve">4.3 Tỷ giá hối đoái</w:t>
      </w:r>
    </w:p>
    <w:p>
      <w:pPr>
        <w:spacing w:after="100"/>
      </w:pPr>
      <w:r>
        <w:rPr>
          <w:b/>
          <w:bCs/>
        </w:rPr>
        <w:t xml:space="preserve">Định nghĩa: </w:t>
      </w:r>
      <w:r>
        <w:t xml:space="preserve">Điều kiện ngang giá lãi suất không phòng ngừa (UIP): E[e_{t+1}] = e_t × (1+i_nội)/(1+i_ngoại). Mô hình Dornbusch (1976) "overshooting" giải thích phản ứng thái quá ngắn hạn khi giá hàng hóa điều chỉnh chậm hơn giá tài sản tài chính.</w:t>
      </w:r>
    </w:p>
    <w:p>
      <w:pPr>
        <w:spacing w:after="100"/>
      </w:pPr>
      <w:r>
        <w:rPr>
          <w:b/>
          <w:bCs/>
        </w:rPr>
        <w:t xml:space="preserve">Điểm mù / mở rộng học thuật: </w:t>
      </w:r>
      <w:r>
        <w:t xml:space="preserve">Nghịch lý Meese-Rogoff (1983): các mô hình cấu trúc (UIP, PPP) hầu như không dự báo tỷ giá tốt hơn random walk ở tần suất ngắn hạn — một trong những kết quả thực nghiệm nổi tiếng nhất của kinh tế học quốc tế.</w:t>
      </w:r>
    </w:p>
    <w:p>
      <w:pPr>
        <w:spacing w:after="100"/>
      </w:pPr>
      <w:r>
        <w:rPr>
          <w:b/>
          <w:bCs/>
        </w:rPr>
        <w:t xml:space="preserve">Ứng dụng: </w:t>
      </w:r>
      <w:r>
        <w:t xml:space="preserve">Do độ tin cậy dự báo thấp, quản trị rủi ro tài chính doanh nghiệp ưu tiên phòng ngừa có hệ thống (hedging theo tỷ lệ % dòng tiền dự kiến) hơn là dự báo hướng đi rồi định thời điểm — nhất quán với hàm ý Meese-Rogoff.</w:t>
      </w:r>
    </w:p>
    <w:p>
      <w:pPr>
        <w:pStyle w:val="Heading2"/>
        <w:spacing w:after="100" w:before="280"/>
      </w:pPr>
      <w:r>
        <w:rPr>
          <w:b/>
          <w:bCs/>
          <w:color w:val="1e293b"/>
          <w:sz w:val="26"/>
          <w:szCs w:val="26"/>
        </w:rPr>
        <w:t xml:space="preserve">4.4 FDI &amp; chuyển giao công nghệ</w:t>
      </w:r>
    </w:p>
    <w:p>
      <w:pPr>
        <w:spacing w:after="100"/>
      </w:pPr>
      <w:r>
        <w:rPr>
          <w:b/>
          <w:bCs/>
        </w:rPr>
        <w:t xml:space="preserve">Định nghĩa: </w:t>
      </w:r>
      <w:r>
        <w:t xml:space="preserve">Khung OLI (Ownership-Location-Internalization, Dunning) giải thích quyết định FDI dựa trên lợi thế sở hữu công nghệ độc quyền — chính lý do MNC nội bộ hóa (chi nhánh sở hữu toàn phần) thay vì chuyển giao qua thị trường để tránh rò rỉ tài sản vô hình.</w:t>
      </w:r>
    </w:p>
    <w:p>
      <w:pPr>
        <w:spacing w:after="100"/>
      </w:pPr>
      <w:r>
        <w:rPr>
          <w:b/>
          <w:bCs/>
        </w:rPr>
        <w:t xml:space="preserve">Điểm mù / mở rộng học thuật: </w:t>
      </w:r>
      <w:r>
        <w:t xml:space="preserve">Bằng chứng thực nghiệm (Javorcik, 2004) cho thấy lan tỏa ngang (cùng ngành) thường yếu/âm do cạnh tranh trực tiếp, trong khi backward linkage (liên kết ngược với nhà cung cấp nội địa) cho bằng chứng tích cực rõ ràng hơn — hàm ý chính sách nên ưu tiên liên kết chuỗi cung ứng nội địa hơn số lượng FDI thô.</w:t>
      </w:r>
    </w:p>
    <w:p>
      <w:pPr>
        <w:spacing w:after="100"/>
      </w:pPr>
      <w:r>
        <w:rPr>
          <w:b/>
          <w:bCs/>
        </w:rPr>
        <w:t xml:space="preserve">Ứng dụng: </w:t>
      </w:r>
      <w:r>
        <w:t xml:space="preserve">Cơ sở lý thuyết cho tranh luận "bẫy giá trị gia tăng thấp" khi một nước phụ thuộc lắp ráp/gia công cho MNC mà thiếu ràng buộc chính sách nội địa hóa hoặc ưu đãi có điều kiện (performance requirements) gắn với chuyển giao công nghệ thực chất.</w:t>
      </w:r>
    </w:p>
    <w:p>
      <w:pPr>
        <w:pStyle w:val="Heading1"/>
        <w:pBdr>
          <w:bottom w:val="single" w:color="94a3b8" w:sz="6" w:space="4"/>
        </w:pBdr>
        <w:spacing w:after="200" w:before="480"/>
      </w:pPr>
      <w:r>
        <w:rPr>
          <w:b/>
          <w:bCs/>
          <w:color w:val="1e293b"/>
          <w:sz w:val="32"/>
          <w:szCs w:val="32"/>
        </w:rPr>
        <w:t xml:space="preserve">5. Tương tác chiến lược</w:t>
      </w:r>
    </w:p>
    <w:p>
      <w:pPr>
        <w:pStyle w:val="Heading2"/>
        <w:spacing w:after="100" w:before="280"/>
      </w:pPr>
      <w:r>
        <w:rPr>
          <w:b/>
          <w:bCs/>
          <w:color w:val="1e293b"/>
          <w:sz w:val="26"/>
          <w:szCs w:val="26"/>
        </w:rPr>
        <w:t xml:space="preserve">5.1 Cân bằng Nash</w:t>
      </w:r>
    </w:p>
    <w:p>
      <w:pPr>
        <w:spacing w:after="100"/>
      </w:pPr>
      <w:r>
        <w:rPr>
          <w:b/>
          <w:bCs/>
        </w:rPr>
        <w:t xml:space="preserve">Định nghĩa: </w:t>
      </w:r>
      <w:r>
        <w:t xml:space="preserve">Hồ sơ chiến lược (s1*,...,sn*) là cân bằng Nash nếu mỗi si* là phản ứng tốt nhất trước chiến lược của các đối thủ. Nash (1950/1951) chứng minh tồn tại cho mọi trò chơi hữu hạn với chiến lược hỗn hợp, dùng định lý điểm bất động Kakutani.</w:t>
      </w:r>
    </w:p>
    <w:p>
      <w:pPr>
        <w:spacing w:after="100"/>
      </w:pPr>
      <w:r>
        <w:rPr>
          <w:b/>
          <w:bCs/>
        </w:rPr>
        <w:t xml:space="preserve">Điểm mù / mở rộng học thuật: </w:t>
      </w:r>
      <w:r>
        <w:t xml:space="preserve">Cân bằng Nash không đảm bảo hiệu quả Pareto (thế lưỡng nan tù nhân là ví dụ chuẩn) và một trò chơi có thể có nhiều cân bằng — vấn đề lựa chọn cân bằng giải quyết một phần qua cân bằng hoàn hảo trong trò chơi con (Selten, 1965), loại trừ đe dọa không đáng tin trong trò chơi động.</w:t>
      </w:r>
    </w:p>
    <w:p>
      <w:pPr>
        <w:spacing w:after="100"/>
      </w:pPr>
      <w:r>
        <w:rPr>
          <w:b/>
          <w:bCs/>
        </w:rPr>
        <w:t xml:space="preserve">Ứng dụng: </w:t>
      </w:r>
      <w:r>
        <w:t xml:space="preserve">Mô hình Cournot là cân bằng Nash kinh điển trong tổ chức công nghiệp; trong đàm phán lặp lại với nhà cung cấp, chiến lược "tit-for-tat" đạt hiệu quả cao trong giải đấu mô phỏng (Axelrod, 1984) nhờ tính khoan dung, có đi có lại, minh bạch.</w:t>
      </w:r>
    </w:p>
    <w:p>
      <w:pPr>
        <w:pStyle w:val="Heading2"/>
        <w:spacing w:after="100" w:before="280"/>
      </w:pPr>
      <w:r>
        <w:rPr>
          <w:b/>
          <w:bCs/>
          <w:color w:val="1e293b"/>
          <w:sz w:val="26"/>
          <w:szCs w:val="26"/>
        </w:rPr>
        <w:t xml:space="preserve">5.2 Thế lưỡng nan tù nhân</w:t>
      </w:r>
    </w:p>
    <w:p>
      <w:pPr>
        <w:spacing w:after="100"/>
      </w:pPr>
      <w:r>
        <w:rPr>
          <w:b/>
          <w:bCs/>
        </w:rPr>
        <w:t xml:space="preserve">Định nghĩa: </w:t>
      </w:r>
      <w:r>
        <w:t xml:space="preserve">Cấu trúc lợi ích T &gt; R &gt; P &gt; S khiến "phản bội" là chiến lược trội tuyệt đối cho cả hai người chơi, dù (Hợp tác, Hợp tác) Pareto-vượt trội hơn (Phản bội, Phản bội).</w:t>
      </w:r>
    </w:p>
    <w:p>
      <w:pPr>
        <w:spacing w:after="100"/>
      </w:pPr>
      <w:r>
        <w:rPr>
          <w:b/>
          <w:bCs/>
        </w:rPr>
        <w:t xml:space="preserve">Điểm mù / mở rộng học thuật: </w:t>
      </w:r>
      <w:r>
        <w:t xml:space="preserve">Định lý Folk: trong trò chơi lặp lại vô hạn với hệ số chiết khấu δ đủ cao, hợp tác có thể là cân bằng bền vững nhờ chiến lược trừng phạt. Nhưng với trò chơi lặp lại HỮU HẠN có điểm kết thúc biết trước, quy nạp ngược (backward induction) cho thấy phản bội vẫn là kết quả duy nhất — nghịch lý lý thuyết so với trực giác thực nghiệm.</w:t>
      </w:r>
    </w:p>
    <w:p>
      <w:pPr>
        <w:spacing w:after="100"/>
      </w:pPr>
      <w:r>
        <w:rPr>
          <w:b/>
          <w:bCs/>
        </w:rPr>
        <w:t xml:space="preserve">Ứng dụng: </w:t>
      </w:r>
      <w:r>
        <w:t xml:space="preserve">Hợp đồng quan hệ (relational contracting) với nhà cung cấp chiến lược cố tình giữ "bóng ma của tương lai" đủ dài, không xác định rõ điểm kết thúc — nhằm giữ δ hiệu dụng đủ cao để duy trì hợp tác, tránh logic quy nạp ngược của trò chơi hữu hạn.</w:t>
      </w:r>
    </w:p>
    <w:p>
      <w:pPr>
        <w:pStyle w:val="Heading2"/>
        <w:spacing w:after="100" w:before="280"/>
      </w:pPr>
      <w:r>
        <w:rPr>
          <w:b/>
          <w:bCs/>
          <w:color w:val="1e293b"/>
          <w:sz w:val="26"/>
          <w:szCs w:val="26"/>
        </w:rPr>
        <w:t xml:space="preserve">5.3 Phát tín hiệu</w:t>
      </w:r>
    </w:p>
    <w:p>
      <w:pPr>
        <w:spacing w:after="100"/>
      </w:pPr>
      <w:r>
        <w:rPr>
          <w:b/>
          <w:bCs/>
        </w:rPr>
        <w:t xml:space="preserve">Định nghĩa: </w:t>
      </w:r>
      <w:r>
        <w:t xml:space="preserve">Mô hình Spence (1973): nếu chi phí đạt tín hiệu tỷ lệ nghịch với năng lực thực (người năng lực cao tốn ít chi phí hơn), tồn tại cân bằng phân tách (separating equilibrium) nơi tín hiệu — dù không trực tiếp tạo năng suất — vẫn có giá trị thông tin thực.</w:t>
      </w:r>
    </w:p>
    <w:p>
      <w:pPr>
        <w:spacing w:after="100"/>
      </w:pPr>
      <w:r>
        <w:rPr>
          <w:b/>
          <w:bCs/>
        </w:rPr>
        <w:t xml:space="preserve">Điểm mù / mở rộng học thuật: </w:t>
      </w:r>
      <w:r>
        <w:t xml:space="preserve">Cân bằng phân tách chỉ tồn tại dưới điều kiện Spence-Mirrlees (single-crossing property); nếu vi phạm, thị trường rơi vào cân bằng gộp (pooling) nơi tín hiệu mất giá trị phân biệt — ranh giới rất nhạy với cấu trúc chi phí.</w:t>
      </w:r>
    </w:p>
    <w:p>
      <w:pPr>
        <w:spacing w:after="100"/>
      </w:pPr>
      <w:r>
        <w:rPr>
          <w:b/>
          <w:bCs/>
        </w:rPr>
        <w:t xml:space="preserve">Ứng dụng: </w:t>
      </w:r>
      <w:r>
        <w:t xml:space="preserve">Phân biệt tín hiệu (bên có thông tin chủ động hành động) với sàng lọc (bên thiếu thông tin thiết kế menu hợp đồng, Rothschild-Stiglitz) là phân biệt cốt lõi trong thiết kế cơ chế, quyết định công cụ khắc phục thông tin bất cân xứng phù hợp.</w:t>
      </w:r>
    </w:p>
    <w:p>
      <w:pPr>
        <w:pStyle w:val="Heading1"/>
        <w:pBdr>
          <w:bottom w:val="single" w:color="94a3b8" w:sz="6" w:space="4"/>
        </w:pBdr>
        <w:spacing w:after="200" w:before="480"/>
      </w:pPr>
      <w:r>
        <w:rPr>
          <w:b/>
          <w:bCs/>
          <w:color w:val="1e293b"/>
          <w:sz w:val="32"/>
          <w:szCs w:val="32"/>
        </w:rPr>
        <w:t xml:space="preserve">6. Kinh tế học hành vi</w:t>
      </w:r>
    </w:p>
    <w:p>
      <w:pPr>
        <w:pStyle w:val="Heading2"/>
        <w:spacing w:after="100" w:before="280"/>
      </w:pPr>
      <w:r>
        <w:rPr>
          <w:b/>
          <w:bCs/>
          <w:color w:val="1e293b"/>
          <w:sz w:val="26"/>
          <w:szCs w:val="26"/>
        </w:rPr>
        <w:t xml:space="preserve">6.1 Ác cảm mất mát</w:t>
      </w:r>
    </w:p>
    <w:p>
      <w:pPr>
        <w:spacing w:after="100"/>
      </w:pPr>
      <w:r>
        <w:rPr>
          <w:b/>
          <w:bCs/>
        </w:rPr>
        <w:t xml:space="preserve">Định nghĩa: </w:t>
      </w:r>
      <w:r>
        <w:t xml:space="preserve">Trong Lý thuyết Triển vọng (Kahneman &amp; Tversky, 1979), hàm giá trị v(x) lồi trong miền lỗ và lõm trong miền lãi, với độ dốc tại lỗ dốc hơn tại lãi theo hệ số λ ước tính thực nghiệm khoảng 2.25 — không đối xứng quanh điểm tham chiếu, khác lý thuyết hữu dụng kỳ vọng cổ điển.</w:t>
      </w:r>
    </w:p>
    <w:p>
      <w:pPr>
        <w:spacing w:after="100"/>
      </w:pPr>
      <w:r>
        <w:rPr>
          <w:b/>
          <w:bCs/>
        </w:rPr>
        <w:t xml:space="preserve">Điểm mù / mở rộng học thuật: </w:t>
      </w:r>
      <w:r>
        <w:t xml:space="preserve">Điểm tham chiếu không cố định — mô hình Kőszegi-Rabin (2006) cho thấy nó dịch chuyển nội sinh theo kỳ vọng duy lý, nghĩa là ác cảm mất mát phụ thuộc cả điều được kỳ vọng trước đó, không chỉ trạng thái của cải hiện tại.</w:t>
      </w:r>
    </w:p>
    <w:p>
      <w:pPr>
        <w:spacing w:after="100"/>
      </w:pPr>
      <w:r>
        <w:rPr>
          <w:b/>
          <w:bCs/>
        </w:rPr>
        <w:t xml:space="preserve">Ứng dụng: </w:t>
      </w:r>
      <w:r>
        <w:t xml:space="preserve">Hiệu ứng xử lý (disposition effect, Shefrin &amp; Statman, 1985; xác nhận thực nghiệm bởi Odean, 1998) — nhà đầu tư bán thắng sớm/giữ thua lâu — định lượng được bằng tỷ số PGR/PLR (proportion of gains/losses realized).</w:t>
      </w:r>
    </w:p>
    <w:p>
      <w:pPr>
        <w:pStyle w:val="Heading2"/>
        <w:spacing w:after="100" w:before="280"/>
      </w:pPr>
      <w:r>
        <w:rPr>
          <w:b/>
          <w:bCs/>
          <w:color w:val="1e293b"/>
          <w:sz w:val="26"/>
          <w:szCs w:val="26"/>
        </w:rPr>
        <w:t xml:space="preserve">6.2 Thiên kiến hiện tại</w:t>
      </w:r>
    </w:p>
    <w:p>
      <w:pPr>
        <w:spacing w:after="100"/>
      </w:pPr>
      <w:r>
        <w:rPr>
          <w:b/>
          <w:bCs/>
        </w:rPr>
        <w:t xml:space="preserve">Định nghĩa: </w:t>
      </w:r>
      <w:r>
        <w:t xml:space="preserve">Mô hình chiết khấu β-δ (Laibson, 1997): U = u0 + β·Σδ^t·ut với β&lt;1 tạo thiên kiến hiện tại bổ sung ngoài chiết khấu δ đều đặn — khác về chất với chiết khấu hàm mũ cổ điển (Samuelson, 1937), vốn không gây tính không nhất quán theo thời gian.</w:t>
      </w:r>
    </w:p>
    <w:p>
      <w:pPr>
        <w:spacing w:after="100"/>
      </w:pPr>
      <w:r>
        <w:rPr>
          <w:b/>
          <w:bCs/>
        </w:rPr>
        <w:t xml:space="preserve">Điểm mù / mở rộng học thuật: </w:t>
      </w:r>
      <w:r>
        <w:t xml:space="preserve">Mô hình "planner-doer" (Thaler &amp; Shefrin, 1981) hình dung "bản thân hiện tại" và "bản thân tương lai" như hai tác nhân sở thích xung đột — hàm ý công cụ chính sách hành vi hiệu quả nhất khi tác động đúng thời điểm quyết định, không chỉ cung cấp thông tin dài hạn.</w:t>
      </w:r>
    </w:p>
    <w:p>
      <w:pPr>
        <w:spacing w:after="100"/>
      </w:pPr>
      <w:r>
        <w:rPr>
          <w:b/>
          <w:bCs/>
        </w:rPr>
        <w:t xml:space="preserve">Ứng dụng: </w:t>
      </w:r>
      <w:r>
        <w:t xml:space="preserve">Chương trình "Save More Tomorrow" (Thaler &amp; Benartzi, 2004) — cam kết trước tăng tỷ lệ tiết kiệm đồng bộ với tăng lương tương lai — ứng dụng trực tiếp mô hình β-δ, đạt kết quả tiết kiệm cao hơn đáng kể so với khuyến khích thông thường.</w:t>
      </w:r>
    </w:p>
    <w:p>
      <w:pPr>
        <w:pStyle w:val="Heading2"/>
        <w:spacing w:after="100" w:before="280"/>
      </w:pPr>
      <w:r>
        <w:rPr>
          <w:b/>
          <w:bCs/>
          <w:color w:val="1e293b"/>
          <w:sz w:val="26"/>
          <w:szCs w:val="26"/>
        </w:rPr>
        <w:t xml:space="preserve">6.3 Hiệu ứng mỏ neo</w:t>
      </w:r>
    </w:p>
    <w:p>
      <w:pPr>
        <w:spacing w:after="100"/>
      </w:pPr>
      <w:r>
        <w:rPr>
          <w:b/>
          <w:bCs/>
        </w:rPr>
        <w:t xml:space="preserve">Định nghĩa: </w:t>
      </w:r>
      <w:r>
        <w:t xml:space="preserve">Tversky &amp; Kahneman (1974), qua thí nghiệm "bánh xe quay số", chứng minh ước lượng số lượng bị kéo lệch có hệ thống về phía một số ngẫu nhiên xem trước đó — thuộc nhóm heuristic "anchoring-and-insufficient-adjustment".</w:t>
      </w:r>
    </w:p>
    <w:p>
      <w:pPr>
        <w:spacing w:after="100"/>
      </w:pPr>
      <w:r>
        <w:rPr>
          <w:b/>
          <w:bCs/>
        </w:rPr>
        <w:t xml:space="preserve">Điểm mù / mở rộng học thuật: </w:t>
      </w:r>
      <w:r>
        <w:t xml:space="preserve">Hiệu ứng xảy ra ngay cả khi mỏ neo được biết rõ là ngẫu nhiên — cho thấy đây là cơ chế xử lý tự động (System 1) khó loại bỏ hoàn toàn dù được cảnh báo trước, debiasing chỉ giảm chứ không xóa hiệu ứng.</w:t>
      </w:r>
    </w:p>
    <w:p>
      <w:pPr>
        <w:spacing w:after="100"/>
      </w:pPr>
      <w:r>
        <w:rPr>
          <w:b/>
          <w:bCs/>
        </w:rPr>
        <w:t xml:space="preserve">Ứng dụng: </w:t>
      </w:r>
      <w:r>
        <w:t xml:space="preserve">"First-offer effect" trong đàm phán có tương quan dương có ý nghĩa thống kê với giá trị hợp đồng cuối cùng (Galinsky &amp; Mussweiler, 2001) — hàm ý ra giá trước thường tối ưu hơn chờ đối tác ra giá.</w:t>
      </w:r>
    </w:p>
    <w:p>
      <w:pPr>
        <w:pStyle w:val="Heading2"/>
        <w:spacing w:after="100" w:before="280"/>
      </w:pPr>
      <w:r>
        <w:rPr>
          <w:b/>
          <w:bCs/>
          <w:color w:val="1e293b"/>
          <w:sz w:val="26"/>
          <w:szCs w:val="26"/>
        </w:rPr>
        <w:t xml:space="preserve">6.4 Hiệu ứng sở hữu</w:t>
      </w:r>
    </w:p>
    <w:p>
      <w:pPr>
        <w:spacing w:after="100"/>
      </w:pPr>
      <w:r>
        <w:rPr>
          <w:b/>
          <w:bCs/>
        </w:rPr>
        <w:t xml:space="preserve">Định nghĩa: </w:t>
      </w:r>
      <w:r>
        <w:t xml:space="preserve">Thaler (1980) đặt tên: mức sẵn lòng chấp nhận để bán (WTA) vượt đáng kể mức sẵn lòng trả để mua (WTP) cùng tài sản — vi phạm trực tiếp tiên đề Coase về tính bất biến phân bổ nguồn lực theo phân quyền ban đầu khi chi phí giao dịch bằng 0.</w:t>
      </w:r>
    </w:p>
    <w:p>
      <w:pPr>
        <w:spacing w:after="100"/>
      </w:pPr>
      <w:r>
        <w:rPr>
          <w:b/>
          <w:bCs/>
        </w:rPr>
        <w:t xml:space="preserve">Điểm mù / mở rộng học thuật: </w:t>
      </w:r>
      <w:r>
        <w:t xml:space="preserve">Thí nghiệm cốc/bút (Kahneman-Knetsch-Thaler, 1990) cho tỷ lệ WTA/WTP thường 2:1 đến 3:1 — về lý thuyết được giải thích chính là ác cảm mất mát áp vào giao dịch trao đổi (từ bỏ vật sở hữu mã hóa như một khoản lỗ), không phải thiên kiến độc lập.</w:t>
      </w:r>
    </w:p>
    <w:p>
      <w:pPr>
        <w:spacing w:after="100"/>
      </w:pPr>
      <w:r>
        <w:rPr>
          <w:b/>
          <w:bCs/>
        </w:rPr>
        <w:t xml:space="preserve">Ứng dụng: </w:t>
      </w:r>
      <w:r>
        <w:t xml:space="preserve">Trong thẩm định giá M&amp;A, chênh lệch giữa kỳ vọng giá bán của chủ sở hữu-người sáng lập (neo theo WTA) và định giá độc lập của bên mua (DCF/so sánh thị trường theo WTP) một phần có gốc từ hiệu ứng sở hữu, không chỉ từ bất cân xứng thông tin.</w:t>
      </w:r>
    </w:p>
    <w:p>
      <w:pPr>
        <w:pStyle w:val="Heading1"/>
        <w:pBdr>
          <w:bottom w:val="single" w:color="94a3b8" w:sz="6" w:space="4"/>
        </w:pBdr>
        <w:spacing w:after="200" w:before="480"/>
      </w:pPr>
      <w:r>
        <w:rPr>
          <w:b/>
          <w:bCs/>
          <w:color w:val="1e293b"/>
          <w:sz w:val="32"/>
          <w:szCs w:val="32"/>
        </w:rPr>
        <w:t xml:space="preserve">7. Vĩ mô tổng quát</w:t>
      </w:r>
    </w:p>
    <w:p>
      <w:pPr>
        <w:pStyle w:val="Heading2"/>
        <w:spacing w:after="100" w:before="280"/>
      </w:pPr>
      <w:r>
        <w:rPr>
          <w:b/>
          <w:bCs/>
          <w:color w:val="1e293b"/>
          <w:sz w:val="26"/>
          <w:szCs w:val="26"/>
        </w:rPr>
        <w:t xml:space="preserve">7.1 Lạm phát &amp; kỳ vọng</w:t>
      </w:r>
    </w:p>
    <w:p>
      <w:pPr>
        <w:spacing w:after="100"/>
      </w:pPr>
      <w:r>
        <w:rPr>
          <w:b/>
          <w:bCs/>
        </w:rPr>
        <w:t xml:space="preserve">Định nghĩa: </w:t>
      </w:r>
      <w:r>
        <w:t xml:space="preserve">Đường Phillips mới (dẫn xuất từ định giá Calvo, 1983): π_t = βE_t[π_{t+1}] + κ×(khoảng cách sản lượng) — lạm phát hiện tại phụ thuộc trực tiếp vào kỳ vọng tương lai, khác căn bản với Phillips adaptive-expectations cũ (Friedman-Phelps, chỉ phụ thuộc quá khứ).</w:t>
      </w:r>
    </w:p>
    <w:p>
      <w:pPr>
        <w:spacing w:after="100"/>
      </w:pPr>
      <w:r>
        <w:rPr>
          <w:b/>
          <w:bCs/>
        </w:rPr>
        <w:t xml:space="preserve">Điểm mù / mở rộng học thuật: </w:t>
      </w:r>
      <w:r>
        <w:t xml:space="preserve">Nếu kỳ vọng "neo" tốt quanh mục tiêu ngân hàng trung ương, cú sốc chi phí đẩy tạm thời ít lan truyền thành lạm phát dai dẳng; nếu "tháo neo", cú sốc nhỏ cũng tự khuếch đại qua vòng xoáy kỳ vọng-định giá-lương — độ tin cậy ngân hàng trung ương là biến số chính sách quan trọng ngang lãi suất điều hành.</w:t>
      </w:r>
    </w:p>
    <w:p>
      <w:pPr>
        <w:spacing w:after="100"/>
      </w:pPr>
      <w:r>
        <w:rPr>
          <w:b/>
          <w:bCs/>
        </w:rPr>
        <w:t xml:space="preserve">Ứng dụng: </w:t>
      </w:r>
      <w:r>
        <w:t xml:space="preserve">Chênh lệch lợi suất trái phiếu danh nghĩa và trái phiếu bảo vệ lạm phát (breakeven inflation, TIPS spread) là công cụ theo dõi thời gian thực mức độ neo kỳ vọng — thị trường mới nổi thiếu thị trường TIPS sâu phải dùng khảo sát kỳ vọng thay thế.</w:t>
      </w:r>
    </w:p>
    <w:p>
      <w:pPr>
        <w:pStyle w:val="Heading2"/>
        <w:spacing w:after="100" w:before="280"/>
      </w:pPr>
      <w:r>
        <w:rPr>
          <w:b/>
          <w:bCs/>
          <w:color w:val="1e293b"/>
          <w:sz w:val="26"/>
          <w:szCs w:val="26"/>
        </w:rPr>
        <w:t xml:space="preserve">7.2 Lãi suất</w:t>
      </w:r>
    </w:p>
    <w:p>
      <w:pPr>
        <w:spacing w:after="100"/>
      </w:pPr>
      <w:r>
        <w:rPr>
          <w:b/>
          <w:bCs/>
        </w:rPr>
        <w:t xml:space="preserve">Định nghĩa: </w:t>
      </w:r>
      <w:r>
        <w:t xml:space="preserve">Phương trình Fisher: (1+i) = (1+r)(1+π^e). Lãi suất thực tự nhiên r* (Wicksell) là mức cân bằng tổng cung-tổng cầu ở sản lượng tiềm năng — không quan sát trực tiếp, ước lượng qua mô hình (Laubach-Williams).</w:t>
      </w:r>
    </w:p>
    <w:p>
      <w:pPr>
        <w:spacing w:after="100"/>
      </w:pPr>
      <w:r>
        <w:rPr>
          <w:b/>
          <w:bCs/>
        </w:rPr>
        <w:t xml:space="preserve">Điểm mù / mở rộng học thuật: </w:t>
      </w:r>
      <w:r>
        <w:t xml:space="preserve">r* không phải hằng số — thay đổi theo nhân khẩu học, năng suất, giả thuyết "dư thừa tiết kiệm toàn cầu" (Bernanke, 2005). Ngân hàng trung ương giữ lãi suất chính sách không đổi trong khi r* dịch chuyển thực chất đang thắt chặt/nới lỏng thụ động, không chủ ý.</w:t>
      </w:r>
    </w:p>
    <w:p>
      <w:pPr>
        <w:spacing w:after="100"/>
      </w:pPr>
      <w:r>
        <w:rPr>
          <w:b/>
          <w:bCs/>
        </w:rPr>
        <w:t xml:space="preserve">Ứng dụng: </w:t>
      </w:r>
      <w:r>
        <w:t xml:space="preserve">Trong DCF đa quốc gia, WACC phải nhất quán giữa lãi suất danh nghĩa/thực và dòng tiền danh nghĩa/thực tương ứng — trộn lẫn là lỗi định giá hệ thống làm sai lệch kết quả theo đúng chiều mức lạm phát kỳ vọng.</w:t>
      </w:r>
    </w:p>
    <w:p>
      <w:pPr>
        <w:pStyle w:val="Heading2"/>
        <w:spacing w:after="100" w:before="280"/>
      </w:pPr>
      <w:r>
        <w:rPr>
          <w:b/>
          <w:bCs/>
          <w:color w:val="1e293b"/>
          <w:sz w:val="26"/>
          <w:szCs w:val="26"/>
        </w:rPr>
        <w:t xml:space="preserve">7.3 Chu kỳ kinh tế</w:t>
      </w:r>
    </w:p>
    <w:p>
      <w:pPr>
        <w:spacing w:after="100"/>
      </w:pPr>
      <w:r>
        <w:rPr>
          <w:b/>
          <w:bCs/>
        </w:rPr>
        <w:t xml:space="preserve">Định nghĩa: </w:t>
      </w:r>
      <w:r>
        <w:t xml:space="preserve">Hai trường phái cạnh tranh: RBC (Kydland-Prescott, 1982) coi biến động là phản ứng tối ưu trước cú sốc năng suất; New Keynesian (giá cả cứng nhắc) coi một phần biến động là thất bại điều chỉnh, tạo dư địa chính sách ổn định hóa.</w:t>
      </w:r>
    </w:p>
    <w:p>
      <w:pPr>
        <w:spacing w:after="100"/>
      </w:pPr>
      <w:r>
        <w:rPr>
          <w:b/>
          <w:bCs/>
        </w:rPr>
        <w:t xml:space="preserve">Điểm mù / mở rộng học thuật: </w:t>
      </w:r>
      <w:r>
        <w:t xml:space="preserve">Bộ lọc Hodrick-Prescott phổ biến trong thực nghiệm có vấn đề end-point bias và có thể tạo chu kỳ giả không tồn tại trong dữ liệu gốc (phê phán mạnh của Hamilton, 2018, đề xuất hồi quy thay thế) — ảnh hưởng trực tiếp độ tin cậy kết luận thực nghiệm về đặc điểm chu kỳ.</w:t>
      </w:r>
    </w:p>
    <w:p>
      <w:pPr>
        <w:spacing w:after="100"/>
      </w:pPr>
      <w:r>
        <w:rPr>
          <w:b/>
          <w:bCs/>
        </w:rPr>
        <w:t xml:space="preserve">Ứng dụng: </w:t>
      </w:r>
      <w:r>
        <w:t xml:space="preserve">Định giá doanh nghiệp chu kỳ cao nên dùng lợi nhuận chuẩn hóa qua chu kỳ đầy đủ (kiểu Graham-Dodd "normalized earnings") thay vì bội số lợi nhuận đỉnh/đáy chu kỳ đơn lẻ.</w:t>
      </w:r>
    </w:p>
    <w:p>
      <w:pPr>
        <w:pStyle w:val="Heading2"/>
        <w:spacing w:after="100" w:before="280"/>
      </w:pPr>
      <w:r>
        <w:rPr>
          <w:b/>
          <w:bCs/>
          <w:color w:val="1e293b"/>
          <w:sz w:val="26"/>
          <w:szCs w:val="26"/>
        </w:rPr>
        <w:t xml:space="preserve">7.4 Chính sách tiền tệ/tài khóa</w:t>
      </w:r>
    </w:p>
    <w:p>
      <w:pPr>
        <w:spacing w:after="100"/>
      </w:pPr>
      <w:r>
        <w:rPr>
          <w:b/>
          <w:bCs/>
        </w:rPr>
        <w:t xml:space="preserve">Định nghĩa: </w:t>
      </w:r>
      <w:r>
        <w:t xml:space="preserve">Bộ ba bất khả thi (Mundell-Fleming): một nước không thể đồng thời có tỷ giá cố định, dòng vốn tự do, và chính sách tiền tệ độc lập — phải từ bỏ ít nhất một.</w:t>
      </w:r>
    </w:p>
    <w:p>
      <w:pPr>
        <w:spacing w:after="100"/>
      </w:pPr>
      <w:r>
        <w:rPr>
          <w:b/>
          <w:bCs/>
        </w:rPr>
        <w:t xml:space="preserve">Điểm mù / mở rộng học thuật: </w:t>
      </w:r>
      <w:r>
        <w:t xml:space="preserve">Số nhân tài khóa không cố định — phụ thuộc chế độ tỷ giá và phản ứng tiền tệ đi kèm; nếu ngân hàng trung ương tăng lãi suất bù trừ mở rộng tài khóa, số nhân hiệu dụng giảm mạnh, thậm chí âm — cùng một chính sách tài khóa có tác động khác nhau tùy bối cảnh tiền tệ.</w:t>
      </w:r>
    </w:p>
    <w:p>
      <w:pPr>
        <w:spacing w:after="100"/>
      </w:pPr>
      <w:r>
        <w:rPr>
          <w:b/>
          <w:bCs/>
        </w:rPr>
        <w:t xml:space="preserve">Ứng dụng: </w:t>
      </w:r>
      <w:r>
        <w:t xml:space="preserve">Đánh giá dư địa chính sách một nền kinh tế nhỏ, mở đòi hỏi xác định rõ vị trí trên bộ ba bất khả thi (tỷ giá quản lý biên độ + kiểm soát vốn một phần + độc lập tiền tệ tương đối) — quyết định trực tiếp khả năng nới lỏng đồng thời mà không gây áp lực tỷ giá/dòng vốn.</w:t>
      </w:r>
    </w:p>
    <w:p>
      <w:pPr>
        <w:pStyle w:val="Heading1"/>
        <w:pBdr>
          <w:bottom w:val="single" w:color="94a3b8" w:sz="6" w:space="4"/>
        </w:pBdr>
        <w:spacing w:after="200" w:before="480"/>
      </w:pPr>
      <w:r>
        <w:rPr>
          <w:b/>
          <w:bCs/>
          <w:color w:val="1e293b"/>
          <w:sz w:val="32"/>
          <w:szCs w:val="32"/>
        </w:rPr>
        <w:t xml:space="preserve">8. Tài liệu tham khảo chọn lọc</w:t>
      </w:r>
    </w:p>
    <w:p>
      <w:pPr>
        <w:spacing w:after="80"/>
        <w:ind w:left="360" w:hanging="360"/>
      </w:pPr>
      <w:r>
        <w:rPr>
          <w:sz w:val="22"/>
          <w:szCs w:val="22"/>
        </w:rPr>
        <w:t xml:space="preserve">Akerlof, G. (1970). "The Market for 'Lemons'." Quarterly Journal of Economics.</w:t>
      </w:r>
    </w:p>
    <w:p>
      <w:pPr>
        <w:spacing w:after="80"/>
        <w:ind w:left="360" w:hanging="360"/>
      </w:pPr>
      <w:r>
        <w:rPr>
          <w:sz w:val="22"/>
          <w:szCs w:val="22"/>
        </w:rPr>
        <w:t xml:space="preserve">Arkes, H. &amp; Blumer, C. (1985). "The Psychology of Sunk Cost." Organizational Behavior and Human Decision Processes.</w:t>
      </w:r>
    </w:p>
    <w:p>
      <w:pPr>
        <w:spacing w:after="80"/>
        <w:ind w:left="360" w:hanging="360"/>
      </w:pPr>
      <w:r>
        <w:rPr>
          <w:sz w:val="22"/>
          <w:szCs w:val="22"/>
        </w:rPr>
        <w:t xml:space="preserve">Axelrod, R. (1984). The Evolution of Cooperation.</w:t>
      </w:r>
    </w:p>
    <w:p>
      <w:pPr>
        <w:spacing w:after="80"/>
        <w:ind w:left="360" w:hanging="360"/>
      </w:pPr>
      <w:r>
        <w:rPr>
          <w:sz w:val="22"/>
          <w:szCs w:val="22"/>
        </w:rPr>
        <w:t xml:space="preserve">Bernanke, B. (2005). "The Global Saving Glut and the U.S. Current Account Deficit."</w:t>
      </w:r>
    </w:p>
    <w:p>
      <w:pPr>
        <w:spacing w:after="80"/>
        <w:ind w:left="360" w:hanging="360"/>
      </w:pPr>
      <w:r>
        <w:rPr>
          <w:sz w:val="22"/>
          <w:szCs w:val="22"/>
        </w:rPr>
        <w:t xml:space="preserve">Brander, J. &amp; Spencer, B. (1985). "Export Subsidies and International Market Share Rivalry." JIE.</w:t>
      </w:r>
    </w:p>
    <w:p>
      <w:pPr>
        <w:spacing w:after="80"/>
        <w:ind w:left="360" w:hanging="360"/>
      </w:pPr>
      <w:r>
        <w:rPr>
          <w:sz w:val="22"/>
          <w:szCs w:val="22"/>
        </w:rPr>
        <w:t xml:space="preserve">Calvo, G. (1983). "Staggered Prices in a Utility-Maximizing Framework." JME.</w:t>
      </w:r>
    </w:p>
    <w:p>
      <w:pPr>
        <w:spacing w:after="80"/>
        <w:ind w:left="360" w:hanging="360"/>
      </w:pPr>
      <w:r>
        <w:rPr>
          <w:sz w:val="22"/>
          <w:szCs w:val="22"/>
        </w:rPr>
        <w:t xml:space="preserve">Coase, R. (1960). "The Problem of Social Cost." Journal of Law and Economics.</w:t>
      </w:r>
    </w:p>
    <w:p>
      <w:pPr>
        <w:spacing w:after="80"/>
        <w:ind w:left="360" w:hanging="360"/>
      </w:pPr>
      <w:r>
        <w:rPr>
          <w:sz w:val="22"/>
          <w:szCs w:val="22"/>
        </w:rPr>
        <w:t xml:space="preserve">Dornbusch, R. (1976). "Expectations and Exchange Rate Dynamics." JPE.</w:t>
      </w:r>
    </w:p>
    <w:p>
      <w:pPr>
        <w:spacing w:after="80"/>
        <w:ind w:left="360" w:hanging="360"/>
      </w:pPr>
      <w:r>
        <w:rPr>
          <w:sz w:val="22"/>
          <w:szCs w:val="22"/>
        </w:rPr>
        <w:t xml:space="preserve">Galinsky, A. &amp; Mussweiler, T. (2001). "First Offers as Anchors." JPSP.</w:t>
      </w:r>
    </w:p>
    <w:p>
      <w:pPr>
        <w:spacing w:after="80"/>
        <w:ind w:left="360" w:hanging="360"/>
      </w:pPr>
      <w:r>
        <w:rPr>
          <w:sz w:val="22"/>
          <w:szCs w:val="22"/>
        </w:rPr>
        <w:t xml:space="preserve">Hamilton, J. (2018). "Why You Should Never Use the Hodrick-Prescott Filter." REStat.</w:t>
      </w:r>
    </w:p>
    <w:p>
      <w:pPr>
        <w:spacing w:after="80"/>
        <w:ind w:left="360" w:hanging="360"/>
      </w:pPr>
      <w:r>
        <w:rPr>
          <w:sz w:val="22"/>
          <w:szCs w:val="22"/>
        </w:rPr>
        <w:t xml:space="preserve">Javorcik, B. (2004). "Does FDI Increase the Productivity of Domestic Firms?" AER.</w:t>
      </w:r>
    </w:p>
    <w:p>
      <w:pPr>
        <w:spacing w:after="80"/>
        <w:ind w:left="360" w:hanging="360"/>
      </w:pPr>
      <w:r>
        <w:rPr>
          <w:sz w:val="22"/>
          <w:szCs w:val="22"/>
        </w:rPr>
        <w:t xml:space="preserve">Kahneman, D. &amp; Tversky, A. (1979). "Prospect Theory." Econometrica.</w:t>
      </w:r>
    </w:p>
    <w:p>
      <w:pPr>
        <w:spacing w:after="80"/>
        <w:ind w:left="360" w:hanging="360"/>
      </w:pPr>
      <w:r>
        <w:rPr>
          <w:sz w:val="22"/>
          <w:szCs w:val="22"/>
        </w:rPr>
        <w:t xml:space="preserve">Kahneman, D., Knetsch, J. &amp; Thaler, R. (1990). "Experimental Tests of the Endowment Effect and the Coase Theorem." JPE.</w:t>
      </w:r>
    </w:p>
    <w:p>
      <w:pPr>
        <w:spacing w:after="80"/>
        <w:ind w:left="360" w:hanging="360"/>
      </w:pPr>
      <w:r>
        <w:rPr>
          <w:sz w:val="22"/>
          <w:szCs w:val="22"/>
        </w:rPr>
        <w:t xml:space="preserve">Kőszegi, B. &amp; Rabin, M. (2006). "A Model of Reference-Dependent Preferences." QJE.</w:t>
      </w:r>
    </w:p>
    <w:p>
      <w:pPr>
        <w:spacing w:after="80"/>
        <w:ind w:left="360" w:hanging="360"/>
      </w:pPr>
      <w:r>
        <w:rPr>
          <w:sz w:val="22"/>
          <w:szCs w:val="22"/>
        </w:rPr>
        <w:t xml:space="preserve">Krugman, P. (1979). "A Model of Balance-of-Payments Crises." JMCB.</w:t>
      </w:r>
    </w:p>
    <w:p>
      <w:pPr>
        <w:spacing w:after="80"/>
        <w:ind w:left="360" w:hanging="360"/>
      </w:pPr>
      <w:r>
        <w:rPr>
          <w:sz w:val="22"/>
          <w:szCs w:val="22"/>
        </w:rPr>
        <w:t xml:space="preserve">Kydland, F. &amp; Prescott, E. (1982). "Time to Build and Aggregate Fluctuations." Econometrica.</w:t>
      </w:r>
    </w:p>
    <w:p>
      <w:pPr>
        <w:spacing w:after="80"/>
        <w:ind w:left="360" w:hanging="360"/>
      </w:pPr>
      <w:r>
        <w:rPr>
          <w:sz w:val="22"/>
          <w:szCs w:val="22"/>
        </w:rPr>
        <w:t xml:space="preserve">Laibson, D. (1997). "Golden Eggs and Hyperbolic Discounting." QJE.</w:t>
      </w:r>
    </w:p>
    <w:p>
      <w:pPr>
        <w:spacing w:after="80"/>
        <w:ind w:left="360" w:hanging="360"/>
      </w:pPr>
      <w:r>
        <w:rPr>
          <w:sz w:val="22"/>
          <w:szCs w:val="22"/>
        </w:rPr>
        <w:t xml:space="preserve">Leontief, W. (1953). "Domestic Production and Foreign Trade." Proc. Am. Philosophical Society.</w:t>
      </w:r>
    </w:p>
    <w:p>
      <w:pPr>
        <w:spacing w:after="80"/>
        <w:ind w:left="360" w:hanging="360"/>
      </w:pPr>
      <w:r>
        <w:rPr>
          <w:sz w:val="22"/>
          <w:szCs w:val="22"/>
        </w:rPr>
        <w:t xml:space="preserve">List, F. (1841). The National System of Political Economy.</w:t>
      </w:r>
    </w:p>
    <w:p>
      <w:pPr>
        <w:spacing w:after="80"/>
        <w:ind w:left="360" w:hanging="360"/>
      </w:pPr>
      <w:r>
        <w:rPr>
          <w:sz w:val="22"/>
          <w:szCs w:val="22"/>
        </w:rPr>
        <w:t xml:space="preserve">Meese, R. &amp; Rogoff, K. (1983). "Empirical Exchange Rate Models of the Seventies." JIE.</w:t>
      </w:r>
    </w:p>
    <w:p>
      <w:pPr>
        <w:spacing w:after="80"/>
        <w:ind w:left="360" w:hanging="360"/>
      </w:pPr>
      <w:r>
        <w:rPr>
          <w:sz w:val="22"/>
          <w:szCs w:val="22"/>
        </w:rPr>
        <w:t xml:space="preserve">Nash, J. (1950, 1951). "Equilibrium Points in N-Person Games"; "Non-Cooperative Games."</w:t>
      </w:r>
    </w:p>
    <w:p>
      <w:pPr>
        <w:spacing w:after="80"/>
        <w:ind w:left="360" w:hanging="360"/>
      </w:pPr>
      <w:r>
        <w:rPr>
          <w:sz w:val="22"/>
          <w:szCs w:val="22"/>
        </w:rPr>
        <w:t xml:space="preserve">Odean, T. (1998). "Are Investors Reluctant to Realize Their Losses?" Journal of Finance.</w:t>
      </w:r>
    </w:p>
    <w:p>
      <w:pPr>
        <w:spacing w:after="80"/>
        <w:ind w:left="360" w:hanging="360"/>
      </w:pPr>
      <w:r>
        <w:rPr>
          <w:sz w:val="22"/>
          <w:szCs w:val="22"/>
        </w:rPr>
        <w:t xml:space="preserve">Ricardo, D. (1817). On the Principles of Political Economy and Taxation.</w:t>
      </w:r>
    </w:p>
    <w:p>
      <w:pPr>
        <w:spacing w:after="80"/>
        <w:ind w:left="360" w:hanging="360"/>
      </w:pPr>
      <w:r>
        <w:rPr>
          <w:sz w:val="22"/>
          <w:szCs w:val="22"/>
        </w:rPr>
        <w:t xml:space="preserve">Rothschild, M. &amp; Stiglitz, J. (1976). "Equilibrium in Competitive Insurance Markets." QJE.</w:t>
      </w:r>
    </w:p>
    <w:p>
      <w:pPr>
        <w:spacing w:after="80"/>
        <w:ind w:left="360" w:hanging="360"/>
      </w:pPr>
      <w:r>
        <w:rPr>
          <w:sz w:val="22"/>
          <w:szCs w:val="22"/>
        </w:rPr>
        <w:t xml:space="preserve">Samuelson, P. (1954). "The Pure Theory of Public Expenditure." REStat.</w:t>
      </w:r>
    </w:p>
    <w:p>
      <w:pPr>
        <w:spacing w:after="80"/>
        <w:ind w:left="360" w:hanging="360"/>
      </w:pPr>
      <w:r>
        <w:rPr>
          <w:sz w:val="22"/>
          <w:szCs w:val="22"/>
        </w:rPr>
        <w:t xml:space="preserve">Selten, R. (1965). Subgame perfect equilibrium (spieltheoretische Behandlung).</w:t>
      </w:r>
    </w:p>
    <w:p>
      <w:pPr>
        <w:spacing w:after="80"/>
        <w:ind w:left="360" w:hanging="360"/>
      </w:pPr>
      <w:r>
        <w:rPr>
          <w:sz w:val="22"/>
          <w:szCs w:val="22"/>
        </w:rPr>
        <w:t xml:space="preserve">Shefrin, H. &amp; Statman, M. (1985). "The Disposition to Sell Winners Too Early..." Journal of Finance.</w:t>
      </w:r>
    </w:p>
    <w:p>
      <w:pPr>
        <w:spacing w:after="80"/>
        <w:ind w:left="360" w:hanging="360"/>
      </w:pPr>
      <w:r>
        <w:rPr>
          <w:sz w:val="22"/>
          <w:szCs w:val="22"/>
        </w:rPr>
        <w:t xml:space="preserve">Spence, M. (1973). "Job Market Signaling." QJE.</w:t>
      </w:r>
    </w:p>
    <w:p>
      <w:pPr>
        <w:spacing w:after="80"/>
        <w:ind w:left="360" w:hanging="360"/>
      </w:pPr>
      <w:r>
        <w:rPr>
          <w:sz w:val="22"/>
          <w:szCs w:val="22"/>
        </w:rPr>
        <w:t xml:space="preserve">Thaler, R. (1980). "Toward a Positive Theory of Consumer Choice." JEBO.</w:t>
      </w:r>
    </w:p>
    <w:p>
      <w:pPr>
        <w:spacing w:after="80"/>
        <w:ind w:left="360" w:hanging="360"/>
      </w:pPr>
      <w:r>
        <w:rPr>
          <w:sz w:val="22"/>
          <w:szCs w:val="22"/>
        </w:rPr>
        <w:t xml:space="preserve">Thaler, R. &amp; Benartzi, S. (2004). "Save More Tomorrow." JPE.</w:t>
      </w:r>
    </w:p>
    <w:p>
      <w:pPr>
        <w:spacing w:after="80"/>
        <w:ind w:left="360" w:hanging="360"/>
      </w:pPr>
      <w:r>
        <w:rPr>
          <w:sz w:val="22"/>
          <w:szCs w:val="22"/>
        </w:rPr>
        <w:t xml:space="preserve">Thaler, R. &amp; Shefrin, H. (1981). "An Economic Theory of Self-Control." JPE.</w:t>
      </w:r>
    </w:p>
    <w:p>
      <w:pPr>
        <w:spacing w:after="80"/>
        <w:ind w:left="360" w:hanging="360"/>
      </w:pPr>
      <w:r>
        <w:rPr>
          <w:sz w:val="22"/>
          <w:szCs w:val="22"/>
        </w:rPr>
        <w:t xml:space="preserve">Tversky, A. &amp; Kahneman, D. (1974). "Judgment under Uncertainty." Science.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2026-07-21T07:53:20.666Z</dcterms:created>
  <dcterms:modified xsi:type="dcterms:W3CDTF">2026-07-21T07:53:20.680Z</dcterms:modified>
</cp:coreProperties>
</file>

<file path=docProps/custom.xml><?xml version="1.0" encoding="utf-8"?>
<Properties xmlns="http://schemas.openxmlformats.org/officeDocument/2006/custom-properties" xmlns:vt="http://schemas.openxmlformats.org/officeDocument/2006/docPropsVTypes"/>
</file>