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F3B0" w14:textId="77777777" w:rsidR="0083092D" w:rsidRPr="00334184" w:rsidRDefault="0083092D" w:rsidP="0069632C">
      <w:pPr>
        <w:spacing w:before="60" w:after="60" w:line="360" w:lineRule="auto"/>
        <w:rPr>
          <w:rFonts w:asciiTheme="majorHAnsi" w:hAnsiTheme="majorHAnsi" w:cstheme="majorHAnsi"/>
        </w:rPr>
      </w:pPr>
    </w:p>
    <w:p w14:paraId="7A816C18"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b/>
          <w:bCs/>
          <w:color w:val="2E75B6"/>
        </w:rPr>
        <w:t>TRƯỜNG ĐẠI HỌC KINH TẾ QUỐC DÂN</w:t>
      </w:r>
    </w:p>
    <w:p w14:paraId="521CC7A8"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b/>
          <w:bCs/>
          <w:color w:val="2E75B6"/>
        </w:rPr>
        <w:t>KHOA KINH TẾ VÀ KINH DOANH QUỐC TẾ</w:t>
      </w:r>
    </w:p>
    <w:p w14:paraId="35246A73"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b/>
          <w:bCs/>
          <w:color w:val="1F4E79"/>
          <w:sz w:val="28"/>
          <w:szCs w:val="28"/>
        </w:rPr>
        <w:t>TIỂU LUẬN KINH TẾ QUỐC TẾ</w:t>
      </w:r>
    </w:p>
    <w:p w14:paraId="51147F44"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color w:val="ADB9CA"/>
        </w:rPr>
        <w:t>──────────────────────────────────────</w:t>
      </w:r>
    </w:p>
    <w:p w14:paraId="1A63241B" w14:textId="77777777" w:rsidR="0083092D" w:rsidRPr="00334184" w:rsidRDefault="0083092D" w:rsidP="0069632C">
      <w:pPr>
        <w:spacing w:before="60" w:after="60" w:line="360" w:lineRule="auto"/>
        <w:rPr>
          <w:rFonts w:asciiTheme="majorHAnsi" w:hAnsiTheme="majorHAnsi" w:cstheme="majorHAnsi"/>
        </w:rPr>
      </w:pPr>
    </w:p>
    <w:p w14:paraId="686CCF76"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b/>
          <w:bCs/>
          <w:color w:val="1F4E79"/>
          <w:sz w:val="32"/>
          <w:szCs w:val="32"/>
        </w:rPr>
        <w:t>CÁN CÂN THANH TOÁN QUỐC TẾ (BoP) CỦA CỘNG HÒA DÂN CHỦ NHÂN DÂN LÀO SAU ĐẠI DỊCH COVID-19:</w:t>
      </w:r>
    </w:p>
    <w:p w14:paraId="315FCFCA"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b/>
          <w:bCs/>
          <w:color w:val="2E75B6"/>
          <w:sz w:val="28"/>
          <w:szCs w:val="28"/>
        </w:rPr>
        <w:t>THỰC TRẠNG, NGUYÊN NHÂN VÀ HÀM Ý CHÍNH SÁCH</w:t>
      </w:r>
    </w:p>
    <w:p w14:paraId="43B33DC4"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i/>
          <w:iCs/>
          <w:color w:val="595959"/>
          <w:sz w:val="24"/>
          <w:szCs w:val="24"/>
        </w:rPr>
        <w:t>(Giai đoạn 2018–2024)</w:t>
      </w:r>
    </w:p>
    <w:p w14:paraId="4E5569AF" w14:textId="77777777" w:rsidR="0083092D" w:rsidRPr="00334184" w:rsidRDefault="0083092D" w:rsidP="0069632C">
      <w:pPr>
        <w:spacing w:before="60" w:after="60" w:line="360" w:lineRule="auto"/>
        <w:rPr>
          <w:rFonts w:asciiTheme="majorHAnsi" w:hAnsiTheme="majorHAnsi" w:cstheme="majorHAnsi"/>
        </w:rPr>
      </w:pPr>
    </w:p>
    <w:p w14:paraId="3DC4447A" w14:textId="1BC1F174" w:rsidR="0083092D" w:rsidRPr="00700116" w:rsidRDefault="00000000" w:rsidP="0069632C">
      <w:pPr>
        <w:spacing w:before="60" w:after="60" w:line="360" w:lineRule="auto"/>
        <w:jc w:val="center"/>
        <w:rPr>
          <w:rFonts w:asciiTheme="majorHAnsi" w:hAnsiTheme="majorHAnsi" w:cstheme="majorHAnsi"/>
        </w:rPr>
      </w:pPr>
      <w:r>
        <w:rPr>
          <w:rFonts w:asciiTheme="majorHAnsi" w:hAnsiTheme="majorHAnsi" w:cstheme="majorHAnsi"/>
          <w:color w:val="595959"/>
          <w:sz w:val="20"/>
          <w:szCs w:val="20"/>
        </w:rPr>
        <w:t>Bộ môn: Kinh tế Quốc tế</w:t>
      </w:r>
    </w:p>
    <w:p w14:paraId="2D83D75C" w14:textId="77777777" w:rsidR="0083092D" w:rsidRPr="00334184" w:rsidRDefault="00000000" w:rsidP="0069632C">
      <w:pPr>
        <w:spacing w:before="60" w:after="60" w:line="360" w:lineRule="auto"/>
        <w:jc w:val="center"/>
        <w:rPr>
          <w:rFonts w:asciiTheme="majorHAnsi" w:hAnsiTheme="majorHAnsi" w:cstheme="majorHAnsi"/>
        </w:rPr>
      </w:pPr>
      <w:r>
        <w:rPr>
          <w:rFonts w:asciiTheme="majorHAnsi" w:hAnsiTheme="majorHAnsi" w:cstheme="majorHAnsi"/>
          <w:sz w:val="20"/>
          <w:szCs w:val="20"/>
        </w:rPr>
        <w:t>NHÓM THỰC HIỆN: [Điền tên thành viên nhóm]</w:t>
      </w:r>
    </w:p>
    <w:p w14:paraId="35E9B280" w14:textId="330E7A5F" w:rsidR="0083092D" w:rsidRPr="0029074A" w:rsidRDefault="00000000" w:rsidP="0069632C">
      <w:pPr>
        <w:spacing w:before="60" w:after="60" w:line="360" w:lineRule="auto"/>
        <w:jc w:val="center"/>
        <w:rPr>
          <w:rFonts w:asciiTheme="majorHAnsi" w:hAnsiTheme="majorHAnsi" w:cstheme="majorHAnsi"/>
          <w:lang w:val="en-US"/>
        </w:rPr>
      </w:pPr>
      <w:r>
        <w:rPr>
          <w:rFonts w:asciiTheme="majorHAnsi" w:hAnsiTheme="majorHAnsi" w:cstheme="majorHAnsi"/>
          <w:i/>
          <w:iCs/>
          <w:sz w:val="20"/>
          <w:szCs w:val="20"/>
        </w:rPr>
        <w:t>Hà Nội, 202</w:t>
      </w:r>
      <w:r>
        <w:rPr>
          <w:rFonts w:asciiTheme="majorHAnsi" w:hAnsiTheme="majorHAnsi" w:cstheme="majorHAnsi"/>
          <w:i/>
          <w:iCs/>
          <w:sz w:val="20"/>
          <w:szCs w:val="20"/>
          <w:lang w:val="en-US"/>
        </w:rPr>
        <w:t>6</w:t>
      </w:r>
    </w:p>
    <w:p w14:paraId="61719650" w14:textId="77777777" w:rsidR="0083092D" w:rsidRPr="00334184" w:rsidRDefault="00000000" w:rsidP="0069632C">
      <w:pPr>
        <w:spacing w:before="60" w:after="60" w:line="360" w:lineRule="auto"/>
        <w:rPr>
          <w:rFonts w:asciiTheme="majorHAnsi" w:hAnsiTheme="majorHAnsi" w:cstheme="majorHAnsi"/>
        </w:rPr>
      </w:pPr>
      <w:r>
        <w:rPr>
          <w:rFonts w:asciiTheme="majorHAnsi" w:hAnsiTheme="majorHAnsi" w:cstheme="majorHAnsi"/>
        </w:rPr>
        <w:br w:type="page"/>
      </w:r>
    </w:p>
    <w:p w14:paraId="01A10013" w14:textId="77777777" w:rsidR="00000000"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DANH MỤC TỪ VIẾT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200"/>
      </w:tblGrid>
      <w:tr w:rsidR="00AA0001" w14:paraId="01A20001" w14:textId="77777777">
        <w:tc>
          <w:tcPr>
            <w:tcW w:w="2000" w:type="dxa"/>
            <w:shd w:val="clear" w:color="auto" w:fill="1F4E79"/>
            <w:tcMar>
              <w:top w:w="80" w:type="dxa"/>
              <w:left w:w="120" w:type="dxa"/>
              <w:bottom w:w="80" w:type="dxa"/>
              <w:right w:w="120" w:type="dxa"/>
            </w:tcMar>
          </w:tcPr>
          <w:p w14:paraId="01A20002" w14:textId="77777777" w:rsidR="00000000" w:rsidRDefault="00000000">
            <w:pPr>
              <w:spacing w:before="60" w:after="60"/>
              <w:rPr>
                <w:rFonts w:asciiTheme="majorHAnsi" w:hAnsiTheme="majorHAnsi" w:cstheme="majorHAnsi"/>
              </w:rPr>
            </w:pPr>
            <w:r>
              <w:rPr>
                <w:rFonts w:asciiTheme="majorHAnsi" w:hAnsiTheme="majorHAnsi" w:cstheme="majorHAnsi"/>
                <w:b/>
                <w:bCs/>
                <w:color w:val="FFFFFF"/>
                <w:sz w:val="20"/>
                <w:szCs w:val="20"/>
              </w:rPr>
              <w:t>Từ viết tắt</w:t>
            </w:r>
          </w:p>
        </w:tc>
        <w:tc>
          <w:tcPr>
            <w:tcW w:w="7200" w:type="dxa"/>
            <w:shd w:val="clear" w:color="auto" w:fill="1F4E79"/>
            <w:tcMar>
              <w:top w:w="80" w:type="dxa"/>
              <w:left w:w="120" w:type="dxa"/>
              <w:bottom w:w="80" w:type="dxa"/>
              <w:right w:w="120" w:type="dxa"/>
            </w:tcMar>
          </w:tcPr>
          <w:p w14:paraId="01A20003" w14:textId="77777777" w:rsidR="00000000" w:rsidRDefault="00000000">
            <w:pPr>
              <w:spacing w:before="60" w:after="60"/>
              <w:rPr>
                <w:rFonts w:asciiTheme="majorHAnsi" w:hAnsiTheme="majorHAnsi" w:cstheme="majorHAnsi"/>
              </w:rPr>
            </w:pPr>
            <w:r>
              <w:rPr>
                <w:rFonts w:asciiTheme="majorHAnsi" w:hAnsiTheme="majorHAnsi" w:cstheme="majorHAnsi"/>
                <w:b/>
                <w:bCs/>
                <w:color w:val="FFFFFF"/>
                <w:sz w:val="20"/>
                <w:szCs w:val="20"/>
              </w:rPr>
              <w:t>Nghĩa đầy đủ</w:t>
            </w:r>
          </w:p>
        </w:tc>
      </w:tr>
      <w:tr w:rsidR="00AA0001" w14:paraId="01A20010" w14:textId="77777777">
        <w:tc>
          <w:tcPr>
            <w:tcW w:w="2000" w:type="dxa"/>
            <w:shd w:val="clear" w:color="auto" w:fill="DEEAF1"/>
            <w:tcMar>
              <w:top w:w="60" w:type="dxa"/>
              <w:left w:w="120" w:type="dxa"/>
              <w:bottom w:w="60" w:type="dxa"/>
              <w:right w:w="120" w:type="dxa"/>
            </w:tcMar>
          </w:tcPr>
          <w:p w14:paraId="01A20011" w14:textId="77777777" w:rsidR="00000000" w:rsidRDefault="00000000">
            <w:pPr>
              <w:spacing w:before="60" w:after="60"/>
            </w:pPr>
            <w:r>
              <w:rPr>
                <w:rFonts w:asciiTheme="majorHAnsi" w:hAnsiTheme="majorHAnsi" w:cstheme="majorHAnsi"/>
                <w:b/>
                <w:bCs/>
                <w:sz w:val="20"/>
                <w:szCs w:val="20"/>
              </w:rPr>
              <w:t>ADB</w:t>
            </w:r>
          </w:p>
        </w:tc>
        <w:tc>
          <w:tcPr>
            <w:tcW w:w="7200" w:type="dxa"/>
            <w:shd w:val="clear" w:color="auto" w:fill="DEEAF1"/>
            <w:tcMar>
              <w:top w:w="60" w:type="dxa"/>
              <w:left w:w="120" w:type="dxa"/>
              <w:bottom w:w="60" w:type="dxa"/>
              <w:right w:w="120" w:type="dxa"/>
            </w:tcMar>
          </w:tcPr>
          <w:p w14:paraId="01A20012" w14:textId="77777777" w:rsidR="00000000" w:rsidRDefault="00000000">
            <w:pPr>
              <w:spacing w:before="60" w:after="60"/>
            </w:pPr>
            <w:r>
              <w:rPr>
                <w:rFonts w:asciiTheme="majorHAnsi" w:hAnsiTheme="majorHAnsi" w:cstheme="majorHAnsi"/>
                <w:sz w:val="20"/>
                <w:szCs w:val="20"/>
              </w:rPr>
              <w:t>Asian Development Bank – Ngân hàng Phát triển Châu Á</w:t>
            </w:r>
          </w:p>
        </w:tc>
      </w:tr>
      <w:tr w:rsidR="00AA0001" w14:paraId="01A20013" w14:textId="77777777">
        <w:tc>
          <w:tcPr>
            <w:tcW w:w="2000" w:type="dxa"/>
            <w:tcMar>
              <w:top w:w="60" w:type="dxa"/>
              <w:left w:w="120" w:type="dxa"/>
              <w:bottom w:w="60" w:type="dxa"/>
              <w:right w:w="120" w:type="dxa"/>
            </w:tcMar>
          </w:tcPr>
          <w:p w14:paraId="01A20014" w14:textId="77777777" w:rsidR="00000000" w:rsidRDefault="00000000">
            <w:pPr>
              <w:spacing w:before="60" w:after="60"/>
            </w:pPr>
            <w:r>
              <w:rPr>
                <w:rFonts w:asciiTheme="majorHAnsi" w:hAnsiTheme="majorHAnsi" w:cstheme="majorHAnsi"/>
                <w:b/>
                <w:bCs/>
                <w:sz w:val="20"/>
                <w:szCs w:val="20"/>
              </w:rPr>
              <w:t>AMRO</w:t>
            </w:r>
          </w:p>
        </w:tc>
        <w:tc>
          <w:tcPr>
            <w:tcW w:w="7200" w:type="dxa"/>
            <w:tcMar>
              <w:top w:w="60" w:type="dxa"/>
              <w:left w:w="120" w:type="dxa"/>
              <w:bottom w:w="60" w:type="dxa"/>
              <w:right w:w="120" w:type="dxa"/>
            </w:tcMar>
          </w:tcPr>
          <w:p w14:paraId="01A20015" w14:textId="77777777" w:rsidR="00000000" w:rsidRDefault="00000000">
            <w:pPr>
              <w:spacing w:before="60" w:after="60"/>
            </w:pPr>
            <w:r>
              <w:rPr>
                <w:rFonts w:asciiTheme="majorHAnsi" w:hAnsiTheme="majorHAnsi" w:cstheme="majorHAnsi"/>
                <w:sz w:val="20"/>
                <w:szCs w:val="20"/>
              </w:rPr>
              <w:t>ASEAN+3 Macroeconomic Research Office – Văn phòng Nghiên cứu Kinh tế Vĩ mô ASEAN+3</w:t>
            </w:r>
          </w:p>
        </w:tc>
      </w:tr>
      <w:tr w:rsidR="00AA0001" w14:paraId="01A20016" w14:textId="77777777">
        <w:tc>
          <w:tcPr>
            <w:tcW w:w="2000" w:type="dxa"/>
            <w:shd w:val="clear" w:color="auto" w:fill="DEEAF1"/>
            <w:tcMar>
              <w:top w:w="60" w:type="dxa"/>
              <w:left w:w="120" w:type="dxa"/>
              <w:bottom w:w="60" w:type="dxa"/>
              <w:right w:w="120" w:type="dxa"/>
            </w:tcMar>
          </w:tcPr>
          <w:p w14:paraId="01A20017" w14:textId="77777777" w:rsidR="00000000" w:rsidRDefault="00000000">
            <w:pPr>
              <w:spacing w:before="60" w:after="60"/>
            </w:pPr>
            <w:r>
              <w:rPr>
                <w:rFonts w:asciiTheme="majorHAnsi" w:hAnsiTheme="majorHAnsi" w:cstheme="majorHAnsi"/>
                <w:b/>
                <w:bCs/>
                <w:sz w:val="20"/>
                <w:szCs w:val="20"/>
              </w:rPr>
              <w:t>BOL</w:t>
            </w:r>
          </w:p>
        </w:tc>
        <w:tc>
          <w:tcPr>
            <w:tcW w:w="7200" w:type="dxa"/>
            <w:shd w:val="clear" w:color="auto" w:fill="DEEAF1"/>
            <w:tcMar>
              <w:top w:w="60" w:type="dxa"/>
              <w:left w:w="120" w:type="dxa"/>
              <w:bottom w:w="60" w:type="dxa"/>
              <w:right w:w="120" w:type="dxa"/>
            </w:tcMar>
          </w:tcPr>
          <w:p w14:paraId="01A20018" w14:textId="77777777" w:rsidR="00000000" w:rsidRDefault="00000000">
            <w:pPr>
              <w:spacing w:before="60" w:after="60"/>
            </w:pPr>
            <w:r>
              <w:rPr>
                <w:rFonts w:asciiTheme="majorHAnsi" w:hAnsiTheme="majorHAnsi" w:cstheme="majorHAnsi"/>
                <w:sz w:val="20"/>
                <w:szCs w:val="20"/>
              </w:rPr>
              <w:t>Bank of the Lao PDR – Ngân hàng Trung ưЗng Lào</w:t>
            </w:r>
          </w:p>
        </w:tc>
      </w:tr>
      <w:tr w:rsidR="00AA0001" w14:paraId="01A20019" w14:textId="77777777">
        <w:tc>
          <w:tcPr>
            <w:tcW w:w="2000" w:type="dxa"/>
            <w:tcMar>
              <w:top w:w="60" w:type="dxa"/>
              <w:left w:w="120" w:type="dxa"/>
              <w:bottom w:w="60" w:type="dxa"/>
              <w:right w:w="120" w:type="dxa"/>
            </w:tcMar>
          </w:tcPr>
          <w:p w14:paraId="01A2001A" w14:textId="77777777" w:rsidR="00000000" w:rsidRDefault="00000000">
            <w:pPr>
              <w:spacing w:before="60" w:after="60"/>
            </w:pPr>
            <w:r>
              <w:rPr>
                <w:rFonts w:asciiTheme="majorHAnsi" w:hAnsiTheme="majorHAnsi" w:cstheme="majorHAnsi"/>
                <w:b/>
                <w:bCs/>
                <w:sz w:val="20"/>
                <w:szCs w:val="20"/>
              </w:rPr>
              <w:t>BoP</w:t>
            </w:r>
          </w:p>
        </w:tc>
        <w:tc>
          <w:tcPr>
            <w:tcW w:w="7200" w:type="dxa"/>
            <w:tcMar>
              <w:top w:w="60" w:type="dxa"/>
              <w:left w:w="120" w:type="dxa"/>
              <w:bottom w:w="60" w:type="dxa"/>
              <w:right w:w="120" w:type="dxa"/>
            </w:tcMar>
          </w:tcPr>
          <w:p w14:paraId="01A2001B" w14:textId="77777777" w:rsidR="00000000" w:rsidRDefault="00000000">
            <w:pPr>
              <w:spacing w:before="60" w:after="60"/>
            </w:pPr>
            <w:r>
              <w:rPr>
                <w:rFonts w:asciiTheme="majorHAnsi" w:hAnsiTheme="majorHAnsi" w:cstheme="majorHAnsi"/>
                <w:sz w:val="20"/>
                <w:szCs w:val="20"/>
              </w:rPr>
              <w:t>Balance of Payments – Cán cân Thanh toán Quốc tế</w:t>
            </w:r>
          </w:p>
        </w:tc>
      </w:tr>
      <w:tr w:rsidR="00AA0001" w14:paraId="01A2001C" w14:textId="77777777">
        <w:tc>
          <w:tcPr>
            <w:tcW w:w="2000" w:type="dxa"/>
            <w:shd w:val="clear" w:color="auto" w:fill="DEEAF1"/>
            <w:tcMar>
              <w:top w:w="60" w:type="dxa"/>
              <w:left w:w="120" w:type="dxa"/>
              <w:bottom w:w="60" w:type="dxa"/>
              <w:right w:w="120" w:type="dxa"/>
            </w:tcMar>
          </w:tcPr>
          <w:p w14:paraId="01A2001D" w14:textId="77777777" w:rsidR="00000000" w:rsidRDefault="00000000">
            <w:pPr>
              <w:spacing w:before="60" w:after="60"/>
            </w:pPr>
            <w:r>
              <w:rPr>
                <w:rFonts w:asciiTheme="majorHAnsi" w:hAnsiTheme="majorHAnsi" w:cstheme="majorHAnsi"/>
                <w:b/>
                <w:bCs/>
                <w:sz w:val="20"/>
                <w:szCs w:val="20"/>
              </w:rPr>
              <w:t>BPM6</w:t>
            </w:r>
          </w:p>
        </w:tc>
        <w:tc>
          <w:tcPr>
            <w:tcW w:w="7200" w:type="dxa"/>
            <w:shd w:val="clear" w:color="auto" w:fill="DEEAF1"/>
            <w:tcMar>
              <w:top w:w="60" w:type="dxa"/>
              <w:left w:w="120" w:type="dxa"/>
              <w:bottom w:w="60" w:type="dxa"/>
              <w:right w:w="120" w:type="dxa"/>
            </w:tcMar>
          </w:tcPr>
          <w:p w14:paraId="01A2001E" w14:textId="77777777" w:rsidR="00000000" w:rsidRDefault="00000000">
            <w:pPr>
              <w:spacing w:before="60" w:after="60"/>
            </w:pPr>
            <w:r>
              <w:rPr>
                <w:rFonts w:asciiTheme="majorHAnsi" w:hAnsiTheme="majorHAnsi" w:cstheme="majorHAnsi"/>
                <w:sz w:val="20"/>
                <w:szCs w:val="20"/>
              </w:rPr>
              <w:t>Balance of Payments and International Investment Position Manual, Sixth Edition (IMF, 2009)</w:t>
            </w:r>
          </w:p>
        </w:tc>
      </w:tr>
      <w:tr w:rsidR="00AA0001" w14:paraId="01A2001F" w14:textId="77777777">
        <w:tc>
          <w:tcPr>
            <w:tcW w:w="2000" w:type="dxa"/>
            <w:tcMar>
              <w:top w:w="60" w:type="dxa"/>
              <w:left w:w="120" w:type="dxa"/>
              <w:bottom w:w="60" w:type="dxa"/>
              <w:right w:w="120" w:type="dxa"/>
            </w:tcMar>
          </w:tcPr>
          <w:p w14:paraId="01A20020" w14:textId="77777777" w:rsidR="00000000" w:rsidRDefault="00000000">
            <w:pPr>
              <w:spacing w:before="60" w:after="60"/>
            </w:pPr>
            <w:r>
              <w:rPr>
                <w:rFonts w:asciiTheme="majorHAnsi" w:hAnsiTheme="majorHAnsi" w:cstheme="majorHAnsi"/>
                <w:b/>
                <w:bCs/>
                <w:sz w:val="20"/>
                <w:szCs w:val="20"/>
              </w:rPr>
              <w:t>BRI</w:t>
            </w:r>
          </w:p>
        </w:tc>
        <w:tc>
          <w:tcPr>
            <w:tcW w:w="7200" w:type="dxa"/>
            <w:tcMar>
              <w:top w:w="60" w:type="dxa"/>
              <w:left w:w="120" w:type="dxa"/>
              <w:bottom w:w="60" w:type="dxa"/>
              <w:right w:w="120" w:type="dxa"/>
            </w:tcMar>
          </w:tcPr>
          <w:p w14:paraId="01A20021" w14:textId="77777777" w:rsidR="00000000" w:rsidRDefault="00000000">
            <w:pPr>
              <w:spacing w:before="60" w:after="60"/>
            </w:pPr>
            <w:r>
              <w:rPr>
                <w:rFonts w:asciiTheme="majorHAnsi" w:hAnsiTheme="majorHAnsi" w:cstheme="majorHAnsi"/>
                <w:sz w:val="20"/>
                <w:szCs w:val="20"/>
              </w:rPr>
              <w:t>Belt and Road Initiative – Sáng kiến Vành đai và Con đường (Trung Quốc)</w:t>
            </w:r>
          </w:p>
        </w:tc>
      </w:tr>
      <w:tr w:rsidR="00AA0001" w14:paraId="01A20022" w14:textId="77777777">
        <w:tc>
          <w:tcPr>
            <w:tcW w:w="2000" w:type="dxa"/>
            <w:shd w:val="clear" w:color="auto" w:fill="DEEAF1"/>
            <w:tcMar>
              <w:top w:w="60" w:type="dxa"/>
              <w:left w:w="120" w:type="dxa"/>
              <w:bottom w:w="60" w:type="dxa"/>
              <w:right w:w="120" w:type="dxa"/>
            </w:tcMar>
          </w:tcPr>
          <w:p w14:paraId="01A20023" w14:textId="77777777" w:rsidR="00000000" w:rsidRDefault="00000000">
            <w:pPr>
              <w:spacing w:before="60" w:after="60"/>
            </w:pPr>
            <w:r>
              <w:rPr>
                <w:rFonts w:asciiTheme="majorHAnsi" w:hAnsiTheme="majorHAnsi" w:cstheme="majorHAnsi"/>
                <w:b/>
                <w:bCs/>
                <w:sz w:val="20"/>
                <w:szCs w:val="20"/>
              </w:rPr>
              <w:t>CA</w:t>
            </w:r>
          </w:p>
        </w:tc>
        <w:tc>
          <w:tcPr>
            <w:tcW w:w="7200" w:type="dxa"/>
            <w:shd w:val="clear" w:color="auto" w:fill="DEEAF1"/>
            <w:tcMar>
              <w:top w:w="60" w:type="dxa"/>
              <w:left w:w="120" w:type="dxa"/>
              <w:bottom w:w="60" w:type="dxa"/>
              <w:right w:w="120" w:type="dxa"/>
            </w:tcMar>
          </w:tcPr>
          <w:p w14:paraId="01A20024" w14:textId="77777777" w:rsidR="00000000" w:rsidRDefault="00000000">
            <w:pPr>
              <w:spacing w:before="60" w:after="60"/>
            </w:pPr>
            <w:r>
              <w:rPr>
                <w:rFonts w:asciiTheme="majorHAnsi" w:hAnsiTheme="majorHAnsi" w:cstheme="majorHAnsi"/>
                <w:sz w:val="20"/>
                <w:szCs w:val="20"/>
              </w:rPr>
              <w:t>Current Account – Tài khoản Vãng lai</w:t>
            </w:r>
          </w:p>
        </w:tc>
      </w:tr>
      <w:tr w:rsidR="00AA0001" w14:paraId="01A20025" w14:textId="77777777">
        <w:tc>
          <w:tcPr>
            <w:tcW w:w="2000" w:type="dxa"/>
            <w:tcMar>
              <w:top w:w="60" w:type="dxa"/>
              <w:left w:w="120" w:type="dxa"/>
              <w:bottom w:w="60" w:type="dxa"/>
              <w:right w:w="120" w:type="dxa"/>
            </w:tcMar>
          </w:tcPr>
          <w:p w14:paraId="01A20026" w14:textId="77777777" w:rsidR="00000000" w:rsidRDefault="00000000">
            <w:pPr>
              <w:spacing w:before="60" w:after="60"/>
            </w:pPr>
            <w:r>
              <w:rPr>
                <w:rFonts w:asciiTheme="majorHAnsi" w:hAnsiTheme="majorHAnsi" w:cstheme="majorHAnsi"/>
                <w:b/>
                <w:bCs/>
                <w:sz w:val="20"/>
                <w:szCs w:val="20"/>
              </w:rPr>
              <w:t>CPI</w:t>
            </w:r>
          </w:p>
        </w:tc>
        <w:tc>
          <w:tcPr>
            <w:tcW w:w="7200" w:type="dxa"/>
            <w:tcMar>
              <w:top w:w="60" w:type="dxa"/>
              <w:left w:w="120" w:type="dxa"/>
              <w:bottom w:w="60" w:type="dxa"/>
              <w:right w:w="120" w:type="dxa"/>
            </w:tcMar>
          </w:tcPr>
          <w:p w14:paraId="01A20027" w14:textId="77777777" w:rsidR="00000000" w:rsidRDefault="00000000">
            <w:pPr>
              <w:spacing w:before="60" w:after="60"/>
            </w:pPr>
            <w:r>
              <w:rPr>
                <w:rFonts w:asciiTheme="majorHAnsi" w:hAnsiTheme="majorHAnsi" w:cstheme="majorHAnsi"/>
                <w:sz w:val="20"/>
                <w:szCs w:val="20"/>
              </w:rPr>
              <w:t>Consumer Price Index – Chỉ số Giá tiêu dùng</w:t>
            </w:r>
          </w:p>
        </w:tc>
      </w:tr>
      <w:tr w:rsidR="00AA0001" w14:paraId="01A20028" w14:textId="77777777">
        <w:tc>
          <w:tcPr>
            <w:tcW w:w="2000" w:type="dxa"/>
            <w:shd w:val="clear" w:color="auto" w:fill="DEEAF1"/>
            <w:tcMar>
              <w:top w:w="60" w:type="dxa"/>
              <w:left w:w="120" w:type="dxa"/>
              <w:bottom w:w="60" w:type="dxa"/>
              <w:right w:w="120" w:type="dxa"/>
            </w:tcMar>
          </w:tcPr>
          <w:p w14:paraId="01A20029" w14:textId="77777777" w:rsidR="00000000" w:rsidRDefault="00000000">
            <w:pPr>
              <w:spacing w:before="60" w:after="60"/>
            </w:pPr>
            <w:r>
              <w:rPr>
                <w:rFonts w:asciiTheme="majorHAnsi" w:hAnsiTheme="majorHAnsi" w:cstheme="majorHAnsi"/>
                <w:b/>
                <w:bCs/>
                <w:sz w:val="20"/>
                <w:szCs w:val="20"/>
              </w:rPr>
              <w:t>DSA</w:t>
            </w:r>
          </w:p>
        </w:tc>
        <w:tc>
          <w:tcPr>
            <w:tcW w:w="7200" w:type="dxa"/>
            <w:shd w:val="clear" w:color="auto" w:fill="DEEAF1"/>
            <w:tcMar>
              <w:top w:w="60" w:type="dxa"/>
              <w:left w:w="120" w:type="dxa"/>
              <w:bottom w:w="60" w:type="dxa"/>
              <w:right w:w="120" w:type="dxa"/>
            </w:tcMar>
          </w:tcPr>
          <w:p w14:paraId="01A2002A" w14:textId="77777777" w:rsidR="00000000" w:rsidRDefault="00000000">
            <w:pPr>
              <w:spacing w:before="60" w:after="60"/>
            </w:pPr>
            <w:r>
              <w:rPr>
                <w:rFonts w:asciiTheme="majorHAnsi" w:hAnsiTheme="majorHAnsi" w:cstheme="majorHAnsi"/>
                <w:sz w:val="20"/>
                <w:szCs w:val="20"/>
              </w:rPr>
              <w:t>Debt Sustainability Analysis – Phân tích Tính bền vững Nợ</w:t>
            </w:r>
          </w:p>
        </w:tc>
      </w:tr>
      <w:tr w:rsidR="00AA0001" w14:paraId="01A2002B" w14:textId="77777777">
        <w:tc>
          <w:tcPr>
            <w:tcW w:w="2000" w:type="dxa"/>
            <w:tcMar>
              <w:top w:w="60" w:type="dxa"/>
              <w:left w:w="120" w:type="dxa"/>
              <w:bottom w:w="60" w:type="dxa"/>
              <w:right w:w="120" w:type="dxa"/>
            </w:tcMar>
          </w:tcPr>
          <w:p w14:paraId="01A2002C" w14:textId="77777777" w:rsidR="00000000" w:rsidRDefault="00000000">
            <w:pPr>
              <w:spacing w:before="60" w:after="60"/>
            </w:pPr>
            <w:r>
              <w:rPr>
                <w:rFonts w:asciiTheme="majorHAnsi" w:hAnsiTheme="majorHAnsi" w:cstheme="majorHAnsi"/>
                <w:b/>
                <w:bCs/>
                <w:sz w:val="20"/>
                <w:szCs w:val="20"/>
              </w:rPr>
              <w:t>FA</w:t>
            </w:r>
          </w:p>
        </w:tc>
        <w:tc>
          <w:tcPr>
            <w:tcW w:w="7200" w:type="dxa"/>
            <w:tcMar>
              <w:top w:w="60" w:type="dxa"/>
              <w:left w:w="120" w:type="dxa"/>
              <w:bottom w:w="60" w:type="dxa"/>
              <w:right w:w="120" w:type="dxa"/>
            </w:tcMar>
          </w:tcPr>
          <w:p w14:paraId="01A2002D" w14:textId="77777777" w:rsidR="00000000" w:rsidRDefault="00000000">
            <w:pPr>
              <w:spacing w:before="60" w:after="60"/>
            </w:pPr>
            <w:r>
              <w:rPr>
                <w:rFonts w:asciiTheme="majorHAnsi" w:hAnsiTheme="majorHAnsi" w:cstheme="majorHAnsi"/>
                <w:sz w:val="20"/>
                <w:szCs w:val="20"/>
              </w:rPr>
              <w:t>Financial Account – Tài khoản Tài chính</w:t>
            </w:r>
          </w:p>
        </w:tc>
      </w:tr>
      <w:tr w:rsidR="00AA0001" w14:paraId="01A2002E" w14:textId="77777777">
        <w:tc>
          <w:tcPr>
            <w:tcW w:w="2000" w:type="dxa"/>
            <w:shd w:val="clear" w:color="auto" w:fill="DEEAF1"/>
            <w:tcMar>
              <w:top w:w="60" w:type="dxa"/>
              <w:left w:w="120" w:type="dxa"/>
              <w:bottom w:w="60" w:type="dxa"/>
              <w:right w:w="120" w:type="dxa"/>
            </w:tcMar>
          </w:tcPr>
          <w:p w14:paraId="01A2002F" w14:textId="77777777" w:rsidR="00000000" w:rsidRDefault="00000000">
            <w:pPr>
              <w:spacing w:before="60" w:after="60"/>
            </w:pPr>
            <w:r>
              <w:rPr>
                <w:rFonts w:asciiTheme="majorHAnsi" w:hAnsiTheme="majorHAnsi" w:cstheme="majorHAnsi"/>
                <w:b/>
                <w:bCs/>
                <w:sz w:val="20"/>
                <w:szCs w:val="20"/>
              </w:rPr>
              <w:t>FDI</w:t>
            </w:r>
          </w:p>
        </w:tc>
        <w:tc>
          <w:tcPr>
            <w:tcW w:w="7200" w:type="dxa"/>
            <w:shd w:val="clear" w:color="auto" w:fill="DEEAF1"/>
            <w:tcMar>
              <w:top w:w="60" w:type="dxa"/>
              <w:left w:w="120" w:type="dxa"/>
              <w:bottom w:w="60" w:type="dxa"/>
              <w:right w:w="120" w:type="dxa"/>
            </w:tcMar>
          </w:tcPr>
          <w:p w14:paraId="01A20030" w14:textId="77777777" w:rsidR="00000000" w:rsidRDefault="00000000">
            <w:pPr>
              <w:spacing w:before="60" w:after="60"/>
            </w:pPr>
            <w:r>
              <w:rPr>
                <w:rFonts w:asciiTheme="majorHAnsi" w:hAnsiTheme="majorHAnsi" w:cstheme="majorHAnsi"/>
                <w:sz w:val="20"/>
                <w:szCs w:val="20"/>
              </w:rPr>
              <w:t>Foreign Direct Investment – Đầu tư Trực tiếp Nước ngoài</w:t>
            </w:r>
          </w:p>
        </w:tc>
      </w:tr>
      <w:tr w:rsidR="00AA0001" w14:paraId="01A20031" w14:textId="77777777">
        <w:tc>
          <w:tcPr>
            <w:tcW w:w="2000" w:type="dxa"/>
            <w:tcMar>
              <w:top w:w="60" w:type="dxa"/>
              <w:left w:w="120" w:type="dxa"/>
              <w:bottom w:w="60" w:type="dxa"/>
              <w:right w:w="120" w:type="dxa"/>
            </w:tcMar>
          </w:tcPr>
          <w:p w14:paraId="01A20032" w14:textId="77777777" w:rsidR="00000000" w:rsidRDefault="00000000">
            <w:pPr>
              <w:spacing w:before="60" w:after="60"/>
            </w:pPr>
            <w:r>
              <w:rPr>
                <w:rFonts w:asciiTheme="majorHAnsi" w:hAnsiTheme="majorHAnsi" w:cstheme="majorHAnsi"/>
                <w:b/>
                <w:bCs/>
                <w:sz w:val="20"/>
                <w:szCs w:val="20"/>
              </w:rPr>
              <w:t>GDP</w:t>
            </w:r>
          </w:p>
        </w:tc>
        <w:tc>
          <w:tcPr>
            <w:tcW w:w="7200" w:type="dxa"/>
            <w:tcMar>
              <w:top w:w="60" w:type="dxa"/>
              <w:left w:w="120" w:type="dxa"/>
              <w:bottom w:w="60" w:type="dxa"/>
              <w:right w:w="120" w:type="dxa"/>
            </w:tcMar>
          </w:tcPr>
          <w:p w14:paraId="01A20033" w14:textId="77777777" w:rsidR="00000000" w:rsidRDefault="00000000">
            <w:pPr>
              <w:spacing w:before="60" w:after="60"/>
            </w:pPr>
            <w:r>
              <w:rPr>
                <w:rFonts w:asciiTheme="majorHAnsi" w:hAnsiTheme="majorHAnsi" w:cstheme="majorHAnsi"/>
                <w:sz w:val="20"/>
                <w:szCs w:val="20"/>
              </w:rPr>
              <w:t>Gross Domestic Product – Tổng sản phẩm Quốc nội</w:t>
            </w:r>
          </w:p>
        </w:tc>
      </w:tr>
      <w:tr w:rsidR="00AA0001" w14:paraId="01A20034" w14:textId="77777777">
        <w:tc>
          <w:tcPr>
            <w:tcW w:w="2000" w:type="dxa"/>
            <w:shd w:val="clear" w:color="auto" w:fill="DEEAF1"/>
            <w:tcMar>
              <w:top w:w="60" w:type="dxa"/>
              <w:left w:w="120" w:type="dxa"/>
              <w:bottom w:w="60" w:type="dxa"/>
              <w:right w:w="120" w:type="dxa"/>
            </w:tcMar>
          </w:tcPr>
          <w:p w14:paraId="01A20035" w14:textId="77777777" w:rsidR="00000000" w:rsidRDefault="00000000">
            <w:pPr>
              <w:spacing w:before="60" w:after="60"/>
            </w:pPr>
            <w:r>
              <w:rPr>
                <w:rFonts w:asciiTheme="majorHAnsi" w:hAnsiTheme="majorHAnsi" w:cstheme="majorHAnsi"/>
                <w:b/>
                <w:bCs/>
                <w:sz w:val="20"/>
                <w:szCs w:val="20"/>
              </w:rPr>
              <w:t>IMF</w:t>
            </w:r>
          </w:p>
        </w:tc>
        <w:tc>
          <w:tcPr>
            <w:tcW w:w="7200" w:type="dxa"/>
            <w:shd w:val="clear" w:color="auto" w:fill="DEEAF1"/>
            <w:tcMar>
              <w:top w:w="60" w:type="dxa"/>
              <w:left w:w="120" w:type="dxa"/>
              <w:bottom w:w="60" w:type="dxa"/>
              <w:right w:w="120" w:type="dxa"/>
            </w:tcMar>
          </w:tcPr>
          <w:p w14:paraId="01A20036" w14:textId="77777777" w:rsidR="00000000" w:rsidRDefault="00000000">
            <w:pPr>
              <w:spacing w:before="60" w:after="60"/>
            </w:pPr>
            <w:r>
              <w:rPr>
                <w:rFonts w:asciiTheme="majorHAnsi" w:hAnsiTheme="majorHAnsi" w:cstheme="majorHAnsi"/>
                <w:sz w:val="20"/>
                <w:szCs w:val="20"/>
              </w:rPr>
              <w:t>International Monetary Fund – Quỹ Tiền tệ Quốc tế</w:t>
            </w:r>
          </w:p>
        </w:tc>
      </w:tr>
      <w:tr w:rsidR="00AA0001" w14:paraId="01A20037" w14:textId="77777777">
        <w:tc>
          <w:tcPr>
            <w:tcW w:w="2000" w:type="dxa"/>
            <w:tcMar>
              <w:top w:w="60" w:type="dxa"/>
              <w:left w:w="120" w:type="dxa"/>
              <w:bottom w:w="60" w:type="dxa"/>
              <w:right w:w="120" w:type="dxa"/>
            </w:tcMar>
          </w:tcPr>
          <w:p w14:paraId="01A20038" w14:textId="77777777" w:rsidR="00000000" w:rsidRDefault="00000000">
            <w:pPr>
              <w:spacing w:before="60" w:after="60"/>
            </w:pPr>
            <w:r>
              <w:rPr>
                <w:rFonts w:asciiTheme="majorHAnsi" w:hAnsiTheme="majorHAnsi" w:cstheme="majorHAnsi"/>
                <w:b/>
                <w:bCs/>
                <w:sz w:val="20"/>
                <w:szCs w:val="20"/>
              </w:rPr>
              <w:t>KA</w:t>
            </w:r>
          </w:p>
        </w:tc>
        <w:tc>
          <w:tcPr>
            <w:tcW w:w="7200" w:type="dxa"/>
            <w:tcMar>
              <w:top w:w="60" w:type="dxa"/>
              <w:left w:w="120" w:type="dxa"/>
              <w:bottom w:w="60" w:type="dxa"/>
              <w:right w:w="120" w:type="dxa"/>
            </w:tcMar>
          </w:tcPr>
          <w:p w14:paraId="01A20039" w14:textId="77777777" w:rsidR="00000000" w:rsidRDefault="00000000">
            <w:pPr>
              <w:spacing w:before="60" w:after="60"/>
            </w:pPr>
            <w:r>
              <w:rPr>
                <w:rFonts w:asciiTheme="majorHAnsi" w:hAnsiTheme="majorHAnsi" w:cstheme="majorHAnsi"/>
                <w:sz w:val="20"/>
                <w:szCs w:val="20"/>
              </w:rPr>
              <w:t>Capital Account – Tài khoản Vốn</w:t>
            </w:r>
          </w:p>
        </w:tc>
      </w:tr>
      <w:tr w:rsidR="00AA0001" w14:paraId="01A2003A" w14:textId="77777777">
        <w:tc>
          <w:tcPr>
            <w:tcW w:w="2000" w:type="dxa"/>
            <w:shd w:val="clear" w:color="auto" w:fill="DEEAF1"/>
            <w:tcMar>
              <w:top w:w="60" w:type="dxa"/>
              <w:left w:w="120" w:type="dxa"/>
              <w:bottom w:w="60" w:type="dxa"/>
              <w:right w:w="120" w:type="dxa"/>
            </w:tcMar>
          </w:tcPr>
          <w:p w14:paraId="01A2003B" w14:textId="77777777" w:rsidR="00000000" w:rsidRDefault="00000000">
            <w:pPr>
              <w:spacing w:before="60" w:after="60"/>
            </w:pPr>
            <w:r>
              <w:rPr>
                <w:rFonts w:asciiTheme="majorHAnsi" w:hAnsiTheme="majorHAnsi" w:cstheme="majorHAnsi"/>
                <w:b/>
                <w:bCs/>
                <w:sz w:val="20"/>
                <w:szCs w:val="20"/>
              </w:rPr>
              <w:t>LAK</w:t>
            </w:r>
          </w:p>
        </w:tc>
        <w:tc>
          <w:tcPr>
            <w:tcW w:w="7200" w:type="dxa"/>
            <w:shd w:val="clear" w:color="auto" w:fill="DEEAF1"/>
            <w:tcMar>
              <w:top w:w="60" w:type="dxa"/>
              <w:left w:w="120" w:type="dxa"/>
              <w:bottom w:w="60" w:type="dxa"/>
              <w:right w:w="120" w:type="dxa"/>
            </w:tcMar>
          </w:tcPr>
          <w:p w14:paraId="01A2003C" w14:textId="77777777" w:rsidR="00000000" w:rsidRDefault="00000000">
            <w:pPr>
              <w:spacing w:before="60" w:after="60"/>
            </w:pPr>
            <w:r>
              <w:rPr>
                <w:rFonts w:asciiTheme="majorHAnsi" w:hAnsiTheme="majorHAnsi" w:cstheme="majorHAnsi"/>
                <w:sz w:val="20"/>
                <w:szCs w:val="20"/>
              </w:rPr>
              <w:t>Lao Kip – Đồng Kip (đồng tiền Quốc gia Lào)</w:t>
            </w:r>
          </w:p>
        </w:tc>
      </w:tr>
      <w:tr w:rsidR="00AA0001" w14:paraId="01A2003D" w14:textId="77777777">
        <w:tc>
          <w:tcPr>
            <w:tcW w:w="2000" w:type="dxa"/>
            <w:tcMar>
              <w:top w:w="60" w:type="dxa"/>
              <w:left w:w="120" w:type="dxa"/>
              <w:bottom w:w="60" w:type="dxa"/>
              <w:right w:w="120" w:type="dxa"/>
            </w:tcMar>
          </w:tcPr>
          <w:p w14:paraId="01A2003E" w14:textId="77777777" w:rsidR="00000000" w:rsidRDefault="00000000">
            <w:pPr>
              <w:spacing w:before="60" w:after="60"/>
            </w:pPr>
            <w:r>
              <w:rPr>
                <w:rFonts w:asciiTheme="majorHAnsi" w:hAnsiTheme="majorHAnsi" w:cstheme="majorHAnsi"/>
                <w:b/>
                <w:bCs/>
                <w:sz w:val="20"/>
                <w:szCs w:val="20"/>
              </w:rPr>
              <w:t>LEM</w:t>
            </w:r>
          </w:p>
        </w:tc>
        <w:tc>
          <w:tcPr>
            <w:tcW w:w="7200" w:type="dxa"/>
            <w:tcMar>
              <w:top w:w="60" w:type="dxa"/>
              <w:left w:w="120" w:type="dxa"/>
              <w:bottom w:w="60" w:type="dxa"/>
              <w:right w:w="120" w:type="dxa"/>
            </w:tcMar>
          </w:tcPr>
          <w:p w14:paraId="01A2003F" w14:textId="77777777" w:rsidR="00000000" w:rsidRDefault="00000000">
            <w:pPr>
              <w:spacing w:before="60" w:after="60"/>
            </w:pPr>
            <w:r>
              <w:rPr>
                <w:rFonts w:asciiTheme="majorHAnsi" w:hAnsiTheme="majorHAnsi" w:cstheme="majorHAnsi"/>
                <w:sz w:val="20"/>
                <w:szCs w:val="20"/>
              </w:rPr>
              <w:t>Lao Economic Monitor – Báo cáo Kinh tế Lào (World Bank)</w:t>
            </w:r>
          </w:p>
        </w:tc>
      </w:tr>
      <w:tr w:rsidR="00AA0001" w14:paraId="01A20040" w14:textId="77777777">
        <w:tc>
          <w:tcPr>
            <w:tcW w:w="2000" w:type="dxa"/>
            <w:shd w:val="clear" w:color="auto" w:fill="DEEAF1"/>
            <w:tcMar>
              <w:top w:w="60" w:type="dxa"/>
              <w:left w:w="120" w:type="dxa"/>
              <w:bottom w:w="60" w:type="dxa"/>
              <w:right w:w="120" w:type="dxa"/>
            </w:tcMar>
          </w:tcPr>
          <w:p w14:paraId="01A20041" w14:textId="77777777" w:rsidR="00000000" w:rsidRDefault="00000000">
            <w:pPr>
              <w:spacing w:before="60" w:after="60"/>
            </w:pPr>
            <w:r>
              <w:rPr>
                <w:rFonts w:asciiTheme="majorHAnsi" w:hAnsiTheme="majorHAnsi" w:cstheme="majorHAnsi"/>
                <w:b/>
                <w:bCs/>
                <w:sz w:val="20"/>
                <w:szCs w:val="20"/>
              </w:rPr>
              <w:t>LNCCI</w:t>
            </w:r>
          </w:p>
        </w:tc>
        <w:tc>
          <w:tcPr>
            <w:tcW w:w="7200" w:type="dxa"/>
            <w:shd w:val="clear" w:color="auto" w:fill="DEEAF1"/>
            <w:tcMar>
              <w:top w:w="60" w:type="dxa"/>
              <w:left w:w="120" w:type="dxa"/>
              <w:bottom w:w="60" w:type="dxa"/>
              <w:right w:w="120" w:type="dxa"/>
            </w:tcMar>
          </w:tcPr>
          <w:p w14:paraId="01A20042" w14:textId="77777777" w:rsidR="00000000" w:rsidRDefault="00000000">
            <w:pPr>
              <w:spacing w:before="60" w:after="60"/>
            </w:pPr>
            <w:r>
              <w:rPr>
                <w:rFonts w:asciiTheme="majorHAnsi" w:hAnsiTheme="majorHAnsi" w:cstheme="majorHAnsi"/>
                <w:sz w:val="20"/>
                <w:szCs w:val="20"/>
              </w:rPr>
              <w:t>Lao National Chamber of Commerce and Industry – Phòng ThưЗng mại và Công nghiệp Quốc gia Lào</w:t>
            </w:r>
          </w:p>
        </w:tc>
      </w:tr>
      <w:tr w:rsidR="00AA0001" w14:paraId="01A20043" w14:textId="77777777">
        <w:tc>
          <w:tcPr>
            <w:tcW w:w="2000" w:type="dxa"/>
            <w:tcMar>
              <w:top w:w="60" w:type="dxa"/>
              <w:left w:w="120" w:type="dxa"/>
              <w:bottom w:w="60" w:type="dxa"/>
              <w:right w:w="120" w:type="dxa"/>
            </w:tcMar>
          </w:tcPr>
          <w:p w14:paraId="01A20044" w14:textId="77777777" w:rsidR="00000000" w:rsidRDefault="00000000">
            <w:pPr>
              <w:spacing w:before="60" w:after="60"/>
            </w:pPr>
            <w:r>
              <w:rPr>
                <w:rFonts w:asciiTheme="majorHAnsi" w:hAnsiTheme="majorHAnsi" w:cstheme="majorHAnsi"/>
                <w:b/>
                <w:bCs/>
                <w:sz w:val="20"/>
                <w:szCs w:val="20"/>
              </w:rPr>
              <w:t>PPG</w:t>
            </w:r>
          </w:p>
        </w:tc>
        <w:tc>
          <w:tcPr>
            <w:tcW w:w="7200" w:type="dxa"/>
            <w:tcMar>
              <w:top w:w="60" w:type="dxa"/>
              <w:left w:w="120" w:type="dxa"/>
              <w:bottom w:w="60" w:type="dxa"/>
              <w:right w:w="120" w:type="dxa"/>
            </w:tcMar>
          </w:tcPr>
          <w:p w14:paraId="01A20045" w14:textId="77777777" w:rsidR="00000000" w:rsidRDefault="00000000">
            <w:pPr>
              <w:spacing w:before="60" w:after="60"/>
            </w:pPr>
            <w:r>
              <w:rPr>
                <w:rFonts w:asciiTheme="majorHAnsi" w:hAnsiTheme="majorHAnsi" w:cstheme="majorHAnsi"/>
                <w:sz w:val="20"/>
                <w:szCs w:val="20"/>
              </w:rPr>
              <w:t>Public and Publicly Guaranteed (Debt) – Nợ Công và Nợ được Nhà nước bảo lãnh</w:t>
            </w:r>
          </w:p>
        </w:tc>
      </w:tr>
      <w:tr w:rsidR="00AA0001" w14:paraId="01A20046" w14:textId="77777777">
        <w:tc>
          <w:tcPr>
            <w:tcW w:w="2000" w:type="dxa"/>
            <w:shd w:val="clear" w:color="auto" w:fill="DEEAF1"/>
            <w:tcMar>
              <w:top w:w="60" w:type="dxa"/>
              <w:left w:w="120" w:type="dxa"/>
              <w:bottom w:w="60" w:type="dxa"/>
              <w:right w:w="120" w:type="dxa"/>
            </w:tcMar>
          </w:tcPr>
          <w:p w14:paraId="01A20047" w14:textId="77777777" w:rsidR="00000000" w:rsidRDefault="00000000">
            <w:pPr>
              <w:spacing w:before="60" w:after="60"/>
            </w:pPr>
            <w:r>
              <w:rPr>
                <w:rFonts w:asciiTheme="majorHAnsi" w:hAnsiTheme="majorHAnsi" w:cstheme="majorHAnsi"/>
                <w:b/>
                <w:bCs/>
                <w:sz w:val="20"/>
                <w:szCs w:val="20"/>
              </w:rPr>
              <w:t>USD</w:t>
            </w:r>
          </w:p>
        </w:tc>
        <w:tc>
          <w:tcPr>
            <w:tcW w:w="7200" w:type="dxa"/>
            <w:shd w:val="clear" w:color="auto" w:fill="DEEAF1"/>
            <w:tcMar>
              <w:top w:w="60" w:type="dxa"/>
              <w:left w:w="120" w:type="dxa"/>
              <w:bottom w:w="60" w:type="dxa"/>
              <w:right w:w="120" w:type="dxa"/>
            </w:tcMar>
          </w:tcPr>
          <w:p w14:paraId="01A20048" w14:textId="77777777" w:rsidR="00000000" w:rsidRDefault="00000000">
            <w:pPr>
              <w:spacing w:before="60" w:after="60"/>
            </w:pPr>
            <w:r>
              <w:rPr>
                <w:rFonts w:asciiTheme="majorHAnsi" w:hAnsiTheme="majorHAnsi" w:cstheme="majorHAnsi"/>
                <w:sz w:val="20"/>
                <w:szCs w:val="20"/>
              </w:rPr>
              <w:t>United States Dollar – Đồng đô la Mỹ</w:t>
            </w:r>
          </w:p>
        </w:tc>
      </w:tr>
      <w:tr w:rsidR="00AA0001" w14:paraId="01A20049" w14:textId="77777777">
        <w:tc>
          <w:tcPr>
            <w:tcW w:w="2000" w:type="dxa"/>
            <w:tcMar>
              <w:top w:w="60" w:type="dxa"/>
              <w:left w:w="120" w:type="dxa"/>
              <w:bottom w:w="60" w:type="dxa"/>
              <w:right w:w="120" w:type="dxa"/>
            </w:tcMar>
          </w:tcPr>
          <w:p w14:paraId="01A2004A" w14:textId="77777777" w:rsidR="00000000" w:rsidRDefault="00000000">
            <w:pPr>
              <w:spacing w:before="60" w:after="60"/>
            </w:pPr>
            <w:r>
              <w:rPr>
                <w:rFonts w:asciiTheme="majorHAnsi" w:hAnsiTheme="majorHAnsi" w:cstheme="majorHAnsi"/>
                <w:b/>
                <w:bCs/>
                <w:sz w:val="20"/>
                <w:szCs w:val="20"/>
              </w:rPr>
              <w:t>WEO</w:t>
            </w:r>
          </w:p>
        </w:tc>
        <w:tc>
          <w:tcPr>
            <w:tcW w:w="7200" w:type="dxa"/>
            <w:tcMar>
              <w:top w:w="60" w:type="dxa"/>
              <w:left w:w="120" w:type="dxa"/>
              <w:bottom w:w="60" w:type="dxa"/>
              <w:right w:w="120" w:type="dxa"/>
            </w:tcMar>
          </w:tcPr>
          <w:p w14:paraId="01A2004B" w14:textId="77777777" w:rsidR="00000000" w:rsidRDefault="00000000">
            <w:pPr>
              <w:spacing w:before="60" w:after="60"/>
            </w:pPr>
            <w:r>
              <w:rPr>
                <w:rFonts w:asciiTheme="majorHAnsi" w:hAnsiTheme="majorHAnsi" w:cstheme="majorHAnsi"/>
                <w:sz w:val="20"/>
                <w:szCs w:val="20"/>
              </w:rPr>
              <w:t>World Economic Outlook – Triển vọng Kinh tế Thế giới (IMF)</w:t>
            </w:r>
          </w:p>
        </w:tc>
      </w:tr>
    </w:tbl>
    <w:p w14:paraId="1B57F448" w14:textId="4AFC3305" w:rsidR="0083092D" w:rsidRPr="00700116" w:rsidRDefault="00000000" w:rsidP="0069632C">
      <w:pPr>
        <w:spacing w:before="60" w:after="60" w:line="360" w:lineRule="auto"/>
        <w:rPr>
          <w:rFonts w:asciiTheme="majorHAnsi" w:hAnsiTheme="majorHAnsi" w:cstheme="majorHAnsi"/>
        </w:rPr>
      </w:pPr>
      <w:r>
        <w:rPr>
          <w:rFonts w:asciiTheme="majorHAnsi" w:hAnsiTheme="majorHAnsi" w:cstheme="majorHAnsi"/>
          <w:sz w:val="26"/>
          <w:szCs w:val="26"/>
        </w:rPr>
        <w:br w:type="page"/>
      </w:r>
    </w:p>
    <w:p w14:paraId="18433CC2"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I. MỞ ĐẦU</w:t>
      </w:r>
    </w:p>
    <w:p w14:paraId="667EA6B5"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1.1. Tính cấp thiết của chủ đề</w:t>
      </w:r>
    </w:p>
    <w:p w14:paraId="23CE4B7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Cán cân thanh toán quốc tế (Balance of Payments – BoP) là công cụ kế toán vĩ mô ghi chép toàn bộ giao dịch kinh tế giữa người cư trú và không cư trú trong một năm. Theo BPM6 (IMF, 2009), BoP gồm tài khoản vãng lai (CA), tài khoản tài chính (FA) và tài khoản vốn (KA), với biến động dự trữ ngoại hối là bộ đệm điều chỉnh cuối cùng. Khi BoP suy giảm kéo dài, hệ quả tất yếu là: dự trữ ngoại hối cạn kiệt → tỷ giá mất giá → lạm phát nhập khẩu leo thang → gánh nặng nợ ngoại tệ tăng → bất ổn kinh tế vĩ mô toàn diện. Đại dịch COVID-19 (2020–2022) là cú sốc ngoại sinh lớn nhất kể từ Khủng hoảng Tài chính Toàn cầu 2008–2009, không tạo ra điểm yếu mới mà là chất xúc tác phơi bày và khuếch đại các bất cân đối cơ cấu đã tích tụ từ trước – đặc biệt với các nền kinh tế nhỏ phụ thuộc tài nguyên và vốn nước ngoài như Lào.</w:t>
      </w:r>
    </w:p>
    <w:p w14:paraId="065B7D89"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1.2. Lý do lựa chọn Lào</w:t>
      </w:r>
    </w:p>
    <w:p w14:paraId="7EEBAC1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Cộng hòa Dân chủ Nhân dân Lào là trường hợp nghiên cứu đặc biệt có giá trị khoa học trong bối cảnh hậu COVID-19 vì ba lý do chính:</w:t>
      </w:r>
    </w:p>
    <w:p w14:paraId="0A1B2C3D"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nhất,</w:t>
      </w:r>
      <w:r>
        <w:rPr>
          <w:rFonts w:asciiTheme="majorHAnsi" w:hAnsiTheme="majorHAnsi" w:cstheme="majorHAnsi"/>
          <w:sz w:val="26"/>
          <w:szCs w:val="26"/>
        </w:rPr>
        <w:t xml:space="preserve"> Lào là quốc gia không giáp biển duy nhất tại ASEAN, với cơ cấu kinh tế tập trung vào tài nguyên thiên nhiên (thủy điện, khoáng sản) và du lịch – hai lĩnh vực vô cùng nhạy cảm với gián đoạn chuỗi cung ứng và phong tỏa biên giới.</w:t>
      </w:r>
    </w:p>
    <w:p w14:paraId="0A1B2C3E"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hai,</w:t>
      </w:r>
      <w:r>
        <w:rPr>
          <w:rFonts w:asciiTheme="majorHAnsi" w:hAnsiTheme="majorHAnsi" w:cstheme="majorHAnsi"/>
          <w:sz w:val="26"/>
          <w:szCs w:val="26"/>
        </w:rPr>
        <w:t xml:space="preserve"> gánh nặng nợ đối ngoại của Lào đã ở mức đáng lo ngại ngay trước khi đại dịch xảy ra (nợ PPG ~72% GDP năm 2019), khiến các cú sốc bên ngoài có biên độ tác động lớn hơn nhiều so với các quốc gia có dư địa tài khóa tốt hơn.</w:t>
      </w:r>
    </w:p>
    <w:p w14:paraId="0A1B2C3F"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ba,</w:t>
      </w:r>
      <w:r>
        <w:rPr>
          <w:rFonts w:asciiTheme="majorHAnsi" w:hAnsiTheme="majorHAnsi" w:cstheme="majorHAnsi"/>
          <w:sz w:val="26"/>
          <w:szCs w:val="26"/>
        </w:rPr>
        <w:t xml:space="preserve"> Lào hiện là một trong số ít quốc gia ASEAN bị IMF và World Bank xếp vào tình trạng ‘debt distress – unsustainable’ (2023–2024), biến quá trình phục hồi BoP của Lào thành bài kiểm tra thực tiễn về năng lực cải cách của một nền kinh tế nhỏ trong kỷ nguyên tái cấu trúc nợ toàn cầu.</w:t>
      </w:r>
    </w:p>
    <w:p w14:paraId="3236A8FB"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1.3. Mục tiêu và câu hỏi nghiên cứu</w:t>
      </w:r>
    </w:p>
    <w:p w14:paraId="75FD73E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Bài tiểu luận theo đuổi ba mục tiêu cụ thể:</w:t>
      </w:r>
    </w:p>
    <w:p w14:paraId="0B1C2D3E"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①</w:t>
      </w:r>
      <w:r>
        <w:rPr>
          <w:rFonts w:asciiTheme="majorHAnsi" w:hAnsiTheme="majorHAnsi" w:cstheme="majorHAnsi"/>
          <w:sz w:val="26"/>
          <w:szCs w:val="26"/>
        </w:rPr>
        <w:t xml:space="preserve"> Phân tích có hệ thống các thành phần BoP của Lào giai đoạn 2018–2024, xác định xu hướng và ngưỡng biến đổi có ý nghĩa.</w:t>
      </w:r>
    </w:p>
    <w:p w14:paraId="0B1C2D3F"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②</w:t>
      </w:r>
      <w:r>
        <w:rPr>
          <w:rFonts w:asciiTheme="majorHAnsi" w:hAnsiTheme="majorHAnsi" w:cstheme="majorHAnsi"/>
          <w:sz w:val="26"/>
          <w:szCs w:val="26"/>
        </w:rPr>
        <w:t xml:space="preserve"> Giải thích cơ chế nhân quả dẫn đến suy giảm BoP, phân biệt rõ tác động của COVID-19 (cú sốc ngoại sinh ngắn hạn) với các điểm yếu cơ cấu nội tại (nguyên nhân trung và dài hạn).</w:t>
      </w:r>
    </w:p>
    <w:p w14:paraId="0B1C2D40"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③</w:t>
      </w:r>
      <w:r>
        <w:rPr>
          <w:rFonts w:asciiTheme="majorHAnsi" w:hAnsiTheme="majorHAnsi" w:cstheme="majorHAnsi"/>
          <w:sz w:val="26"/>
          <w:szCs w:val="26"/>
        </w:rPr>
        <w:t xml:space="preserve"> Đánh giá triển vọng phục hồi và khuyến nghị hàm ý chính sách dựa trên bằng chứng thực nghiệm đến năm 2024.</w:t>
      </w:r>
    </w:p>
    <w:p w14:paraId="17556DFF"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Câu hỏi nghiên cứu trung tâm:</w:t>
      </w:r>
      <w:r>
        <w:rPr>
          <w:rFonts w:asciiTheme="majorHAnsi" w:hAnsiTheme="majorHAnsi" w:cstheme="majorHAnsi"/>
          <w:sz w:val="26"/>
          <w:szCs w:val="26"/>
        </w:rPr>
        <w:t xml:space="preserve"> COVID-19 ảnh hưởng như thế nào đến từng thành phần của BoP Lào, và đến năm 2024 quá trình phục hồi đã đạt được đến mức độ nào?</w:t>
      </w:r>
    </w:p>
    <w:p w14:paraId="43697EEB"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1.4. Phương pháp và dữ liệu</w:t>
      </w:r>
    </w:p>
    <w:p w14:paraId="49E0E7D0" w14:textId="29FFB823"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Bài viết sử dụng phương pháp phân tích định lượng mô tả kết hợp với phân tích định tính thể chế. Bộ số liệu được tổng hợp từ các nguồn chính thức có độ tin cậy cao nhất: IMF Article IV Consultation (2024, 2025), World Bank Lao Economic Monitor (tháng 10/2024), Bank of the Lao PDR, LNCCI (tháng 02/2025), AMRO Annual Consultation Report on Lao PDR (2024), CEIC Data, FocusEconomics và ADB Key Indicators (2024). Khung phân tích lý thuyết dựa trên IMF BPM6 (2009) và ba tiếp cận lý thuyết kinh tế học quốc tế cổ điển: co giãn, hấp thụ và tiền tệ.</w:t>
        <w:br w:type="page"/>
      </w:r>
      <w:r>
        <w:rPr>
          <w:rFonts w:asciiTheme="majorHAnsi" w:hAnsiTheme="majorHAnsi" w:cstheme="majorHAnsi"/>
          <w:b/>
          <w:bCs/>
          <w:color w:val="1F4E79"/>
          <w:sz w:val="26"/>
          <w:szCs w:val="26"/>
        </w:rPr>
        <w:lastRenderedPageBreak/>
        <w:t>II. CƠ SỞ LÝ THUYẾT VỀ CÁN CÂN THANH TOÁN QUỐC TẾ (BoP)</w:t>
      </w:r>
    </w:p>
    <w:p w14:paraId="5429E7B5"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2.1. Định nghĩa và cấu trúc theo BPM6</w:t>
      </w:r>
    </w:p>
    <w:p w14:paraId="66AB00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IMF BPM6 (2009), BoP là bản ghi chép có hệ thống tất cả giao dịch kinh tế giữa người cư trú và người không cư trú trong một khoảng thời gian nhất định. BoP gồm ba thành phần cấu trúc chính:</w:t>
      </w:r>
    </w:p>
    <w:p w14:paraId="0F1A2B3C" w14:textId="77777777" w:rsidR="0083092D" w:rsidRDefault="00000000" w:rsidP="0069632C">
      <w:pPr>
        <w:spacing w:before="60" w:after="60" w:line="360" w:lineRule="auto"/>
        <w:jc w:val="center"/>
        <w:rPr>
          <w:rFonts w:asciiTheme="majorHAnsi" w:hAnsiTheme="majorHAnsi" w:cstheme="majorHAnsi"/>
          <w:sz w:val="26"/>
          <w:szCs w:val="26"/>
        </w:rPr>
      </w:pPr>
      <w:r>
        <w:rPr>
          <w:rFonts w:ascii="Cambria Math" w:hAnsi="Cambria Math"/>
          <w:sz w:val="26"/>
          <w:szCs w:val="26"/>
        </w:rPr>
        <w:t>BoP = CA + KA + FA + ΔReserves = 0</w:t>
      </w:r>
    </w:p>
    <w:p w14:paraId="0F1A2B3D" w14:textId="77777777" w:rsidR="0083092D" w:rsidRDefault="00000000" w:rsidP="0069632C">
      <w:pPr>
        <w:spacing w:before="60" w:after="60" w:line="360" w:lineRule="auto"/>
        <w:jc w:val="both"/>
        <w:rPr>
          <w:rFonts w:asciiTheme="majorHAnsi" w:hAnsiTheme="majorHAnsi" w:cstheme="majorHAnsi"/>
          <w:sz w:val="24"/>
          <w:szCs w:val="24"/>
          <w:i/>
          <w:iCs/>
        </w:rPr>
      </w:pPr>
      <w:r>
        <w:rPr>
          <w:rFonts w:asciiTheme="majorHAnsi" w:hAnsiTheme="majorHAnsi" w:cstheme="majorHAnsi"/>
          <w:sz w:val="24"/>
          <w:szCs w:val="24"/>
          <w:i/>
          <w:iCs/>
        </w:rPr>
        <w:t>Trong đó: CA = Tài khoản vãng lai; KA = Tài khoản vốn; FA = Tài khoản tài chính; ΔReserves = Biến động dự trữ ngoại hối chính thức. Theo nguyên tắc bút toán kép, tổng đại số bằng 0, nhưng thực tế tồn tại sai số thống kê (Errors &amp; Omissions – E&amp;O).</w:t>
      </w:r>
    </w:p>
    <w:p w14:paraId="492F5D6E"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 Tài khoản vãng lai (Current Account – CA):</w:t>
      </w:r>
      <w:r>
        <w:rPr>
          <w:rFonts w:asciiTheme="majorHAnsi" w:hAnsiTheme="majorHAnsi" w:cstheme="majorHAnsi"/>
          <w:sz w:val="26"/>
          <w:szCs w:val="26"/>
        </w:rPr>
        <w:t xml:space="preserve"> Ghi nhận xuất nhập khẩu hàng hóa hữu hình, thương mại dịch vụ (du lịch, vận tải, tài chính), thu nhập sơ cấp (tiền lương lao động nước ngoài, lãi vay, cổ tức) và thu nhập thứ cấp (kiều hối, viện trợ không hoàn lại). CA phản ánh khả năng cạnh tranh thương mại và cơ cấu thu nhập từ nước ngoài.</w:t>
      </w:r>
    </w:p>
    <w:p w14:paraId="39200E1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 Tài khoản tài chính (Financial Account – FA):</w:t>
      </w:r>
      <w:r>
        <w:rPr>
          <w:rFonts w:asciiTheme="majorHAnsi" w:hAnsiTheme="majorHAnsi" w:cstheme="majorHAnsi"/>
          <w:sz w:val="26"/>
          <w:szCs w:val="26"/>
        </w:rPr>
        <w:t xml:space="preserve"> Ghi nhận dòng vốn FDI, đầu tư gián tiếp (FPI), công cụ tài chính phái sinh và các khoản vay nợ song phương/đa phương. Đây là kênh tài trợ chính cho thâm hụt CA.</w:t>
      </w:r>
    </w:p>
    <w:p w14:paraId="1DC96CF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 Tài khoản vốn (Capital Account – KA):</w:t>
      </w:r>
      <w:r>
        <w:rPr>
          <w:rFonts w:asciiTheme="majorHAnsi" w:hAnsiTheme="majorHAnsi" w:cstheme="majorHAnsi"/>
          <w:sz w:val="26"/>
          <w:szCs w:val="26"/>
        </w:rPr>
        <w:t xml:space="preserve"> Thường có giá trị nhỏ, ghi nhận chuyển giao tài sản phi tài chính phi sản xuất. Đối với Lào, tài khoản vốn có vai trò hạn chế trong tổng BoP.</w:t>
      </w:r>
    </w:p>
    <w:p w14:paraId="5366D73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Về mặt kế toán, tổng BoP = 0 theo nguyên tắc bút toán kép. Tuy nhiên, thực tế tồn tại sai số thống kê (errors and omissions), và biến động dự trữ ngoại hối chính thức đóng vai trò bộ đệm điều chỉnh cuối cùng. Đây là lý do các nhà phân tích tập trung vào biến động dự trữ như chỉ báo cảnh báo sớm nhạy cảm nhất.</w:t>
      </w:r>
    </w:p>
    <w:p w14:paraId="2B5B2064"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2.2. Ba tiếp cận lý thuyết giải thích suy giảm BoP</w:t>
      </w:r>
    </w:p>
    <w:p w14:paraId="61F653C6"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(a) Tiếp cận Co giãn (Elasticities Approach) và Điều kiện Marshall-Lerner</w:t>
      </w:r>
    </w:p>
    <w:p w14:paraId="41F8BCA7"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co giãn nhấn mạnh vai trò của tỷ giá thực trong điều chỉnh BoP. Điều kiện Marshall-Lerner quy định: để phá giá đồng nội tệ cải thiện cán cân thương mại, tổng độ co giãn cầu xuất khẩu và cầu nhập khẩu theo tỷ giá thực phải thỏa mãn:</w:t>
      </w:r>
    </w:p>
    <w:p w14:paraId="7E6A37D1"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|ηₓ + ηₘ| &gt; 1</w:t>
      </w:r>
    </w:p>
    <w:p w14:paraId="4BEC555F"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Với cơ cấu xuất khẩu của Lào tập trung vào điện năng và khoáng sản – hai mặt hàng có độ co giãn cầu theo giá thấp do được giao dịch theo hợp đồng dài hạn cố định giá – và nhập khẩu chủ yếu là nhiên liệu và nhu yếu phẩm (cầu nội địa ít co giãn), điều kiện Marshall-Lerner khó được thỏa mãn. Hệ quả là việc đồng Kip mất giá mạnh (tích lũy ~140% từ T1/2021 đến T9/2024) không giúp cải thiện đáng kể cán cân thương mại nhưng lại làm tăng mạnh gánh nặng nợ ngoại tệ và chi phí nhập khẩu.</w:t>
      </w:r>
    </w:p>
    <w:p w14:paraId="4493EE82"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lastRenderedPageBreak/>
        <w:t>(b) Tiếp cận Hấp thụ (Absorption Approach)</w:t>
      </w:r>
    </w:p>
    <w:p w14:paraId="7A31D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Tiếp cận hấp thụ giải thích thâm hụt CA thông qua lỗ hổng tiết kiệm–đầu tư:</w:t>
      </w:r>
    </w:p>
    <w:p w14:paraId="65506570" w14:textId="77777777" w:rsidR="0083092D" w:rsidRPr="00334184" w:rsidRDefault="00000000" w:rsidP="0069632C">
      <w:pPr>
        <w:spacing w:before="60" w:after="60" w:line="360" w:lineRule="auto"/>
        <w:jc w:val="center"/>
        <w:rPr>
          <w:rFonts w:asciiTheme="majorHAnsi" w:hAnsiTheme="majorHAnsi" w:cstheme="majorHAnsi"/>
          <w:sz w:val="26"/>
          <w:szCs w:val="26"/>
        </w:rPr>
      </w:pPr>
      <w:r>
        <w:rPr>
          <w:rFonts w:asciiTheme="majorHAnsi" w:hAnsiTheme="majorHAnsi" w:cstheme="majorHAnsi"/>
          <w:sz w:val="26"/>
          <w:szCs w:val="26"/>
        </w:rPr>
        <w:t xml:space="preserve">                    CA = Y − A = S − I</w:t>
      </w:r>
    </w:p>
    <w:p w14:paraId="5850688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đó Y là thu nhập quốc gia, A là tổng hấp thụ nội địa (tiêu dùng + đầu tư + chi tiêu Chính phủ), S là tiết kiệm quốc gia và I là đầu tư trong nước. Khi A &gt; Y, lỗ hổng được tài trợ bằng tiết kiệm từ bên ngoài – tức là nợ nước ngoài. Tại Lào, các dự án đầu tư cơ sở hạ tầng lớn (đường sắt Boten–Vientiane, đập thủy điện) đã tạo ra khoảng cách I &gt; S kéo dài, là nguyên nhân cơ cấu của thâm hụt CA mạn tính trước đại dịch.</w:t>
      </w:r>
    </w:p>
    <w:p w14:paraId="1FC60F81"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(c) Tiếp cận Tiền tệ (Monetary Approach)</w:t>
      </w:r>
    </w:p>
    <w:p w14:paraId="0C4D9E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Tiếp cận tiền tệ liên kết BoP với cân bằng cung cầu tiền nội địa. Khi cung tiền tăng vượt quá cầu tiền thực (tức là tốc độ tăng trưởng kinh tế), áp lực lạm phát tích tụ và tỷ giá thực bị xói mòn, từ đó làm xấu BoP. Tại Lào, hiện tượng </w:t>
      </w:r>
    </w:p>
    <w:p w14:paraId="18BD0E0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tài trợ tiền tệ (monetary financing)</w:t>
      </w:r>
      <w:r>
        <w:rPr>
          <w:rFonts w:asciiTheme="majorHAnsi" w:hAnsiTheme="majorHAnsi" w:cstheme="majorHAnsi"/>
          <w:sz w:val="26"/>
          <w:szCs w:val="26"/>
        </w:rPr>
        <w:t xml:space="preserve"> – Ngân hàng Trung ương Lào (Bank of Lao PDR, BOL) cấp tín dụng trực tiếp cho Chính phủ để bù đắp thâm hụt tài khóa – đã đẩy tốc độ tăng cung tiền cơ sở (reserve money) lên 40% yoy giữa năm 2023 (IMF Article IV, 2024), là một nguồn gốc trực tiếp của lạm phát phi mã và mất giá đồng Kip.</w:t>
      </w:r>
    </w:p>
    <w:p w14:paraId="27CF603C"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2.3. Tiêu chí xác định BoP 'xấu đi nghiêm trọng'</w:t>
      </w:r>
    </w:p>
    <w:p w14:paraId="59AB9A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thực hành phân tích, BoP được coi là suy giảm nghiêm trọng khi hội đủ một hoặc nhiều tiêu chí: (i) thâm hụt CA vượt ngưỡng 5–6% GDP (ngưỡng cảnh báo của IMF); (ii) dự trữ ngoại hối dưới 3 tháng nhập khẩu; (iii) tốc độ mất giá danh nghĩa đồng nội tệ vượt 10%/năm; (iv) nợ nước ngoài ngắn hạn vượt mức dự trữ ngoại hối. Lào đã vi phạm cả bốn tiêu chí này trong giai đoạn 2021–2023.</w:t>
      </w:r>
    </w:p>
    <w:p w14:paraId="275E0BAE"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sz w:val="26"/>
          <w:szCs w:val="26"/>
        </w:rPr>
        <w:br w:type="page"/>
      </w:r>
    </w:p>
    <w:p w14:paraId="5DF2D2F3"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III. TỔNG QUAN KINH TẾ LÀO GIAI ĐOẠN 2014–2019 (TRƯỚC COVID-19)</w:t>
      </w:r>
    </w:p>
    <w:p w14:paraId="47938BB8"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3.1. Bối cảnh và mô hình tăng trưởng</w:t>
      </w:r>
    </w:p>
    <w:p w14:paraId="0263EAB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Trong giai đoạn 2014–2019, Lào duy trì tốc độ tăng trưởng GDP thực ở mức 5,5–7,6%/năm, thuộc nhóm các nền kinh tế tăng trưởng nhanh nhất ASEAN. Động lực tăng trưởng đến từ ba nguồn chính: xuất khẩu điện thủy điện sang Thái Lan và Việt Nam, xuất khẩu khoáng sản (đồng, vàng, kali), và dòng vốn đầu tư cơ sở hạ tầng lớn – đặc biệt là tuyến đường sắt Boten–Vientiane trị giá ~5,9 tỷ USD trong khuôn khổ Sáng kiến Vành đai và Con đường (BRI) của Trung Quốc, khởi công năm 2016. Tốc độ tăng trưởng có xu hướng giảm nhẹ từ 7,6% (2014) xuống 5,5% (2019) phản ánh quá trình tích lũy nợ ngày càng tăng và sự chững lại của các dự án đầu tư lớn.</w:t>
      </w:r>
    </w:p>
    <w:p w14:paraId="4E300BED"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1. Tăng trưởng GDP và Thu nhập bình quân đầu người của Lào, 2014–2019</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1054"/>
        <w:gridCol w:w="1055"/>
        <w:gridCol w:w="1055"/>
        <w:gridCol w:w="1055"/>
        <w:gridCol w:w="1055"/>
        <w:gridCol w:w="1055"/>
      </w:tblGrid>
      <w:tr w:rsidR="00700116" w:rsidRPr="00334184" w14:paraId="3F6EECED"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4466BB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0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9E92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2014</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A62AA12"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2015</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62340A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2016</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174A8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2017</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7402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10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7F3663"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r>
      <w:tr w:rsidR="00700116" w:rsidRPr="00334184" w14:paraId="1E8794B0" w14:textId="77777777" w:rsidTr="00700116">
        <w:trPr>
          <w:trHeight w:val="316"/>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D842374"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Tăng trưởng GDP thực (%)</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150ED6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B1A2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1B1070A"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7.0</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F67E37F"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8F695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C7E44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5.5</w:t>
            </w:r>
          </w:p>
        </w:tc>
      </w:tr>
      <w:tr w:rsidR="00700116" w:rsidRPr="00334184" w14:paraId="1A9E7201" w14:textId="77777777" w:rsidTr="00700116">
        <w:trPr>
          <w:trHeight w:val="302"/>
        </w:trPr>
        <w:tc>
          <w:tcPr>
            <w:tcW w:w="283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5FEF3D"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 danh nghĩa (tỷ USD)</w:t>
            </w:r>
          </w:p>
        </w:tc>
        <w:tc>
          <w:tcPr>
            <w:tcW w:w="10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69E60E"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11.9</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AAB7A5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80E12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15.8</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E4A5994"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17.0</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5B5676"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18.1</w:t>
            </w:r>
          </w:p>
        </w:tc>
        <w:tc>
          <w:tcPr>
            <w:tcW w:w="10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10C295"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w:t>
            </w:r>
          </w:p>
        </w:tc>
      </w:tr>
      <w:tr w:rsidR="00700116" w:rsidRPr="00334184" w14:paraId="547B720F" w14:textId="77777777" w:rsidTr="00700116">
        <w:trPr>
          <w:trHeight w:val="330"/>
        </w:trPr>
        <w:tc>
          <w:tcPr>
            <w:tcW w:w="283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8849FC" w14:textId="77777777" w:rsidR="00700116" w:rsidRPr="00334184" w:rsidRDefault="00700116" w:rsidP="0069632C">
            <w:pPr>
              <w:spacing w:before="60" w:after="60"/>
              <w:rPr>
                <w:rFonts w:asciiTheme="majorHAnsi" w:hAnsiTheme="majorHAnsi" w:cstheme="majorHAnsi"/>
              </w:rPr>
            </w:pPr>
            <w:r>
              <w:rPr>
                <w:rFonts w:asciiTheme="majorHAnsi" w:hAnsiTheme="majorHAnsi" w:cstheme="majorHAnsi"/>
                <w:b/>
                <w:bCs/>
                <w:sz w:val="18"/>
                <w:szCs w:val="18"/>
              </w:rPr>
              <w:t>GDP/đầu người (USD)</w:t>
            </w:r>
          </w:p>
        </w:tc>
        <w:tc>
          <w:tcPr>
            <w:tcW w:w="10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8B162C"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1.808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0DE76B7"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1.879</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7D376D"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2.353</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C42E7B"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2.468</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381560"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2.567</w:t>
            </w:r>
          </w:p>
        </w:tc>
        <w:tc>
          <w:tcPr>
            <w:tcW w:w="10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98E4E8" w14:textId="77777777" w:rsidR="00700116" w:rsidRPr="00334184" w:rsidRDefault="00700116" w:rsidP="0069632C">
            <w:pPr>
              <w:spacing w:before="60" w:after="60"/>
              <w:jc w:val="center"/>
              <w:rPr>
                <w:rFonts w:asciiTheme="majorHAnsi" w:hAnsiTheme="majorHAnsi" w:cstheme="majorHAnsi"/>
              </w:rPr>
            </w:pPr>
            <w:r>
              <w:rPr>
                <w:rFonts w:asciiTheme="majorHAnsi" w:hAnsiTheme="majorHAnsi" w:cstheme="majorHAnsi"/>
                <w:sz w:val="18"/>
                <w:szCs w:val="18"/>
              </w:rPr>
              <w:t>2.630</w:t>
            </w:r>
          </w:p>
        </w:tc>
      </w:tr>
    </w:tbl>
    <w:p w14:paraId="37099565" w14:textId="2535D46E" w:rsidR="0083092D" w:rsidRPr="00700116" w:rsidRDefault="00000000" w:rsidP="00700116">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World Economic Outlook (Oct 2024); World Bank Open Data; Trading Economics / Bank of Lao PDR. Số liệu 2014–2017 được bổ sung để phản ánh nền tảng tăng trưởng trước giai đoạn tích lũy nợ BRI.</w:t>
      </w:r>
    </w:p>
    <w:p w14:paraId="05B51C5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Tuy nhiên, ngay dưới bề mặt tăng trưởng lạc quan là các điểm yếu cơ cấu mang tính hệ thống đã tích lũy từ đầu giai đoạn. Tỷ lệ nợ đối ngoại/GDP liên tục leo thang từ ~46% (2014) lên ~52% (2016), rồi ~65% (2018) và ~72% (2019), phản ánh tốc độ vay nợ vượt xa tốc độ tăng GDP danh nghĩa. Dự trữ ngoại hối chưa bao giờ đạt ngưỡng an toàn 3 tháng nhập khẩu trong suốt giai đoạn 2014–2019. Du lịch chiếm ~12,5% GDP năm 2019 (tăng từ ~8% năm 2014) – tỷ lệ cao nhưng cũng là điểm tập trung rủi ro nghiêm trọng. Cơ cấu xuất khẩu bị chi phối bởi điện năng và khoáng sản (~38% năm 2014, ~44% năm 2019), khiến nguồn ngoại tệ dễ bị tổn thương trước biến động giá hàng hóa toàn cầu.</w:t>
      </w:r>
    </w:p>
    <w:p w14:paraId="100CBE27"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3.2. Các điểm yếu cơ cấu tích lũy trước đại dịch</w:t>
      </w:r>
    </w:p>
    <w:p w14:paraId="741C0C02" w14:textId="75392FF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Ba điểm yếu mang tính cơ cấu đáng lo ngại nhất trước COVID-19 gồm:</w:t>
      </w:r>
    </w:p>
    <w:p w14:paraId="0C1D2E3F"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nhất,</w:t>
      </w:r>
      <w:r>
        <w:rPr>
          <w:rFonts w:asciiTheme="majorHAnsi" w:hAnsiTheme="majorHAnsi" w:cstheme="majorHAnsi"/>
          <w:sz w:val="26"/>
          <w:szCs w:val="26"/>
        </w:rPr>
        <w:t xml:space="preserve"> cơ cấu xuất khẩu kém đa dạng – điện và khoáng sản chiếm &gt;44% tổng xuất khẩu, dễ bị tổn thương trước biến động giá hàng hóa toàn cầu.</w:t>
      </w:r>
    </w:p>
    <w:p w14:paraId="0C1D2E40"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hai,</w:t>
      </w:r>
      <w:r>
        <w:rPr>
          <w:rFonts w:asciiTheme="majorHAnsi" w:hAnsiTheme="majorHAnsi" w:cstheme="majorHAnsi"/>
          <w:sz w:val="26"/>
          <w:szCs w:val="26"/>
        </w:rPr>
        <w:t xml:space="preserve"> gánh nặng nợ từ các dự án BRI với nghĩa vụ trả nợ chiếm 5–7% GDP, tạo ra áp lực ngoại tệ liên tục và thu hẹp không gian tài khóa.</w:t>
      </w:r>
    </w:p>
    <w:p w14:paraId="0C1D2E41"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Thứ ba,</w:t>
      </w:r>
      <w:r>
        <w:rPr>
          <w:rFonts w:asciiTheme="majorHAnsi" w:hAnsiTheme="majorHAnsi" w:cstheme="majorHAnsi"/>
          <w:sz w:val="26"/>
          <w:szCs w:val="26"/>
        </w:rPr>
        <w:t xml:space="preserve"> phụ thuộc vào lao động xuất khẩu tại Thái Lan tạo ra dòng kiều hối nhưng cũng làm mỏng lực lượng lao động trong nước và tạo ra rủi ro gián đoạn trong các cú sốc biên giới. Đây chính là bộ ba điểm yếu mà COVID-19 sẽ khai thác toàn diện từ năm 2020.</w:t>
      </w:r>
      <w:r>
        <w:rPr>
          <w:rFonts w:asciiTheme="majorHAnsi" w:hAnsiTheme="majorHAnsi" w:cstheme="majorHAnsi"/>
          <w:sz w:val="26"/>
          <w:szCs w:val="26"/>
        </w:rPr>
        <w:br w:type="page"/>
      </w:r>
    </w:p>
    <w:p w14:paraId="7305ACD3"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IV. THỰC TRẠNG CÁN CÂN THANH TOÁN QUỐC TẾ (BoP) LÀO GIAI ĐOẠN 2018–2024: TÁC ĐỘNG CỦA COVID-19 VÀ QUÁ TRÌNH PHỤC HỒI</w:t>
      </w:r>
    </w:p>
    <w:p w14:paraId="3BC3FD7C"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4.1. Tổng quan các thành phần chính của BoP</w:t>
      </w:r>
    </w:p>
    <w:p w14:paraId="68E0480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Nhìn tổng thể giai đoạn 2018–2024, BoP của Lào trải qua ba pha rõ rệt: (i) Pha thâm hụt trước đại dịch (2018–2019) với CA/GDP đặc biệt âm sâu (-12,8% và -10,6%) do nhập khẩu thiết bị cho các dự án cơ sở hạ tầng BRI; (ii) Pha chuyển thặng dư cơ học (2020–2021) khi nhập khẩu co lại mạnh hơn xuất khẩu do phong tỏa, tạo CA/GDP dương giả tạo (+2,3%); và (iii) Pha phục hồi bất đối xứng (2022–2024) khi xuất khẩu và du lịch phục hồi nhưng gánh nặng trả nợ nước ngoài tiếp tục đè nặng lên thu nhập sơ cấp.</w:t>
      </w:r>
    </w:p>
    <w:p w14:paraId="7F370C8D"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2. Các thành phần chính của BoP Lào, 2018–2024</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924"/>
        <w:gridCol w:w="924"/>
        <w:gridCol w:w="924"/>
        <w:gridCol w:w="925"/>
        <w:gridCol w:w="924"/>
        <w:gridCol w:w="924"/>
        <w:gridCol w:w="925"/>
      </w:tblGrid>
      <w:tr w:rsidR="0083092D" w:rsidRPr="00334184" w14:paraId="101C0E9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DE974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Thành phần BoP</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01EE02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B88E9B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E7BE7C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276B5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F104B1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F1CCA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E8ADB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005A68EF"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F6799A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CA / GDP (%)</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47E98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7B5D1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-10,6</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24328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B4567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964F3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0D50C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848EA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w:t>
            </w:r>
          </w:p>
        </w:tc>
      </w:tr>
      <w:tr w:rsidR="0083092D" w:rsidRPr="00334184" w14:paraId="3E1067B1"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78402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Cán cân TM hàng hóa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424C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815A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77076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64B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+750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9EF4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12109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+1.102</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136B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+1.530</w:t>
            </w:r>
          </w:p>
        </w:tc>
      </w:tr>
      <w:tr w:rsidR="0083092D" w:rsidRPr="00334184" w14:paraId="2C6C12C7"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6C8B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03010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04DB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7649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E4F3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6E45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77C11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037EC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0B3D70AE"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19182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Thu nhập sơ cấp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2C0BB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-740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6EFB3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-780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BE892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-820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0AAD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C77FE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82B3C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-1.200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37EAF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-1.300</w:t>
            </w:r>
          </w:p>
        </w:tc>
      </w:tr>
      <w:tr w:rsidR="0083092D" w:rsidRPr="00334184" w14:paraId="6AC6C698" w14:textId="77777777" w:rsidTr="0069632C">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751D"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ròng (% GDP)</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1B2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132FD5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C2E78C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DDC59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96A78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A8461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955AB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r>
    </w:tbl>
    <w:p w14:paraId="15FFCC55" w14:textId="0E13E4A0" w:rsidR="0083092D" w:rsidRPr="00334184"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Article IV Consultation (2024); World Bank Lao Economic Monitor (Oct 2024); Trading Economics / Bank of Lao PDR; CEIC Data.</w:t>
      </w:r>
    </w:p>
    <w:p w14:paraId="114E834B"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4.2. Tài khoản Vãng lai (Current Account)</w:t>
      </w:r>
    </w:p>
    <w:p w14:paraId="0C0F8062"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4.2.1. Cán cân thương mại hàng hóa</w:t>
      </w:r>
    </w:p>
    <w:p w14:paraId="49BCE28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Theo số liệu từ LNCCI (tháng 02/2025), tổng kim ngạch thương mại của Lào năm 2024 đạt 16,3 tỷ USD, tăng ~5% so với 2023. Cán cân thương mại hàng hóa chuyển sang thặng dư từ năm 2020 do nhập khẩu co lại mạnh (giảm ~18% trong 2020) trong khi xuất khẩu điện và khoáng sản duy trì tương đối ổn định nhờ các hợp đồng dài hạn với Thái Lan và Việt Nam. Đến năm 2023–2024, thặng dư thương mại mở rộng đáng kể (+1,10–1,53 tỷ USD) nhờ tuyến đường sắt Lào-Trung tạo thuận lợi cho xuất khẩu nông sản và khoáng sản sang Trung Quốc.</w:t>
      </w:r>
    </w:p>
    <w:p w14:paraId="6E4C28D7"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3. Cán cân Thương mại Hàng hóa của Lào, 2018–2024 (tỷ USD)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868"/>
        <w:gridCol w:w="869"/>
        <w:gridCol w:w="869"/>
        <w:gridCol w:w="869"/>
        <w:gridCol w:w="869"/>
        <w:gridCol w:w="869"/>
        <w:gridCol w:w="869"/>
      </w:tblGrid>
      <w:tr w:rsidR="0083092D" w:rsidRPr="00334184" w14:paraId="1299A39C"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AC7B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6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AAB19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069A4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58BD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8773E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A7FE4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4D25C6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2EE1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5BD1647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B26503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Xuất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E139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4.83</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EBC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9B1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D5007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6.68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439EB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7.95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72C99A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9.7</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0FD7A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w:t>
            </w:r>
          </w:p>
        </w:tc>
      </w:tr>
      <w:tr w:rsidR="0083092D" w:rsidRPr="00334184" w14:paraId="3BE8D180"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B08A6B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Nhập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5F08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88A1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9D95C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886C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5.93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AED0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7B465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8.6</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4652F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r>
      <w:tr w:rsidR="0083092D" w:rsidRPr="00334184" w14:paraId="5C5DFC43"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DB9EF3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lastRenderedPageBreak/>
              <w:t>Cán cân thương mại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11A3DE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C4F68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-1,21</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3229F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+0,48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88137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3F22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+0,32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2334B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+1,10</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EAA752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+0,70</w:t>
            </w:r>
          </w:p>
        </w:tc>
      </w:tr>
      <w:tr w:rsidR="0083092D" w:rsidRPr="00334184" w14:paraId="3EAAD19B" w14:textId="77777777" w:rsidTr="0069632C">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38A0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XK điện &amp; khoáng sản (% tổng XK)</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F319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304B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4C472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F67A48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620C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CB520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169DA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r>
    </w:tbl>
    <w:p w14:paraId="10AAEAD3" w14:textId="38A66055"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LNCCI (Feb 2025); World Bank Lao Economic Monitor (Oct 2024); FocusEconomics / Bank of Lao PDR.</w:t>
      </w:r>
    </w:p>
    <w:p w14:paraId="07FF6A7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Tuy nhiên, cần lưu ý một vấn đề quan trọng về tính đại diện của số liệu: World Bank LEM (tháng 10/2024) cảnh báo rằng trong H1/2024, chỉ khoảng </w:t>
      </w:r>
      <w:r>
        <w:rPr>
          <w:rFonts w:asciiTheme="majorHAnsi" w:hAnsiTheme="majorHAnsi" w:cstheme="majorHAnsi"/>
          <w:b/>
          <w:bCs/>
          <w:sz w:val="26"/>
          <w:szCs w:val="26"/>
        </w:rPr>
        <w:t>65% kim ngạch xuất khẩu chính thức được hồi hương qua hệ thống ngân hàng</w:t>
      </w:r>
      <w:r>
        <w:rPr>
          <w:rFonts w:asciiTheme="majorHAnsi" w:hAnsiTheme="majorHAnsi" w:cstheme="majorHAnsi"/>
          <w:sz w:val="26"/>
          <w:szCs w:val="26"/>
        </w:rPr>
        <w:t xml:space="preserve"> Lào, phần còn lại được giữ tại tài khoản nước ngoài hoặc không đi qua kênh chính thức. Điều này có nghĩa là dù cán cân thương mại thặng dư theo số liệu hải quan, nguồn ngoại tệ thực sự vào hệ thống tài chính trong nước bị hạn chế đáng kể – một điểm mất cân đối cấu trúc nghiêm trọng mà bất kỳ phân tích BoP nào cũng phải tính đến. Hơn nữa, IMF (Article IV 2024) ghi nhận 'errors and omissions' (sai số và bỏ sót) tương đương -4% GDP năm 2023, phản ánh khả năng có dòng vốn tháo chạy hoặc gian lận hóa đơn thương mại quy mô đáng kể.</w:t>
      </w:r>
    </w:p>
    <w:p w14:paraId="6CA3E11E" w14:textId="77777777" w:rsidR="0083092D" w:rsidRPr="00334184" w:rsidRDefault="00000000" w:rsidP="0069632C">
      <w:pPr>
        <w:pStyle w:val="Heading3"/>
        <w:spacing w:before="60" w:after="60" w:line="360" w:lineRule="auto"/>
        <w:rPr>
          <w:rFonts w:asciiTheme="majorHAnsi" w:hAnsiTheme="majorHAnsi" w:cstheme="majorHAnsi"/>
          <w:sz w:val="26"/>
          <w:szCs w:val="26"/>
        </w:rPr>
      </w:pPr>
      <w:r>
        <w:rPr>
          <w:rFonts w:asciiTheme="majorHAnsi" w:hAnsiTheme="majorHAnsi" w:cstheme="majorHAnsi"/>
          <w:color w:val="000000"/>
          <w:sz w:val="26"/>
          <w:szCs w:val="26"/>
        </w:rPr>
        <w:t>4.2.2. Du lịch quốc tế – Từ sụp đổ đến kỷ lục</w:t>
      </w:r>
    </w:p>
    <w:p w14:paraId="66003B3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Du lịch là lĩnh vực chịu tổn thương nặng nề nhất khi COVID-19 bùng phát và đồng thời là điểm sáng phục hồi rõ nhất đến năm 2024. Doanh thu từ ~935 triệu USD (2019) rơi xuống chỉ còn ~90 triệu USD (2021), mức sụt giảm 90,4%. Tác động này đặc biệt nghiêm trọng khi du lịch chiếm tới 12,5% GDP của Lào năm 2019, đồng nghĩa với việc Lào mất ~11% GDP chỉ riêng từ kênh du lịch.</w:t>
      </w:r>
    </w:p>
    <w:p w14:paraId="31EC04BF"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4. Du lịch Quốc tế đến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965"/>
        <w:gridCol w:w="966"/>
        <w:gridCol w:w="966"/>
        <w:gridCol w:w="966"/>
        <w:gridCol w:w="966"/>
        <w:gridCol w:w="966"/>
        <w:gridCol w:w="966"/>
      </w:tblGrid>
      <w:tr w:rsidR="0083092D" w:rsidRPr="00334184" w14:paraId="7EAC3FF9" w14:textId="77777777">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7ED87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B435F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2B60DB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D3865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79D47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D9C6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8A5681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C986D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3E0084EB"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1F3A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Lượt khách quốc tế (triệu)</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0AA0C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C627D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4,79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F241A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4CCD35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D4BB9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C2DB43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3,42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68C2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4,22</w:t>
            </w:r>
          </w:p>
        </w:tc>
      </w:tr>
      <w:tr w:rsidR="0083092D" w:rsidRPr="00334184" w14:paraId="2913CB3D"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4F7F5B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Doanh thu du lịch (tr. USD)</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99B5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811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EC3E2E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935</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E4ABA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B24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D0565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38E0A8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999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3771C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1.294</w:t>
            </w:r>
          </w:p>
        </w:tc>
      </w:tr>
      <w:tr w:rsidR="0083092D" w:rsidRPr="00334184" w14:paraId="1925B784" w14:textId="77777777">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6899A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Du lịch / GDP (%)</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2DAB7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BC6B5A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~12,5%</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2CCA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E1705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&lt;1%</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79EAAD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0DDF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48E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&gt;8%</w:t>
            </w:r>
          </w:p>
        </w:tc>
      </w:tr>
      <w:tr w:rsidR="0083092D" w:rsidRPr="00334184" w14:paraId="251084F4" w14:textId="77777777">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FE134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 so với đỉnh 2019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C3659D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C217F2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1799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A65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290337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1137EC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3F264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r>
    </w:tbl>
    <w:p w14:paraId="1474BD52" w14:textId="2DF20494"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Bank of Lao PDR (doanh thu 2024: 1,294 tỷ USD – cao nhất lịch sử; khách 2024: 4.217.682 lượt); Coface Country Risk (2025).</w:t>
      </w:r>
    </w:p>
    <w:p w14:paraId="5D8FBEE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Chương trình 'Visit Laos Year 2024' cùng với tuyến đường sắt Lào-Trung (hoạt động từ tháng 12/2021) đã thúc đẩy phục hồi du lịch nhanh hơn kỳ vọng. Doanh thu du lịch 2024 đạt 1,294 tỷ USD – vượt mức đỉnh trước COVID (935 triệu USD năm 2019) và là mức cao nhất lịch sử. Lượng khách (4,22 triệu lượt) vẫn thấp hơn đỉnh 2019 (4,79 triệu lượt) </w:t>
        <w:lastRenderedPageBreak/>
        <w:t>nhưng chi tiêu bình quân mỗi khách đã tăng lên, phản ánh sự cải thiện chất lượng thành phần khách hàng.</w:t>
      </w:r>
    </w:p>
    <w:p w14:paraId="6E9C05D3"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4.3. Biến động tỷ giá hối đoái LAK/USD</w:t>
      </w:r>
    </w:p>
    <w:p w14:paraId="7298624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Áp lực lên tỷ giá đồng Kip bắt đầu gia tăng từ cuối 2021 và bùng phát thành khủng hoảng ngoại tệ thực sự trong năm 2022–2023. IMF Article IV (2024) xác nhận </w:t>
      </w:r>
      <w:r>
        <w:rPr>
          <w:rFonts w:asciiTheme="majorHAnsi" w:hAnsiTheme="majorHAnsi" w:cstheme="majorHAnsi"/>
          <w:b/>
          <w:bCs/>
          <w:sz w:val="26"/>
          <w:szCs w:val="26"/>
        </w:rPr>
        <w:t>đồng Kip mất tích lũy khoảng 140% giá trị so với USD</w:t>
      </w:r>
      <w:r>
        <w:rPr>
          <w:rFonts w:asciiTheme="majorHAnsi" w:hAnsiTheme="majorHAnsi" w:cstheme="majorHAnsi"/>
          <w:sz w:val="26"/>
          <w:szCs w:val="26"/>
        </w:rPr>
        <w:t xml:space="preserve"> trong giai đoạn tháng 01/2021 đến tháng 09/2024 – tức là 1 USD đổi được gần 2,4 lần số Kip so với đầu năm 2021. Theo thang đo tỷ giá niêm yết trực tiếp (LAK/USD), tỷ giá tăng từ ~10.200 (cuối 2021) lên ~22.000 (cuối 2024), nghĩa là đồng </w:t>
      </w:r>
      <w:r>
        <w:rPr>
          <w:rFonts w:asciiTheme="majorHAnsi" w:hAnsiTheme="majorHAnsi" w:cstheme="majorHAnsi"/>
          <w:i/>
          <w:iCs/>
          <w:sz w:val="26"/>
          <w:szCs w:val="26"/>
        </w:rPr>
        <w:t>định giá</w:t>
      </w:r>
      <w:r>
        <w:rPr>
          <w:rFonts w:asciiTheme="majorHAnsi" w:hAnsiTheme="majorHAnsi" w:cstheme="majorHAnsi"/>
          <w:sz w:val="26"/>
          <w:szCs w:val="26"/>
        </w:rPr>
        <w:t xml:space="preserve"> (Kip) mất giá danh nghĩa nghiêm trọng. Chênh lệch giữa tỷ giá chính thức và thị trường tự do (parallel market) lên đến ~28% vào tháng 9/2024 (World Bank LEM, 2024) – là chỉ báo rõ ràng của tình trạng đô la hóa và mất niềm tin vào đồng nội tệ.</w:t>
      </w:r>
    </w:p>
    <w:p w14:paraId="5AFFADC9" w14:textId="77777777" w:rsidR="0083092D" w:rsidRPr="00334184" w:rsidRDefault="00000000" w:rsidP="0069632C">
      <w:pPr>
        <w:spacing w:before="60" w:after="60" w:line="360" w:lineRule="auto"/>
        <w:rPr>
          <w:rFonts w:asciiTheme="majorHAnsi" w:hAnsiTheme="majorHAnsi" w:cstheme="majorHAnsi"/>
        </w:rPr>
      </w:pPr>
      <w:r>
        <w:rPr>
          <w:rFonts w:asciiTheme="majorHAnsi" w:hAnsiTheme="majorHAnsi" w:cstheme="majorHAnsi"/>
          <w:b/>
          <w:bCs/>
          <w:i/>
          <w:iCs/>
          <w:color w:val="2E75B6"/>
          <w:sz w:val="19"/>
          <w:szCs w:val="19"/>
        </w:rPr>
        <w:t>Bảng 5. Biến động Tỷ giá và Lạm phát của Lào, 2018–2024</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909"/>
        <w:gridCol w:w="909"/>
        <w:gridCol w:w="910"/>
        <w:gridCol w:w="909"/>
        <w:gridCol w:w="910"/>
        <w:gridCol w:w="909"/>
        <w:gridCol w:w="910"/>
      </w:tblGrid>
      <w:tr w:rsidR="0083092D" w:rsidRPr="00334184" w14:paraId="2F277D2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DBAF06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7A681D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9CF820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8BB07A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A2065D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F06F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DF285B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01E1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1376BE74"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F9B8F5"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Tỷ giá LAK/USD (cuối năm)</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395CC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A92C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~8.700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2EBE1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33E972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~10.200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3A5C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~16.000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10370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~18.000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0F568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~22.000</w:t>
            </w:r>
          </w:p>
        </w:tc>
      </w:tr>
      <w:tr w:rsidR="0083092D" w:rsidRPr="00334184" w14:paraId="17F0B33E"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D7519F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Mức giảm giá lũy kế (vs T1/2021)</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210E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FFC85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9B5513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F9E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cơ sở</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DA8CE5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000974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B857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~140%</w:t>
            </w:r>
          </w:p>
        </w:tc>
      </w:tr>
      <w:tr w:rsidR="0083092D" w:rsidRPr="00334184" w14:paraId="482A5D6B" w14:textId="77777777" w:rsidTr="0069632C">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190E5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CPI bình quân năm (%)</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449098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0FEA68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3,3</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467A6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5,1</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ED1BB1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02879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22,8</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94D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31,2</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1275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r>
    </w:tbl>
    <w:p w14:paraId="1C4E9AEE" w14:textId="77777777" w:rsidR="0083092D" w:rsidRPr="00334184" w:rsidRDefault="00000000" w:rsidP="0069632C">
      <w:pPr>
        <w:spacing w:before="60" w:after="60" w:line="360" w:lineRule="auto"/>
        <w:rPr>
          <w:rFonts w:asciiTheme="majorHAnsi" w:hAnsiTheme="majorHAnsi" w:cstheme="majorHAnsi"/>
        </w:rPr>
      </w:pPr>
      <w:r>
        <w:rPr>
          <w:rFonts w:asciiTheme="majorHAnsi" w:hAnsiTheme="majorHAnsi" w:cstheme="majorHAnsi"/>
          <w:i/>
          <w:iCs/>
          <w:color w:val="595959"/>
          <w:sz w:val="17"/>
          <w:szCs w:val="17"/>
        </w:rPr>
        <w:t>Nguồn: IMF Article IV (2024) – mức giảm tích lũy 140% từ T1/2021 đến T9/2024; TheGlobalEconomy.com (lạm phát bình quân năm); World Bank LEM (Oct 2024); Bank of Lao PDR.</w:t>
      </w:r>
    </w:p>
    <w:p w14:paraId="0E9A53C3" w14:textId="77777777" w:rsidR="0083092D" w:rsidRPr="00334184" w:rsidRDefault="0083092D" w:rsidP="0069632C">
      <w:pPr>
        <w:spacing w:before="60" w:after="60" w:line="360" w:lineRule="auto"/>
        <w:rPr>
          <w:rFonts w:asciiTheme="majorHAnsi" w:hAnsiTheme="majorHAnsi" w:cstheme="majorHAnsi"/>
        </w:rPr>
      </w:pPr>
    </w:p>
    <w:p w14:paraId="518C154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Lưu ý: </w:t>
      </w:r>
      <w:r>
        <w:rPr>
          <w:rFonts w:asciiTheme="majorHAnsi" w:hAnsiTheme="majorHAnsi" w:cstheme="majorHAnsi"/>
          <w:i/>
          <w:iCs/>
          <w:sz w:val="26"/>
          <w:szCs w:val="26"/>
        </w:rPr>
        <w:t>Lạm phát CPI bình quân năm</w:t>
      </w:r>
      <w:r>
        <w:rPr>
          <w:rFonts w:asciiTheme="majorHAnsi" w:hAnsiTheme="majorHAnsi" w:cstheme="majorHAnsi"/>
          <w:sz w:val="26"/>
          <w:szCs w:val="26"/>
        </w:rPr>
        <w:t xml:space="preserve"> 2022 = 22,8% và 2023 = 31,2%, trong đó lạm phát tháng 02/2023 đạt đỉnh 41,26% yoy (ThGlobalEconomy.com). Số liệu này do World Bank và IMF xác nhận. Lạm phát thực phẩm năm 2023 đạt ~52%, là nguồn gốc chính của áp lực phúc lợi xã hội.</w:t>
      </w:r>
    </w:p>
    <w:p w14:paraId="061898BD"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4.4. Dự trữ ngoại hối chính thức</w:t>
      </w:r>
    </w:p>
    <w:p w14:paraId="78A845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Dự trữ ngoại hối là thước đo nhạy cảm nhất của năng lực thanh khoản quốc tế. Tiêu chuẩn IMF quy định mức tối thiểu 3 tháng nhập khẩu; đối với các nền kinh tế nhỏ và dễ tổn thương, mức phù hợp là 4–6 tháng. Dự trữ ngoại hối của Lào </w:t>
      </w:r>
      <w:r>
        <w:rPr>
          <w:rFonts w:asciiTheme="majorHAnsi" w:hAnsiTheme="majorHAnsi" w:cstheme="majorHAnsi"/>
          <w:b/>
          <w:bCs/>
          <w:sz w:val="26"/>
          <w:szCs w:val="26"/>
        </w:rPr>
        <w:t>chưa bao giờ đạt ngưỡng 3 tháng</w:t>
      </w:r>
      <w:r>
        <w:rPr>
          <w:rFonts w:asciiTheme="majorHAnsi" w:hAnsiTheme="majorHAnsi" w:cstheme="majorHAnsi"/>
          <w:sz w:val="26"/>
          <w:szCs w:val="26"/>
        </w:rPr>
        <w:t xml:space="preserve"> trong suốt giai đoạn khảo sát 2018–2024. Đáng lo ngại hơn, World Bank LEM (tháng 10/2024) lưu ý rằng nếu loại trừ thỏa thuận hoán đổi tiền tệ (currency swap) với Bank of China, dự trữ ngoại hối thực sự của Lào vẫn dưới 2 tháng nhập khẩu – thấp hơn đáng kể so với con số ~2,0 tháng được công bố chính thức.</w:t>
      </w:r>
    </w:p>
    <w:p w14:paraId="6A840974"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lastRenderedPageBreak/>
        <w:t>Bảng 6. Dự trữ Ngoại hối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50"/>
        <w:gridCol w:w="900"/>
        <w:gridCol w:w="900"/>
        <w:gridCol w:w="900"/>
        <w:gridCol w:w="900"/>
        <w:gridCol w:w="900"/>
        <w:gridCol w:w="950"/>
      </w:tblGrid>
      <w:tr w:rsidR="0083092D" w:rsidRPr="00334184" w14:paraId="53BD642F" w14:textId="77777777">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66B8A9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AFDE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F012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C13F27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4947D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A56256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5E5A4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EB6CE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7E098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3B9347F"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ngoại hối (tỷ USD)</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FA2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0,88</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A297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B89AC3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BA048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F1C122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16DF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5342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1,82</w:t>
            </w:r>
          </w:p>
        </w:tc>
      </w:tr>
      <w:tr w:rsidR="0083092D" w:rsidRPr="00334184" w14:paraId="2746F80A" w14:textId="77777777">
        <w:tc>
          <w:tcPr>
            <w:tcW w:w="28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3FEEE3"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Tháng nhập khẩu tương đương</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CBC3D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C8E4D7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2,1</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A3E2B7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E16434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71FECD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ECD92E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F89747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r>
      <w:tr w:rsidR="0083092D" w:rsidRPr="00334184" w14:paraId="60E41F65" w14:textId="77777777">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8A6718B"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Ngưỡng an toàn IMF (tháng NK)</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45EE0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6D763C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1B4B2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1F78D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6C20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382D3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52B80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w:t>
            </w:r>
          </w:p>
        </w:tc>
      </w:tr>
    </w:tbl>
    <w:p w14:paraId="3AEF735D" w14:textId="61CA6A0E" w:rsidR="0083092D" w:rsidRPr="0069632C" w:rsidRDefault="00000000" w:rsidP="0069632C">
      <w:pPr>
        <w:spacing w:before="60" w:after="60" w:line="360" w:lineRule="auto"/>
        <w:jc w:val="right"/>
        <w:rPr>
          <w:rFonts w:asciiTheme="majorHAnsi" w:hAnsiTheme="majorHAnsi" w:cstheme="majorHAnsi"/>
          <w:lang w:val="en-US"/>
        </w:rPr>
      </w:pPr>
      <w:r>
        <w:rPr>
          <w:rFonts w:asciiTheme="majorHAnsi" w:hAnsiTheme="majorHAnsi" w:cstheme="majorHAnsi"/>
          <w:i/>
          <w:iCs/>
          <w:color w:val="595959"/>
          <w:sz w:val="17"/>
          <w:szCs w:val="17"/>
        </w:rPr>
        <w:t>Nguồn: Bank of Lao PDR / TheGlobalEconomy.com (số liệu 2024: tháng 6/2024); AMRO Annual Consultation Report (2024): cuối 2023 = 1,68 tỷ USD ≈ 2,3 tháng NK; World Bank LEM (Oct 2024); IMF Article IV (2024).</w:t>
      </w:r>
    </w:p>
    <w:p w14:paraId="0F29865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i/>
          <w:iCs/>
          <w:sz w:val="26"/>
          <w:szCs w:val="26"/>
        </w:rPr>
        <w:t>Lưu ý phương pháp:</w:t>
      </w:r>
      <w:r>
        <w:rPr>
          <w:rFonts w:asciiTheme="majorHAnsi" w:hAnsiTheme="majorHAnsi" w:cstheme="majorHAnsi"/>
          <w:sz w:val="26"/>
          <w:szCs w:val="26"/>
        </w:rPr>
        <w:t xml:space="preserve"> AMRO (2024) ghi nhận dự trữ ngoại hối cuối 2023 = 1,68 tỷ USD đủ trang trải 2,3 tháng nhập khẩu. IMF (Article IV 2024) ước tính thực tế chỉ ~1,7 tháng khi điều chỉnh theo các cam kết swap. Sự khác biệt nhỏ giữa các nguồn phản ánh phương pháp tính khác nhau, nhưng nhất quán về kết luận: Lào vẫn dưới ngưỡng an toàn tối thiểu.</w:t>
      </w:r>
    </w:p>
    <w:p w14:paraId="47144D84"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4.5. Nợ công và Nghĩa vụ Nợ nước ngoài</w:t>
      </w:r>
    </w:p>
    <w:p w14:paraId="70EE8F7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Nợ công là điểm mong manh nhất trong toàn bộ bức tranh kinh tế vĩ mô của Lào. Cần phân biệt hai chuỗi số liệu: (i) Nợ PPG theo nghĩa rộng (Public and Publicly Guaranteed) do IMF/World Bank theo dõi – tăng từ 57,2% GDP (2018) lên đỉnh 131% GDP (2022), sau đó giảm dần về ~116% (2023) và ~108% GDP (2024); (ii) Nợ Chính phủ thuần (Government debt only, Bank of Lao PDR) – ổn định quanh ~68,7% GDP năm 2024. Cả hai chuỗi đều xác nhận IMF và World Bank tiếp tục xếp Lào ở mức 'debt distress – unsustainable' năm 2024.</w:t>
      </w:r>
    </w:p>
    <w:p w14:paraId="0B0322F3"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7. Nợ công và Nợ nước ngoài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854"/>
        <w:gridCol w:w="855"/>
        <w:gridCol w:w="855"/>
        <w:gridCol w:w="855"/>
        <w:gridCol w:w="855"/>
        <w:gridCol w:w="855"/>
        <w:gridCol w:w="855"/>
      </w:tblGrid>
      <w:tr w:rsidR="0083092D" w:rsidRPr="00334184" w14:paraId="2A0ADEF8"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2607F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8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B156AD2"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2018</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FAFBC9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2019</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E3304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2020</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DBF961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2021</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9EEC894"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2022</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8919A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2023</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4EB82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2024</w:t>
            </w:r>
          </w:p>
        </w:tc>
      </w:tr>
      <w:tr w:rsidR="0083092D" w:rsidRPr="00334184" w14:paraId="2FD6F7B5"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18A941"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[ghi chú 1]</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2228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7EB39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7BC535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~88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ED50B6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E22C1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131</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5EE69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116</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C00D9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r>
      <w:tr w:rsidR="0083092D" w:rsidRPr="00334184" w14:paraId="469EBE43"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4E9B304"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CP thuần / GDP (%) [ghi chú 2]</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4859F9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548E0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~44</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7D9EE5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~56</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83C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4448B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3A567D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76,1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8DB67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68,7</w:t>
            </w:r>
          </w:p>
        </w:tc>
      </w:tr>
      <w:tr w:rsidR="0083092D" w:rsidRPr="00334184" w14:paraId="5092FEE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5FCE9"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Trung Quốc / Tổng PPG (%)</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1F4580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E2C9A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F113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223528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020E04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8CD4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BF8BDB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~50</w:t>
            </w:r>
          </w:p>
        </w:tc>
      </w:tr>
      <w:tr w:rsidR="0083092D" w:rsidRPr="00334184" w14:paraId="7532D9F7" w14:textId="77777777" w:rsidTr="0069632C">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49D390"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Dịch vụ nợ / Thu ngân sách (%)</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546078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A9B226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82AB6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F6188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B180741"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DB070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57</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A97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~52</w:t>
            </w:r>
          </w:p>
        </w:tc>
      </w:tr>
    </w:tbl>
    <w:p w14:paraId="5FA4327F" w14:textId="2C367431" w:rsidR="0083092D" w:rsidRPr="00700116" w:rsidRDefault="00000000" w:rsidP="0069632C">
      <w:pPr>
        <w:spacing w:before="60" w:after="60" w:line="360" w:lineRule="auto"/>
        <w:jc w:val="right"/>
        <w:rPr>
          <w:rFonts w:asciiTheme="majorHAnsi" w:hAnsiTheme="majorHAnsi" w:cstheme="majorHAnsi"/>
        </w:rPr>
      </w:pPr>
      <w:r>
        <w:rPr>
          <w:rFonts w:asciiTheme="majorHAnsi" w:hAnsiTheme="majorHAnsi" w:cstheme="majorHAnsi"/>
          <w:i/>
          <w:iCs/>
          <w:color w:val="595959"/>
          <w:sz w:val="17"/>
          <w:szCs w:val="17"/>
        </w:rPr>
        <w:t>Nguồn: [1] Nợ PPG (bao gồm bảo lãnh Nhà nước): IMF DSA (2018: 57,2%); IMF Article IV 2024 (đỉnh 2022: 131%); IMF/World Bank (2023–2024). [2] Nợ Chính phủ thuần: CEIC / Bank of Lao PDR. Dịch vụ nợ/Thu ngân sách: World Bank LEM (Oct 2024) – từ ~35% (2018) lên 57% (2023).</w:t>
      </w:r>
    </w:p>
    <w:p w14:paraId="3932226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Khoảng 50% tổng nợ nước ngoài của Lào là nợ Trung Quốc – chủ yếu liên quan đến tuyến đường sắt và các dự án thủy điện. Điều này tạo ra rủi ro tập trung chủ nợ nghiêm trọng và hạn chế phạm vi thương lượng tái cơ cấu nợ. Tuy nhiên, Trung Quốc đã chấp nhận hoãn một số nghĩa vụ nợ trong 2024–2025 (IMF Article IV 2025 đề cập), giảm bớt </w:t>
        <w:lastRenderedPageBreak/>
        <w:t>áp lực ngoại tệ ngắn hạn. Đáng lo ngại là gánh nặng dịch vụ nợ chiếm ~52–57% thu ngân sách – mức làm kiệt sức không gian tài khóa và thu hẹp đầu tư xã hội, với chi tiêu cho giáo dục và y tế giảm xuống chỉ còn 2,3% GDP năm 2023 từ mức 4,9% GDP năm 2013 (World Bank LEM, 2024).</w:t>
      </w:r>
    </w:p>
    <w:p w14:paraId="535DC0D3"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sz w:val="26"/>
          <w:szCs w:val="26"/>
        </w:rPr>
        <w:br w:type="page"/>
      </w:r>
    </w:p>
    <w:p w14:paraId="4EBB3378"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V. CƠ CHẾ TRUYỀN DẪN VÀ NGUYÊN NHÂN SỰ SUY GIẢM BoP</w:t>
      </w:r>
    </w:p>
    <w:p w14:paraId="7EB2741B"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5.1. Cú sốc ngoại sinh: COVID-19 và giá năng lượng</w:t>
      </w:r>
    </w:p>
    <w:p w14:paraId="1F1D372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Đại dịch COVID-19 tạo ra ba kênh tác động trực tiếp lên BoP của Lào:</w:t>
      </w:r>
    </w:p>
    <w:p w14:paraId="0D1E2F3A"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Kênh thứ nhất:</w:t>
      </w:r>
      <w:r>
        <w:rPr>
          <w:rFonts w:asciiTheme="majorHAnsi" w:hAnsiTheme="majorHAnsi" w:cstheme="majorHAnsi"/>
          <w:sz w:val="26"/>
          <w:szCs w:val="26"/>
        </w:rPr>
        <w:t xml:space="preserve"> Sự sụp đổ của ngành du lịch – doanh thu từ 935 triệu USD (2019) xuống ~90 triệu USD (2021), tương đương mất ~11% GDP.</w:t>
      </w:r>
    </w:p>
    <w:p w14:paraId="0D1E2F3B"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Kênh thứ hai:</w:t>
      </w:r>
      <w:r>
        <w:rPr>
          <w:rFonts w:asciiTheme="majorHAnsi" w:hAnsiTheme="majorHAnsi" w:cstheme="majorHAnsi"/>
          <w:sz w:val="26"/>
          <w:szCs w:val="26"/>
        </w:rPr>
        <w:t xml:space="preserve"> Gián đoạn thương mại biên giới với Thái Lan (chiếm ~56% nhập khẩu) và Trung Quốc, gây đứt gãy xuất khẩu nông sản và khoáng sản.</w:t>
      </w:r>
    </w:p>
    <w:p w14:paraId="0D1E2F3C" w14:textId="77777777" w:rsidR="0083092D" w:rsidRDefault="00000000" w:rsidP="0069632C">
      <w:pPr>
        <w:spacing w:before="60" w:after="60" w:line="360" w:lineRule="auto"/>
        <w:ind w:left="360"/>
        <w:jc w:val="both"/>
        <w:rPr>
          <w:rFonts w:asciiTheme="majorHAnsi" w:hAnsiTheme="majorHAnsi" w:cstheme="majorHAnsi"/>
          <w:sz w:val="26"/>
          <w:szCs w:val="26"/>
        </w:rPr>
      </w:pPr>
      <w:r>
        <w:rPr>
          <w:rFonts w:asciiTheme="majorHAnsi" w:hAnsiTheme="majorHAnsi" w:cstheme="majorHAnsi"/>
          <w:b/>
          <w:bCs/>
          <w:sz w:val="26"/>
          <w:szCs w:val="26"/>
        </w:rPr>
        <w:t xml:space="preserve">▶ Kênh thứ ba:</w:t>
      </w:r>
      <w:r>
        <w:rPr>
          <w:rFonts w:asciiTheme="majorHAnsi" w:hAnsiTheme="majorHAnsi" w:cstheme="majorHAnsi"/>
          <w:sz w:val="26"/>
          <w:szCs w:val="26"/>
        </w:rPr>
        <w:t xml:space="preserve"> Sụt giảm kiều hối do lao động Lào tại Thái Lan giảm tạm thời. Tổng hợp ba kênh này, COVID-19 cắt đứt phần lớn dòng tiền ngoại tệ vào (inflows) trong khi nghĩa vụ trả nợ ngoại tệ (outflows) không thể dừng lại.</w:t>
      </w:r>
    </w:p>
    <w:p w14:paraId="3ED8C8A0"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Sau đại dịch, cú sốc giá năng lượng toàn cầu (2021–2022) là tác nhân ngoại sinh thứ hai. Giá dầu thô tăng từ mức đáy ~20 USD/thùng (tháng 4/2020) lên hơn 120 USD/thùng (tháng 6/2022) làm tăng mạnh chi phí nhập khẩu nhiên liệu – hàng hóa Lào nhập khẩu gần như hoàn toàn. Điều này kết hợp với đứt gãy chuỗi cung ứng toàn cầu tạo ra áp lực lạm phát chi phí đẩy (cost-push inflation) lan truyền mạnh qua kênh nhập khẩu.</w:t>
      </w:r>
    </w:p>
    <w:p w14:paraId="1D958196"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5.2. Điểm yếu cơ cấu nội tại</w:t>
      </w:r>
    </w:p>
    <w:p w14:paraId="0B991AB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nhất – Cơ cấu xuất khẩu đơn chiều:</w:t>
      </w:r>
      <w:r>
        <w:rPr>
          <w:rFonts w:asciiTheme="majorHAnsi" w:hAnsiTheme="majorHAnsi" w:cstheme="majorHAnsi"/>
          <w:sz w:val="26"/>
          <w:szCs w:val="26"/>
        </w:rPr>
        <w:t xml:space="preserve"> Xuất khẩu của Lào tập trung quá mức vào điện năng và khoáng sản (~55% năm 2023), hai lĩnh vực có co giãn thu nhập theo cầu thấp và phụ thuộc nhiều vào thời tiết và giá hàng hóa toàn cầu. Như đã phân tích ở tiếp cận co giãn, điều kiện Marshall-Lerner không được thỏa mãn đối với cơ cấu này, khiến phá giá đồng Kip ít cải thiện cán cân thương mại nhưng lại làm tăng mạnh chi phí nhập khẩu và gánh nặng nợ ngoại tệ.</w:t>
      </w:r>
    </w:p>
    <w:p w14:paraId="0BA2429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hai – Gánh nặng nợ đối ngoại mang tính cơ cấu:</w:t>
      </w:r>
      <w:r>
        <w:rPr>
          <w:rFonts w:asciiTheme="majorHAnsi" w:hAnsiTheme="majorHAnsi" w:cstheme="majorHAnsi"/>
          <w:sz w:val="26"/>
          <w:szCs w:val="26"/>
        </w:rPr>
        <w:t xml:space="preserve"> Nghĩa vụ trả nợ hằng năm chiếm 5–7% GDP tạo ra thâm hụt thu nhập sơ cấp kinh niên (ước -1,0 đến -1,3 tỷ USD/năm giai đoạn 2021–2024). Đây là khoản 'rò rỉ ngoại tệ' liên tục không thể bù đắp bởi thặng dư thương mại ngắn hạn. Theo tiếp cận hấp thụ, khoảng cách I &gt; S mãn tính buộc Lào phụ thuộc vào tiết kiệm nước ngoài, tạo vòng luẩn quẩn tích lũy nợ.</w:t>
      </w:r>
    </w:p>
    <w:p w14:paraId="6AE21EA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Điểm yếu thứ ba – Năng lực quản trị tiền tệ và tài khóa hạn chế:</w:t>
      </w:r>
      <w:r>
        <w:rPr>
          <w:rFonts w:asciiTheme="majorHAnsi" w:hAnsiTheme="majorHAnsi" w:cstheme="majorHAnsi"/>
          <w:sz w:val="26"/>
          <w:szCs w:val="26"/>
        </w:rPr>
        <w:t xml:space="preserve"> Tài trợ tiền tệ (monetary financing) – BOL cấp tín dụng trực tiếp cho Chính phủ – làm tăng cung tiền cơ sở 40% yoy giữa 2023 (IMF, 2024), dẫn đến lạm phát phi mã và xói mòn sức cạnh tranh của đồng Kip. Thu ngân sách thấp (~11,3% GDP năm 2024 theo Coface) phản ánh </w:t>
        <w:lastRenderedPageBreak/>
        <w:t>cơ sở thuế hẹp và các ưu đãi thuế quá mức. Điều này thu hẹp không gian tài khóa và buộc Chính phủ tiếp tục tìm kiếm nguồn tài trợ phi thị trường.</w:t>
      </w:r>
    </w:p>
    <w:p w14:paraId="7FBDFD05"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5.3. Vòng xoáy khủng hoảng tự gia cường</w:t>
      </w:r>
    </w:p>
    <w:p w14:paraId="5E487BA3" w14:textId="1FF0AA66" w:rsidR="00C6046D" w:rsidRPr="0029074A"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Đặc điểm nổi bật nhất của khủng hoảng BoP Lào là cơ chế </w:t>
      </w:r>
      <w:r>
        <w:rPr>
          <w:rFonts w:asciiTheme="majorHAnsi" w:hAnsiTheme="majorHAnsi" w:cstheme="majorHAnsi"/>
          <w:b/>
          <w:bCs/>
          <w:sz w:val="26"/>
          <w:szCs w:val="26"/>
        </w:rPr>
        <w:t>vòng xoáy tự gia cường (self-reinforcing spiral)</w:t>
      </w:r>
      <w:r>
        <w:rPr>
          <w:rFonts w:asciiTheme="majorHAnsi" w:hAnsiTheme="majorHAnsi" w:cstheme="majorHAnsi"/>
          <w:sz w:val="26"/>
          <w:szCs w:val="26"/>
        </w:rPr>
        <w:t>. Chuỗi nhân quả vận hành như sau: COVID-19 cắt đứt dòng tiền ngoại tệ từ du lịch → Làm lộ lỗ hổng thâm hụt cơ cấu do nghĩa vụ trả nợ ngoại tệ quá lớn → Dự trữ ngoại hối sụt giảm → Kích hoạt đầu cơ trên thị trường tự do (parallel market) → Đồng Kip mất giá mạnh → Lạm phát nhập khẩu chi phí đẩy leo thang (đỉnh 31,2% năm 2023) → Áp lực lên ngân sách xã hội → BOL tài trợ tiền tệ → Cung tiền tăng → Lạm phát tiếp tục → Kip tiếp tục mất giá → Vòng xoáy tái diễn.</w:t>
      </w:r>
    </w:p>
    <w:p w14:paraId="4D1BEE8D" w14:textId="25B9B8B9"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Điều quan trọng là nhận ra rằng vòng xoáy này không được khởi động bởi COVID-19 mà chỉ được kích hoạt bởi đại dịch. Nguyên nhân gốc rễ nằm ở kiến trúc nợ-xuất khẩu-tỷ giá thiếu bền vững đã tích lũy từ nhiều năm trước.</w:t>
        <w:br w:type="page"/>
      </w:r>
    </w:p>
    <w:p w14:paraId="439B7FE6"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VI. HẬU QUẢ CỦA CÁN CÂN THANH TOÁN XẤU ĐI</w:t>
      </w:r>
    </w:p>
    <w:p w14:paraId="3F866AE1"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6.1. Khủng hoảng tiền tệ và lạm phát cao</w:t>
      </w:r>
    </w:p>
    <w:p w14:paraId="22BF08C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Hệ quả trực tiếp và nghiêm trọng nhất là cuộc khủng hoảng tiền tệ kép: mất giá đồng Kip đồng thời với lạm phát phi mã. Lạm phát CPI bình quân chạm đỉnh 31,2% năm 2023 (cao nhất kể từ đầu những năm 2000), với lạm phát lương thực lên đến ~52%. World Bank Lao Economic Monitor (tháng 5/2023) ghi nhận đến cuối 2022, 64% hộ gia đình Lào bị giảm sức mua; tiền lương thực tế giảm bình quân 33% trong khi tiền lương danh nghĩa chỉ tăng 5,7%. Đây là cú sốc phúc lợi xã hội nghiêm trọng, đẩy một bộ phận đáng kể dân số rơi trở lại tình trạng dễ tổn thương.</w:t>
      </w:r>
    </w:p>
    <w:p w14:paraId="15C0F910"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6.2. Đô la hóa và suy yếu truyền dẫn chính sách tiền tệ</w:t>
      </w:r>
    </w:p>
    <w:p w14:paraId="271F9FD3"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Dự trữ ngoại hối chỉ đủ trang trải 1,4–2,0 tháng nhập khẩu trong giai đoạn 2022–2024 gây ra tình trạng thiếu hụt ngoại tệ cho các giao dịch cơ bản: thanh toán hàng nhập khẩu thiết yếu, trả nợ nước ngoài. Phản ứng của người dân và doanh nghiệp là tăng nắm giữ USD và Baht Thái (đô la hóa tự phát), làm suy yếu thêm đồng Kip và thu hẹp cơ sở tiền gửi bằng nội tệ trong hệ thống ngân hàng. IMF (2024) lưu ý tỷ lệ tín dụng và tiền gửi bằng ngoại tệ tăng mạnh kể từ 2022, làm suy yếu hiệu quả của chính sách lãi suất.</w:t>
      </w:r>
    </w:p>
    <w:p w14:paraId="0343204C"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6.3. Rủi ro nợ công và xói mòn không gian tài khóa</w:t>
      </w:r>
    </w:p>
    <w:p w14:paraId="413AB16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IMF và World Bank tiếp tục duy trì xếp hạng Lào ở mức 'debt distress – unsustainable' năm 2024, phản ánh đánh giá rằng quỹ đạo nợ PPG ~108% GDP vẫn chưa bền vững về dài hạn, đặc biệt khi tốc độ tăng trưởng kinh tế (4,5% năm 2024) thấp hơn lãi suất thực của các khoản nợ ngoại tệ. Theo IMF (2024), nợ PPG được kỳ vọng giảm xuống 108% GDP năm 2024 nhưng có thể bật tăng trở lại 118% năm 2025 nếu các khoản hoãn nợ tạm thời hết hiệu lực và cải cách bị trì hoãn.</w:t>
      </w:r>
    </w:p>
    <w:p w14:paraId="03B42280"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6.4. Hệ lụy xã hội và di cư lao động</w:t>
      </w:r>
    </w:p>
    <w:p w14:paraId="7348A7EA" w14:textId="763DB3D1" w:rsidR="0083092D" w:rsidRPr="00700116"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Xu hướng di cư lao động gia tăng: số người Lào đăng ký làm việc tại Thái Lan tăng 15% trong giai đoạn tháng 6/2023 – tháng 2/2024; tổng số lao động làm việc ở nước ngoài lên đến 415.000 người vào tháng 6/2024, khoảng một nửa trong tình trạng lao động bất hợp pháp (AMRO, 2024). Mặt tích cực là gia tăng kiều hối; mặt tiêu cực là mỏng dần lực lượng lao động trẻ trong nước, ảnh hưởng đến năng lực sản xuất dài hạn.</w:t>
      </w:r>
    </w:p>
    <w:p w14:paraId="455EAE0C"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t>VII. SO SÁNH VỚI CÁC NỀN KINH TẾ ASEAN LÂN CẬN (2024)</w:t>
      </w:r>
    </w:p>
    <w:p w14:paraId="5C47EDE1"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Đặt trong bối cảnh so sánh khu vực, mức độ suy giảm BoP của Lào thuộc nhóm nghiêm trọng nhất ASEAN và chỉ có Myanmar ở cùng nhóm xếp hạng 'debt distress'. Bảng 8 dưới đây tổng hợp các chỉ tiêu kinh tế đối ngoại chủ chốt:</w:t>
      </w:r>
    </w:p>
    <w:p w14:paraId="4E7DC3AD"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b/>
          <w:bCs/>
          <w:i/>
          <w:iCs/>
          <w:color w:val="2E75B6"/>
          <w:sz w:val="26"/>
          <w:szCs w:val="26"/>
        </w:rPr>
        <w:t>Bảng 8. So sánh các chỉ tiêu kinh tế đối ngoại – Lào và các nước ASEAN (2024)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1701"/>
        <w:gridCol w:w="1701"/>
        <w:gridCol w:w="1546"/>
      </w:tblGrid>
      <w:tr w:rsidR="0083092D" w:rsidRPr="00334184" w14:paraId="0FBC6485"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9C8B61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Chỉ tiêu</w:t>
            </w:r>
          </w:p>
        </w:tc>
        <w:tc>
          <w:tcPr>
            <w:tcW w:w="155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FF507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Lào</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4BE246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Campuchia</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D87F22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Việt Nam</w:t>
            </w:r>
          </w:p>
        </w:tc>
        <w:tc>
          <w:tcPr>
            <w:tcW w:w="154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3611DAE"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b/>
                <w:bCs/>
                <w:color w:val="FFFFFF"/>
                <w:sz w:val="18"/>
                <w:szCs w:val="18"/>
              </w:rPr>
              <w:t>Myanmar</w:t>
            </w:r>
          </w:p>
        </w:tc>
      </w:tr>
      <w:tr w:rsidR="0083092D" w:rsidRPr="00334184" w14:paraId="04EE7B60"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96900A8"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Dự trữ NH (tháng NK, 2024)</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4B0BA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0B6268"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CB0DF7"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~2,5</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E3A2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&lt;2,0</w:t>
            </w:r>
          </w:p>
        </w:tc>
      </w:tr>
      <w:tr w:rsidR="0083092D" w:rsidRPr="00334184" w14:paraId="392FE991"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FFCF7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Nợ PPG / GDP (%) 2024</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C6EDE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~108%</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DA1C9C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~19,3%</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C6B1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~37%</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9D361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~61,3%</w:t>
            </w:r>
          </w:p>
        </w:tc>
      </w:tr>
      <w:tr w:rsidR="0083092D" w:rsidRPr="00334184" w14:paraId="533DB61D"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202CC6"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Tăng trưởng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362A49D"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A51D81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5,3–6,0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0DC38B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7,1</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785ABB"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-1,0</w:t>
            </w:r>
          </w:p>
        </w:tc>
      </w:tr>
      <w:tr w:rsidR="0083092D" w:rsidRPr="00334184" w14:paraId="24AC3DC7"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804BE2"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Lạm phát bình quân 2024 (%)</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EBCC4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23,1</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E09B6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0,5–2,2</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5B70CD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4,2</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A734F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~26</w:t>
            </w:r>
          </w:p>
        </w:tc>
      </w:tr>
      <w:tr w:rsidR="0083092D" w:rsidRPr="00334184" w14:paraId="5041C5F9"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CABA87"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FDI /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262D8EF"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5292775"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~9,5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DB9D26"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~4</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228BF5A"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~1,5</w:t>
            </w:r>
          </w:p>
        </w:tc>
      </w:tr>
      <w:tr w:rsidR="0083092D" w:rsidRPr="00334184" w14:paraId="252BE40C" w14:textId="77777777" w:rsidTr="0069632C">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654B8FA" w14:textId="77777777" w:rsidR="0083092D" w:rsidRPr="00334184" w:rsidRDefault="00000000" w:rsidP="0069632C">
            <w:pPr>
              <w:spacing w:before="60" w:after="60"/>
              <w:rPr>
                <w:rFonts w:asciiTheme="majorHAnsi" w:hAnsiTheme="majorHAnsi" w:cstheme="majorHAnsi"/>
              </w:rPr>
            </w:pPr>
            <w:r>
              <w:rPr>
                <w:rFonts w:asciiTheme="majorHAnsi" w:hAnsiTheme="majorHAnsi" w:cstheme="majorHAnsi"/>
                <w:b/>
                <w:bCs/>
                <w:sz w:val="18"/>
                <w:szCs w:val="18"/>
              </w:rPr>
              <w:t>Xếp hạng nợ (IMF DSA)</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490849"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CFE4F0"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8E8DF3"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Low Risk</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4E8770C" w14:textId="77777777" w:rsidR="0083092D" w:rsidRPr="00334184" w:rsidRDefault="00000000" w:rsidP="0069632C">
            <w:pPr>
              <w:spacing w:before="60" w:after="60"/>
              <w:jc w:val="center"/>
              <w:rPr>
                <w:rFonts w:asciiTheme="majorHAnsi" w:hAnsiTheme="majorHAnsi" w:cstheme="majorHAnsi"/>
              </w:rPr>
            </w:pPr>
            <w:r>
              <w:rPr>
                <w:rFonts w:asciiTheme="majorHAnsi" w:hAnsiTheme="majorHAnsi" w:cstheme="majorHAnsi"/>
                <w:sz w:val="18"/>
                <w:szCs w:val="18"/>
              </w:rPr>
              <w:t>Debt Distress</w:t>
            </w:r>
          </w:p>
        </w:tc>
      </w:tr>
    </w:tbl>
    <w:p w14:paraId="4D0BBCC3" w14:textId="1FF58E42" w:rsidR="0083092D" w:rsidRPr="0069632C" w:rsidRDefault="00000000" w:rsidP="0069632C">
      <w:pPr>
        <w:spacing w:before="60" w:after="60" w:line="360" w:lineRule="auto"/>
        <w:rPr>
          <w:rFonts w:asciiTheme="majorHAnsi" w:hAnsiTheme="majorHAnsi" w:cstheme="majorHAnsi"/>
          <w:lang w:val="en-US"/>
        </w:rPr>
      </w:pPr>
      <w:r>
        <w:rPr>
          <w:rFonts w:asciiTheme="majorHAnsi" w:hAnsiTheme="majorHAnsi" w:cstheme="majorHAnsi"/>
          <w:i/>
          <w:iCs/>
          <w:color w:val="595959"/>
          <w:sz w:val="17"/>
          <w:szCs w:val="17"/>
        </w:rPr>
        <w:t>Nguồn: IMF WEO (Oct 2024); ADB ADO Sep 2024; World Bank Cambodia Economic Update Dec 2024; State Bank of Vietnam; Trading Economics / FocusEconomics; AMRO (2024); IMF DSA Reports 2024.</w:t>
      </w:r>
    </w:p>
    <w:p w14:paraId="5655614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Campuchia:</w:t>
      </w:r>
      <w:r>
        <w:rPr>
          <w:rFonts w:asciiTheme="majorHAnsi" w:hAnsiTheme="majorHAnsi" w:cstheme="majorHAnsi"/>
          <w:sz w:val="26"/>
          <w:szCs w:val="26"/>
        </w:rPr>
        <w:t xml:space="preserve"> Lào bị ảnh hưởng nặng hơn Campuchia – dù cả hai đều phụ thuộc du lịch và vốn nước ngoài – vì ba nguyên nhân: (i) gánh nặng nợ PPG của Lào (~108% GDP) cao gấp hơn 5 lần Campuchia (~19,3% GDP); (ii) dự trữ ngoại hối thấp hơn (~2,0 so với ~4,5 tháng nhập khẩu); (iii) cơ cấu xuất khẩu đơn chiều hơn. Campuchia tuy cũng phụ thuộc du lịch nhưng có hệ thống tài chính đô la hóa chính thức từ lâu, giúp hấp thụ cú sốc ngoại tệ tốt hơn.</w:t>
      </w:r>
    </w:p>
    <w:p w14:paraId="2482A65C"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Myanmar:</w:t>
      </w:r>
      <w:r>
        <w:rPr>
          <w:rFonts w:asciiTheme="majorHAnsi" w:hAnsiTheme="majorHAnsi" w:cstheme="majorHAnsi"/>
          <w:sz w:val="26"/>
          <w:szCs w:val="26"/>
        </w:rPr>
        <w:t xml:space="preserve"> Myanmar là trường hợp đặc biệt: dù cùng xếp hạng 'debt distress', khủng hoảng kinh tế Myanmar (GDP -1% năm 2024) xuất phát chủ yếu từ bất ổn chính trị sau đảo chính 2021 chứ không phải từ mất cân đối BoP cơ cấu như Lào. Tuy nhiên, lạm phát Myanmar ~26% (2024) và FDI cạn kiệt (~1,5% GDP) cho thấy cả hai nước đều ở trong tình trạng khó khăn nghiêm trọng, dù khác nhau về nguồn gốc.</w:t>
      </w:r>
    </w:p>
    <w:p w14:paraId="4334D3A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So sánh Lào – Việt Nam:</w:t>
      </w:r>
      <w:r>
        <w:rPr>
          <w:rFonts w:asciiTheme="majorHAnsi" w:hAnsiTheme="majorHAnsi" w:cstheme="majorHAnsi"/>
          <w:sz w:val="26"/>
          <w:szCs w:val="26"/>
        </w:rPr>
        <w:t xml:space="preserve"> Việt Nam với GDP tăng 7,1% năm 2024 là nền kinh tế mạnh nhất nhóm, nhưng đáng chú ý là dự trữ ngoại hối Việt Nam cũng chỉ ~2,5 tháng nhập khẩu cuối 2024 do NHNN phải bán ngoại tệ bảo vệ tỷ giá – cho thấy áp lực BoP là xu hướng chung của khu vực trong giai đoạn này, dù ở mức độ rất khác nhau về cường độ.</w:t>
      </w:r>
    </w:p>
    <w:p w14:paraId="5CA8FC18"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sz w:val="26"/>
          <w:szCs w:val="26"/>
        </w:rPr>
        <w:br w:type="page"/>
      </w:r>
    </w:p>
    <w:p w14:paraId="59DC0EAB"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VIII. HÀM Ý QUẢN TRỊ TÀI CHÍNH VÀ KHUYẾN NGHỊ CHÍNH SÁCH</w:t>
      </w:r>
    </w:p>
    <w:p w14:paraId="6A2B89D0"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8.1. Giải pháp ngắn hạn (2025–2026): Ổn định hóa</w:t>
      </w:r>
    </w:p>
    <w:p w14:paraId="2352ECA5"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① Tái cơ cấu nợ có chiến lược:</w:t>
      </w:r>
      <w:r>
        <w:rPr>
          <w:rFonts w:asciiTheme="majorHAnsi" w:hAnsiTheme="majorHAnsi" w:cstheme="majorHAnsi"/>
          <w:sz w:val="26"/>
          <w:szCs w:val="26"/>
        </w:rPr>
        <w:t xml:space="preserve"> Tiếp tục đàm phán với Trung Quốc và các chủ nợ song phương để kéo dài kỳ hạn, giảm lãi suất hoặc chuyển đổi nợ sang các hình thức linh hoạt hơn (debt-for-nature swap, debt-for-development swap). IMF Article IV (2025) ghi nhận Trung Quốc đã chấp thuận hoãn một số nghĩa vụ nợ trong 2024–2025 – cần thể chế hóa và mở rộng các thỏa thuận này.</w:t>
      </w:r>
    </w:p>
    <w:p w14:paraId="3F4D47FD"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② Tăng cường hồi hương ngoại tệ:</w:t>
      </w:r>
      <w:r>
        <w:rPr>
          <w:rFonts w:asciiTheme="majorHAnsi" w:hAnsiTheme="majorHAnsi" w:cstheme="majorHAnsi"/>
          <w:sz w:val="26"/>
          <w:szCs w:val="26"/>
        </w:rPr>
        <w:t xml:space="preserve"> Triển khai và thực thi nghiêm quy định bắt buộc hồi hương kim ngạch xuất khẩu qua hệ thống ngân hàng trong nước. World Bank LEM (Oct 2024) ước tính chỉ 65% được hồi hương trong H1/2024 – cải thiện lên 85–90% sẽ cộng thêm đáng kể vào dự trữ ngoại hối thực sự. Đây là biện pháp có chi phí thực thi thấp với tác động tức thì.</w:t>
      </w:r>
    </w:p>
    <w:p w14:paraId="12CF8AC8"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③ Kỷ luật tiền tệ và chấm dứt tài trợ tiền tệ:</w:t>
      </w:r>
      <w:r>
        <w:rPr>
          <w:rFonts w:asciiTheme="majorHAnsi" w:hAnsiTheme="majorHAnsi" w:cstheme="majorHAnsi"/>
          <w:sz w:val="26"/>
          <w:szCs w:val="26"/>
        </w:rPr>
        <w:t xml:space="preserve"> Duy trì lãi suất thực dương để kiềm chế lạm phát và phục hồi niềm tin vào đồng Kip. Chấm dứt cơ chế BOL cấp tín dụng trực tiếp cho Chính phủ, chuyển sang tài trợ thị trường. IMF (2024) khuyến nghị Lào không nên duy trì kiểm soát ngoại hối quá lâu vì tác dụng phụ (khuyến khích thị trường tự do và hạn chế FDI); cần xây dựng lộ trình nới lỏng có điều kiện khi dự trữ phục hồi.</w:t>
      </w:r>
    </w:p>
    <w:p w14:paraId="3F0BD447"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8.2. Giải pháp trung và dài hạn (2027–2035): Cải cách cơ cấu</w:t>
      </w:r>
    </w:p>
    <w:p w14:paraId="43DB756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① Đa dạng hóa cơ cấu xuất khẩu:</w:t>
      </w:r>
      <w:r>
        <w:rPr>
          <w:rFonts w:asciiTheme="majorHAnsi" w:hAnsiTheme="majorHAnsi" w:cstheme="majorHAnsi"/>
          <w:sz w:val="26"/>
          <w:szCs w:val="26"/>
        </w:rPr>
        <w:t xml:space="preserve"> Phát triển chế biến nông sản và lâm sản có giá trị gia tăng cao (cà phê Bolaven, trà, gỗ chế biến, hàng may mặc); xây dựng chuỗi cung ứng khu công nghiệp tận dụng kết nối đường sắt Lào-Trung và Hành lang Kinh tế Đông-Tây (EWEC). Mục tiêu giảm tỷ lệ điện + khoáng sản từ ~56% (2024) xuống còn 35–40% tổng xuất khẩu vào năm 2030, qua đó cải thiện độ co giãn tổng thể của cán cân thương mại.</w:t>
      </w:r>
    </w:p>
    <w:p w14:paraId="55346A9A"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② Xây dựng bộ đệm dự trữ ngoại hối:</w:t>
      </w:r>
      <w:r>
        <w:rPr>
          <w:rFonts w:asciiTheme="majorHAnsi" w:hAnsiTheme="majorHAnsi" w:cstheme="majorHAnsi"/>
          <w:sz w:val="26"/>
          <w:szCs w:val="26"/>
        </w:rPr>
        <w:t xml:space="preserve"> Đặt mục tiêu ràng buộc đưa dự trữ về tối thiểu 3 tháng nhập khẩu (khoảng 2,5–2,8 tỷ USD theo quy mô nhập khẩu hiện tại) trước năm 2028, thông qua kết hợp tăng thu ngoại tệ từ xuất khẩu, du lịch và hồi hương kiều hối. Dự trữ dưới ngưỡng này đặt Lào vào tình trạng dễ bị tổn thương trước bất kỳ cú sốc ngoại sinh nào.</w:t>
      </w:r>
    </w:p>
    <w:p w14:paraId="56EA82E4"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③ Cải thiện quản trị tài khóa và mở rộng cơ sở thuế:</w:t>
      </w:r>
      <w:r>
        <w:rPr>
          <w:rFonts w:asciiTheme="majorHAnsi" w:hAnsiTheme="majorHAnsi" w:cstheme="majorHAnsi"/>
          <w:sz w:val="26"/>
          <w:szCs w:val="26"/>
        </w:rPr>
        <w:t xml:space="preserve"> Tăng tỷ lệ thu ngân sách từ ~11,3% GDP (2024, Coface) lên ít nhất 15% GDP vào năm 2030 thông qua cải cách </w:t>
        <w:lastRenderedPageBreak/>
        <w:t>hành chính thuế, mở rộng thuế tài sản và thu hẹp các ưu đãi thuế quá mức trong khu công nghiệp và hợp đồng BRI. Đây là điều kiện tiên quyết để giảm sự phụ thuộc vào nợ nước ngoài.</w:t>
      </w:r>
    </w:p>
    <w:p w14:paraId="7DAC42B6"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④ Phát triển du lịch chất lượng cao và bền vững:</w:t>
      </w:r>
      <w:r>
        <w:rPr>
          <w:rFonts w:asciiTheme="majorHAnsi" w:hAnsiTheme="majorHAnsi" w:cstheme="majorHAnsi"/>
          <w:sz w:val="26"/>
          <w:szCs w:val="26"/>
        </w:rPr>
        <w:t xml:space="preserve"> Tận dụng đà phục hồi 2024 (doanh thu kỷ lục 1,294 tỷ USD) để nâng cấp chất lượng dịch vụ, đa dạng hóa thị trường nguồn khách (giảm phụ thuộc vào Thái Lan, phát triển khách Châu Âu và Đông Bắc Á), và tăng chi tiêu bình quân/khách từ ~307 USD (2024) lên 400–450 USD vào năm 2030.</w:t>
      </w:r>
    </w:p>
    <w:p w14:paraId="548830CF" w14:textId="77777777" w:rsidR="0083092D" w:rsidRPr="00334184" w:rsidRDefault="00000000" w:rsidP="0069632C">
      <w:pPr>
        <w:pStyle w:val="Heading2"/>
        <w:spacing w:before="60" w:after="60" w:line="360" w:lineRule="auto"/>
        <w:rPr>
          <w:rFonts w:asciiTheme="majorHAnsi" w:hAnsiTheme="majorHAnsi" w:cstheme="majorHAnsi"/>
          <w:sz w:val="26"/>
          <w:szCs w:val="26"/>
        </w:rPr>
      </w:pPr>
      <w:r>
        <w:rPr>
          <w:rFonts w:asciiTheme="majorHAnsi" w:hAnsiTheme="majorHAnsi" w:cstheme="majorHAnsi"/>
          <w:sz w:val="26"/>
          <w:szCs w:val="26"/>
        </w:rPr>
        <w:t>8.3. Triển vọng phục hồi và rủi ro còn lại</w:t>
      </w:r>
    </w:p>
    <w:p w14:paraId="3889F7E4" w14:textId="48D0EFE2" w:rsidR="0083092D" w:rsidRPr="00700116"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Triển vọng trung hạn của Lào ở mức 'thận trọng lạc quan có điều kiện'. Các yếu tố thuận lợi bao gồm: vị trí địa chiến lược với tuyến đường sắt Lào-Trung như điểm trung chuyển khu vực; tiềm năng xuất khẩu điện tái tạo (thủy điện + điện mặt trời) đang được phát triển; và đà phục hồi du lịch và tăng trưởng GDP tích cực trong 2023–2024. Các rủi ro chính còn tồn tại: nợ công vẫn không bền vững (~108% GDP); dự trữ ngoại hối vẫn dưới ngưỡng an toàn; rủi ro hạn hán ảnh hưởng thủy điện trong bối cảnh biến đổi khí hậu; và IMF (2024) dự báo nợ PPG có thể bật tăng trở lại 118% GDP năm 2025 nếu cải cách bị trì hoãn.</w:t>
      </w:r>
    </w:p>
    <w:p w14:paraId="1FF7B33B"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t>IX. KẾT LUẬN</w:t>
      </w:r>
    </w:p>
    <w:p w14:paraId="7CA3AA42"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Nghiên cứu này đã phân tích toàn diện diễn biến Cán cân Thanh toán Quốc tế (BoP) của Cộng hòa Dân chủ Nhân dân Lào trong giai đoạn 2018–2024, với trọng tâm là cơ chế truyền dẫn tác động của đại dịch COVID-19 và khả năng phục hồi đến năm 2024.</w:t>
      </w:r>
    </w:p>
    <w:p w14:paraId="2DC79F49"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b/>
          <w:bCs/>
          <w:sz w:val="26"/>
          <w:szCs w:val="26"/>
        </w:rPr>
        <w:t>Luận điểm trung tâm</w:t>
      </w:r>
      <w:r>
        <w:rPr>
          <w:rFonts w:asciiTheme="majorHAnsi" w:hAnsiTheme="majorHAnsi" w:cstheme="majorHAnsi"/>
          <w:sz w:val="26"/>
          <w:szCs w:val="26"/>
        </w:rPr>
        <w:t xml:space="preserve"> được minh chứng xuyên suốt bài viết là: COVID-19 không phải là nguyên nhân gốc rễ của cuộc khủng hoảng BoP của Lào, mà là chất xúc tác phơi bày và khuếch đại các điểm yếu cơ cấu đã tích lũy từ trước – gánh nặng nợ đối ngoại lớn, cơ cấu xuất khẩu kém đa dạng, phụ thuộc du lịch quá mức, và năng lực quản trị kinh tế vĩ mô còn hạn chế. Đây là bài học chính sách có giá trị không chỉ cho Lào mà còn cho các nền kinh tế nhỏ và mở đang xây dựng mô hình tăng trưởng phụ thuộc vào nguồn lực thiên nhiên và vốn nước ngoài.</w:t>
      </w:r>
    </w:p>
    <w:p w14:paraId="5E36905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 xml:space="preserve">Số liệu đến năm 2024 phác họa bức tranh phục hồi còn mong manh: GDP danh nghĩa đạt 16,5 tỷ USD (World Bank), tăng trưởng thực 4,5% (Wikipedia/IMF), doanh thu du lịch đạt mức lịch sử 1,294 tỷ USD, nợ PPG giảm về ~108% GDP; nhưng đồng Kip vẫn tiếp tục mất giá (tích lũy 140% từ 2021), lạm phát vẫn ở mức cao 23,1%, và dự trữ ngoại hối (~2,0 tháng nhập khẩu) vẫn dưới ngưỡng an </w:t>
        <w:lastRenderedPageBreak/>
        <w:t xml:space="preserve">toàn tối thiểu theo chuẩn IMF. Đây là minh chứng rõ ràng cho thấy </w:t>
      </w:r>
      <w:r>
        <w:rPr>
          <w:rFonts w:asciiTheme="majorHAnsi" w:hAnsiTheme="majorHAnsi" w:cstheme="majorHAnsi"/>
          <w:i/>
          <w:iCs/>
          <w:sz w:val="26"/>
          <w:szCs w:val="26"/>
        </w:rPr>
        <w:t>phục hồi chu kỳ</w:t>
      </w:r>
      <w:r>
        <w:rPr>
          <w:rFonts w:asciiTheme="majorHAnsi" w:hAnsiTheme="majorHAnsi" w:cstheme="majorHAnsi"/>
          <w:sz w:val="26"/>
          <w:szCs w:val="26"/>
        </w:rPr>
        <w:t xml:space="preserve"> chưa đồng nghĩa với </w:t>
      </w:r>
      <w:r>
        <w:rPr>
          <w:rFonts w:asciiTheme="majorHAnsi" w:hAnsiTheme="majorHAnsi" w:cstheme="majorHAnsi"/>
          <w:i/>
          <w:iCs/>
          <w:sz w:val="26"/>
          <w:szCs w:val="26"/>
        </w:rPr>
        <w:t>phục hồi cơ cấu.</w:t>
      </w:r>
    </w:p>
    <w:p w14:paraId="6E4CCEEB" w14:textId="77777777" w:rsidR="0083092D" w:rsidRPr="00334184" w:rsidRDefault="00000000" w:rsidP="0069632C">
      <w:pPr>
        <w:spacing w:before="60" w:after="60" w:line="360" w:lineRule="auto"/>
        <w:jc w:val="both"/>
        <w:rPr>
          <w:rFonts w:asciiTheme="majorHAnsi" w:hAnsiTheme="majorHAnsi" w:cstheme="majorHAnsi"/>
          <w:sz w:val="26"/>
          <w:szCs w:val="26"/>
        </w:rPr>
      </w:pPr>
      <w:r>
        <w:rPr>
          <w:rFonts w:asciiTheme="majorHAnsi" w:hAnsiTheme="majorHAnsi" w:cstheme="majorHAnsi"/>
          <w:sz w:val="26"/>
          <w:szCs w:val="26"/>
        </w:rPr>
        <w:t>Con đường phục hồi bền vững của Lào đòi hỏi cải cách cơ cấu toàn diện và dài hạn, không chỉ là các biện pháp ổn định hóa ngắn hạn. Trong bối cảnh địa kinh tế khu vực đang tái định hình, Lào có cửa sổ cơ hội để chuyển đổi từ mô hình 'land-locked' sang 'land-linked' – từ quốc gia bị cô lập địa lý thành trung tâm trung chuyển khu vực – nhưng điều đó đòi hỏi quyết tâm cải cách thể chế, tái cơ cấu nợ minh bạch và đầu tư dài hạn vào vốn con người.</w:t>
      </w:r>
    </w:p>
    <w:p w14:paraId="13AB01BD" w14:textId="77777777" w:rsidR="0083092D" w:rsidRPr="00334184" w:rsidRDefault="00000000" w:rsidP="0069632C">
      <w:pPr>
        <w:spacing w:before="60" w:after="60" w:line="360" w:lineRule="auto"/>
        <w:rPr>
          <w:rFonts w:asciiTheme="majorHAnsi" w:hAnsiTheme="majorHAnsi" w:cstheme="majorHAnsi"/>
          <w:sz w:val="26"/>
          <w:szCs w:val="26"/>
        </w:rPr>
      </w:pPr>
      <w:r>
        <w:rPr>
          <w:rFonts w:asciiTheme="majorHAnsi" w:hAnsiTheme="majorHAnsi" w:cstheme="majorHAnsi"/>
          <w:sz w:val="26"/>
          <w:szCs w:val="26"/>
        </w:rPr>
        <w:br w:type="page"/>
      </w:r>
    </w:p>
    <w:p w14:paraId="226E6696" w14:textId="77777777" w:rsidR="0083092D" w:rsidRPr="00334184" w:rsidRDefault="00000000" w:rsidP="0069632C">
      <w:pPr>
        <w:pStyle w:val="Heading1"/>
        <w:spacing w:before="60" w:after="60" w:line="360" w:lineRule="auto"/>
        <w:rPr>
          <w:rFonts w:asciiTheme="majorHAnsi" w:hAnsiTheme="majorHAnsi" w:cstheme="majorHAnsi"/>
          <w:sz w:val="26"/>
          <w:szCs w:val="26"/>
        </w:rPr>
      </w:pPr>
      <w:r>
        <w:rPr>
          <w:rFonts w:asciiTheme="majorHAnsi" w:hAnsiTheme="majorHAnsi" w:cstheme="majorHAnsi"/>
          <w:sz w:val="26"/>
          <w:szCs w:val="26"/>
        </w:rPr>
        <w:lastRenderedPageBreak/>
        <w:t>TÀI LIỆU THAM KHẢO</w:t>
      </w:r>
    </w:p>
    <w:p w14:paraId="00624171"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International Monetary Fund (IMF). (2024). Lao People's Democratic Republic: 2024 Article IV Consultation – Staff Report. IMF Country Report No. 2024/319. Washington, D.C.: IMF.</w:t>
      </w:r>
    </w:p>
    <w:p w14:paraId="5475415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International Monetary Fund (IMF). (2023). Lao People's Democratic Republic: 2023 Article IV Consultation – Staff Report. IMF Country Report No. 2023/166. Washington, D.C.: IMF.</w:t>
      </w:r>
    </w:p>
    <w:p w14:paraId="3157EC9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International Monetary Fund (IMF). (2025). Lao P.D.R. 2025 Article IV Consultation: IMF Staff Concluding Statement. December 2025.</w:t>
      </w:r>
    </w:p>
    <w:p w14:paraId="151D14A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World Bank. (2024a). Lao Economic Monitor, October 2024: Reforms for Stability and Growth. World Bank Group.</w:t>
      </w:r>
    </w:p>
    <w:p w14:paraId="17AD5D47"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5. World Bank. (2024b). Lao Economic Growth Requires Reforms for Stability [Press Release]. November 7, 2024.</w:t>
      </w:r>
    </w:p>
    <w:p w14:paraId="70E018C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6. World Bank. (2023). Lao Economic Monitor, May 2023: Addressing Economic Uncertainty. World Bank Group.</w:t>
      </w:r>
    </w:p>
    <w:p w14:paraId="602355A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7. ASEAN+3 Macroeconomic Research Office (AMRO). (2024). AMRO Annual Consultation Report on Lao PDR 2024.</w:t>
      </w:r>
    </w:p>
    <w:p w14:paraId="469A772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8. Bank of the Lao PDR (BOL). (2024). Foreign Exchange Reserves Data (Monthly). Vientiane: Bank of the Lao PDR. Accessed via TheGlobalEconomy.com.</w:t>
      </w:r>
    </w:p>
    <w:p w14:paraId="2ED9306A"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9. Lao National Chamber of Commerce and Industry (LNCCI). (2025). Lao Foreign Trade Report 2024. Vientiane: LNCCI.</w:t>
      </w:r>
    </w:p>
    <w:p w14:paraId="5D231CE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10. International Monetary Fund. (2009). Balance of Payments and International Investment Position Manual, Sixth Edition (BPM6). Washington, D.C.: IMF.</w:t>
      </w:r>
    </w:p>
    <w:p w14:paraId="2718FEA6"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11. Asian Development Bank (ADB). (2024). Key Indicators for Asia and the Pacific 2024. Manila: ADB.</w:t>
      </w:r>
    </w:p>
    <w:p w14:paraId="04EDDE48"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12. CEIC Data. (2024). Laos External Debt: % of GDP (1996–2024). https://www.ceicdata.com</w:t>
      </w:r>
    </w:p>
    <w:p w14:paraId="34751792"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13. Trading Economics. (2024). Laos Tourism Revenues 2024. Source: Bank of the Lao PDR.</w:t>
      </w:r>
    </w:p>
    <w:p w14:paraId="0B160459"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14. Coface. (2025). Laos Country Risk File. https://www.coface.com</w:t>
      </w:r>
    </w:p>
    <w:p w14:paraId="66B188AC"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15. TheGlobalEconomy.com. (2024). Laos Inflation (Annual CPI) 2018–2024.</w:t>
      </w:r>
    </w:p>
    <w:p w14:paraId="43D50D1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16. FocusEconomics. (2025). Laos Economy: GDP, Inflation, CPI &amp; Interest Rates.</w:t>
      </w:r>
    </w:p>
    <w:p w14:paraId="45C4D60B" w14:textId="1B2DAAD8" w:rsidR="0083092D" w:rsidRPr="00700116"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17. Krugman, P.R., Obstfeld, M., &amp; Melitz, M.J. (2018). International Economics: Theory and Policy (11th ed.). Pearson Education.</w:t>
      </w:r>
    </w:p>
    <w:p w14:paraId="2B544A33" w14:textId="77777777" w:rsidR="0083092D" w:rsidRPr="0069632C" w:rsidRDefault="00000000" w:rsidP="0069632C">
      <w:pPr>
        <w:spacing w:before="60" w:after="60"/>
        <w:rPr>
          <w:rFonts w:asciiTheme="majorHAnsi" w:hAnsiTheme="majorHAnsi" w:cstheme="majorHAnsi"/>
          <w:i/>
          <w:iCs/>
          <w:sz w:val="24"/>
          <w:szCs w:val="24"/>
        </w:rPr>
      </w:pPr>
      <w:r>
        <w:rPr>
          <w:rFonts w:asciiTheme="majorHAnsi" w:hAnsiTheme="majorHAnsi" w:cstheme="majorHAnsi"/>
          <w:b/>
          <w:bCs/>
          <w:i/>
          <w:iCs/>
          <w:color w:val="2E75B6"/>
          <w:sz w:val="24"/>
          <w:szCs w:val="24"/>
        </w:rPr>
        <w:t>GHI CHÚ PHƯƠNG PHÁP SỐ LIỆU</w:t>
      </w:r>
    </w:p>
    <w:p w14:paraId="5BAF5713"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[1] Nợ PPG = Nợ Chính phủ + nợ được Nhà nước bảo lãnh. Số liệu 2022: IMF xác nhận đỉnh 131% GDP. Số liệu 2023–2024 theo IMF Article IV (2024) và World Bank LEM (Oct 2024). Con số ~100,5% theo countryeconomy.com phản ánh định nghĩa hẹp hơn.</w:t>
      </w:r>
    </w:p>
    <w:p w14:paraId="70AC57DB"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[2] Nợ Chính phủ thuần (không bao gồm bảo lãnh tư nhân): CEIC Data / Bank of Lao PDR. Đỉnh 10,68 tỷ USD năm 2020; 2024: ~10,35 tỷ USD = 68,7% GDP.</w:t>
      </w:r>
    </w:p>
    <w:p w14:paraId="1EB3523D"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[3] Điều kiện Marshall-Lerner: |ηₓ + ηₘ| &gt; 1 để phá giá cải thiện cán cân thương mại. Với cơ cấu xuất khẩu điện và khoáng sản của Lào, điều kiện này khó được thỏa mãn trong ngắn và trung hạn.</w:t>
      </w:r>
    </w:p>
    <w:p w14:paraId="6066B45E" w14:textId="77777777" w:rsidR="0083092D" w:rsidRPr="0069632C" w:rsidRDefault="00000000" w:rsidP="0069632C">
      <w:pPr>
        <w:spacing w:before="60" w:after="60"/>
        <w:jc w:val="both"/>
        <w:rPr>
          <w:rFonts w:asciiTheme="majorHAnsi" w:hAnsiTheme="majorHAnsi" w:cstheme="majorHAnsi"/>
          <w:i/>
          <w:iCs/>
          <w:sz w:val="24"/>
          <w:szCs w:val="24"/>
        </w:rPr>
      </w:pPr>
      <w:r>
        <w:rPr>
          <w:rFonts w:asciiTheme="majorHAnsi" w:hAnsiTheme="majorHAnsi" w:cstheme="majorHAnsi"/>
          <w:i/>
          <w:iCs/>
          <w:sz w:val="24"/>
          <w:szCs w:val="24"/>
        </w:rPr>
        <w:t>[4] Lạm phát bình quân năm: đỉnh tháng 02/2023 là 41,26% yoy; lạm phát bình quân năm 2023 = 31,2%; 2024 = 23,1% (TheGlobalEconomy.com / IMF WEO Oct 2024).</w:t>
      </w:r>
    </w:p>
    <w:sectPr w:rsidR="0083092D" w:rsidRPr="0069632C" w:rsidSect="00334184">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3868"/>
    <w:multiLevelType w:val="hybridMultilevel"/>
    <w:tmpl w:val="CF6AC562"/>
    <w:lvl w:ilvl="0" w:tplc="CCFA126C">
      <w:start w:val="1"/>
      <w:numFmt w:val="bullet"/>
      <w:lvlText w:val="●"/>
      <w:lvlJc w:val="left"/>
      <w:pPr>
        <w:ind w:left="720" w:hanging="360"/>
      </w:pPr>
    </w:lvl>
    <w:lvl w:ilvl="1" w:tplc="05D4D152">
      <w:start w:val="1"/>
      <w:numFmt w:val="bullet"/>
      <w:lvlText w:val="○"/>
      <w:lvlJc w:val="left"/>
      <w:pPr>
        <w:ind w:left="1440" w:hanging="360"/>
      </w:pPr>
    </w:lvl>
    <w:lvl w:ilvl="2" w:tplc="E8080D70">
      <w:start w:val="1"/>
      <w:numFmt w:val="bullet"/>
      <w:lvlText w:val="■"/>
      <w:lvlJc w:val="left"/>
      <w:pPr>
        <w:ind w:left="2160" w:hanging="360"/>
      </w:pPr>
    </w:lvl>
    <w:lvl w:ilvl="3" w:tplc="DD025404">
      <w:start w:val="1"/>
      <w:numFmt w:val="bullet"/>
      <w:lvlText w:val="●"/>
      <w:lvlJc w:val="left"/>
      <w:pPr>
        <w:ind w:left="2880" w:hanging="360"/>
      </w:pPr>
    </w:lvl>
    <w:lvl w:ilvl="4" w:tplc="85FEFB50">
      <w:start w:val="1"/>
      <w:numFmt w:val="bullet"/>
      <w:lvlText w:val="○"/>
      <w:lvlJc w:val="left"/>
      <w:pPr>
        <w:ind w:left="3600" w:hanging="360"/>
      </w:pPr>
    </w:lvl>
    <w:lvl w:ilvl="5" w:tplc="EF3A3768">
      <w:start w:val="1"/>
      <w:numFmt w:val="bullet"/>
      <w:lvlText w:val="■"/>
      <w:lvlJc w:val="left"/>
      <w:pPr>
        <w:ind w:left="4320" w:hanging="360"/>
      </w:pPr>
    </w:lvl>
    <w:lvl w:ilvl="6" w:tplc="EB469FA6">
      <w:start w:val="1"/>
      <w:numFmt w:val="bullet"/>
      <w:lvlText w:val="●"/>
      <w:lvlJc w:val="left"/>
      <w:pPr>
        <w:ind w:left="5040" w:hanging="360"/>
      </w:pPr>
    </w:lvl>
    <w:lvl w:ilvl="7" w:tplc="26482308">
      <w:start w:val="1"/>
      <w:numFmt w:val="bullet"/>
      <w:lvlText w:val="●"/>
      <w:lvlJc w:val="left"/>
      <w:pPr>
        <w:ind w:left="5760" w:hanging="360"/>
      </w:pPr>
    </w:lvl>
    <w:lvl w:ilvl="8" w:tplc="65F608AC">
      <w:start w:val="1"/>
      <w:numFmt w:val="bullet"/>
      <w:lvlText w:val="●"/>
      <w:lvlJc w:val="left"/>
      <w:pPr>
        <w:ind w:left="6480" w:hanging="360"/>
      </w:pPr>
    </w:lvl>
  </w:abstractNum>
  <w:num w:numId="1" w16cid:durableId="32397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2D"/>
    <w:rsid w:val="0029074A"/>
    <w:rsid w:val="00334184"/>
    <w:rsid w:val="003354B9"/>
    <w:rsid w:val="0069632C"/>
    <w:rsid w:val="00700116"/>
    <w:rsid w:val="00806152"/>
    <w:rsid w:val="0083092D"/>
    <w:rsid w:val="00C604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2C05"/>
  <w15:docId w15:val="{8DA65CC9-6833-4ED5-BAFE-0B8A7C29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5534-443F-4C34-BE2E-816CE9C6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Pages>
  <Words>5355</Words>
  <Characters>30527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Langg</cp:lastModifiedBy>
  <cp:revision>5</cp:revision>
  <dcterms:created xsi:type="dcterms:W3CDTF">2026-05-21T07:49:00Z</dcterms:created>
  <dcterms:modified xsi:type="dcterms:W3CDTF">2026-05-23T14:13:00Z</dcterms:modified>
</cp:coreProperties>
</file>